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charts/chart8.xml" ContentType="application/vnd.openxmlformats-officedocument.drawingml.chart+xml"/>
  <Override PartName="/word/charts/style8.xml" ContentType="application/vnd.ms-office.chartstyle+xml"/>
  <Override PartName="/word/charts/colors8.xml" ContentType="application/vnd.ms-office.chartcolorstyle+xml"/>
  <Override PartName="/word/charts/chart9.xml" ContentType="application/vnd.openxmlformats-officedocument.drawingml.chart+xml"/>
  <Override PartName="/word/charts/style9.xml" ContentType="application/vnd.ms-office.chartstyle+xml"/>
  <Override PartName="/word/charts/colors9.xml" ContentType="application/vnd.ms-office.chartcolorstyle+xml"/>
  <Override PartName="/word/charts/chart10.xml" ContentType="application/vnd.openxmlformats-officedocument.drawingml.chart+xml"/>
  <Override PartName="/word/charts/style10.xml" ContentType="application/vnd.ms-office.chartstyle+xml"/>
  <Override PartName="/word/charts/colors10.xml" ContentType="application/vnd.ms-office.chartcolorstyle+xml"/>
  <Override PartName="/word/charts/chart11.xml" ContentType="application/vnd.openxmlformats-officedocument.drawingml.chart+xml"/>
  <Override PartName="/word/charts/style11.xml" ContentType="application/vnd.ms-office.chartstyle+xml"/>
  <Override PartName="/word/charts/colors11.xml" ContentType="application/vnd.ms-office.chartcolorstyle+xml"/>
  <Override PartName="/word/charts/chart12.xml" ContentType="application/vnd.openxmlformats-officedocument.drawingml.chart+xml"/>
  <Override PartName="/word/charts/style12.xml" ContentType="application/vnd.ms-office.chartstyle+xml"/>
  <Override PartName="/word/charts/colors12.xml" ContentType="application/vnd.ms-office.chartcolorstyle+xml"/>
  <Override PartName="/word/charts/chart13.xml" ContentType="application/vnd.openxmlformats-officedocument.drawingml.chart+xml"/>
  <Override PartName="/word/charts/style13.xml" ContentType="application/vnd.ms-office.chartstyle+xml"/>
  <Override PartName="/word/charts/colors13.xml" ContentType="application/vnd.ms-office.chartcolorstyl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0A9DFCF9" w14:textId="7EFE17D5" w:rsidR="007D5C9B" w:rsidRDefault="00957657" w:rsidP="00AF526B">
      <w:pPr>
        <w:jc w:val="center"/>
        <w:rPr>
          <w:rFonts w:ascii="Times New Roman" w:eastAsia="Times New Roman" w:hAnsi="Times New Roman" w:cs="Times New Roman"/>
          <w:sz w:val="20"/>
          <w:szCs w:val="20"/>
        </w:rPr>
      </w:pPr>
      <w:r>
        <w:rPr>
          <w:noProof/>
          <w:lang w:val="es-ES" w:eastAsia="es-ES"/>
        </w:rPr>
        <w:drawing>
          <wp:inline distT="0" distB="0" distL="0" distR="0" wp14:anchorId="6EA61D1D" wp14:editId="7EFE5B36">
            <wp:extent cx="2823882" cy="640080"/>
            <wp:effectExtent l="0" t="0" r="0" b="7620"/>
            <wp:docPr id="1" name="Imagen 1" descr="UNITEC a 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UNITEC a color"/>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823882" cy="640080"/>
                    </a:xfrm>
                    <a:prstGeom prst="rect">
                      <a:avLst/>
                    </a:prstGeom>
                    <a:noFill/>
                    <a:ln>
                      <a:noFill/>
                    </a:ln>
                  </pic:spPr>
                </pic:pic>
              </a:graphicData>
            </a:graphic>
          </wp:inline>
        </w:drawing>
      </w:r>
    </w:p>
    <w:p w14:paraId="69FE9DCB" w14:textId="77777777" w:rsidR="007D5C9B" w:rsidRDefault="007D5C9B" w:rsidP="007D5C9B">
      <w:pPr>
        <w:rPr>
          <w:rFonts w:ascii="Times New Roman" w:eastAsia="Times New Roman" w:hAnsi="Times New Roman" w:cs="Times New Roman"/>
          <w:sz w:val="20"/>
          <w:szCs w:val="20"/>
        </w:rPr>
      </w:pPr>
    </w:p>
    <w:p w14:paraId="67F85D92" w14:textId="77777777" w:rsidR="007D5C9B" w:rsidRDefault="007D5C9B" w:rsidP="007D5C9B">
      <w:pPr>
        <w:spacing w:before="1"/>
        <w:rPr>
          <w:rFonts w:ascii="Times New Roman" w:eastAsia="Times New Roman" w:hAnsi="Times New Roman" w:cs="Times New Roman"/>
          <w:sz w:val="18"/>
          <w:szCs w:val="18"/>
        </w:rPr>
      </w:pPr>
    </w:p>
    <w:p w14:paraId="3E2A884D" w14:textId="77777777" w:rsidR="007D5C9B" w:rsidRPr="00F25F2B" w:rsidRDefault="007D5C9B" w:rsidP="00D1328B">
      <w:pPr>
        <w:spacing w:line="360" w:lineRule="auto"/>
        <w:jc w:val="center"/>
        <w:rPr>
          <w:rFonts w:ascii="Times New Roman" w:hAnsi="Times New Roman" w:cs="Times New Roman"/>
          <w:b/>
          <w:sz w:val="32"/>
          <w:szCs w:val="32"/>
        </w:rPr>
      </w:pPr>
      <w:r w:rsidRPr="00F25F2B">
        <w:rPr>
          <w:rFonts w:ascii="Times New Roman" w:hAnsi="Times New Roman" w:cs="Times New Roman"/>
          <w:b/>
          <w:sz w:val="32"/>
          <w:szCs w:val="32"/>
        </w:rPr>
        <w:t>FACULTAD DE</w:t>
      </w:r>
      <w:r w:rsidRPr="00F25F2B">
        <w:rPr>
          <w:rFonts w:ascii="Times New Roman" w:hAnsi="Times New Roman" w:cs="Times New Roman"/>
          <w:b/>
          <w:spacing w:val="-6"/>
          <w:sz w:val="32"/>
          <w:szCs w:val="32"/>
        </w:rPr>
        <w:t xml:space="preserve"> </w:t>
      </w:r>
      <w:r w:rsidRPr="00F25F2B">
        <w:rPr>
          <w:rFonts w:ascii="Times New Roman" w:hAnsi="Times New Roman" w:cs="Times New Roman"/>
          <w:b/>
          <w:sz w:val="32"/>
          <w:szCs w:val="32"/>
        </w:rPr>
        <w:t>POSTGRADO</w:t>
      </w:r>
    </w:p>
    <w:p w14:paraId="00BBB8C9" w14:textId="77777777" w:rsidR="007D5C9B" w:rsidRDefault="007D5C9B" w:rsidP="00D1328B">
      <w:pPr>
        <w:spacing w:line="360" w:lineRule="auto"/>
        <w:jc w:val="center"/>
        <w:rPr>
          <w:rFonts w:ascii="Times New Roman" w:hAnsi="Times New Roman" w:cs="Times New Roman"/>
          <w:b/>
          <w:sz w:val="32"/>
          <w:szCs w:val="32"/>
        </w:rPr>
      </w:pPr>
      <w:r>
        <w:rPr>
          <w:rFonts w:ascii="Times New Roman" w:hAnsi="Times New Roman" w:cs="Times New Roman"/>
          <w:b/>
          <w:sz w:val="32"/>
          <w:szCs w:val="32"/>
        </w:rPr>
        <w:t>TRABAJO FINAL DE GRADUACIÓN</w:t>
      </w:r>
    </w:p>
    <w:p w14:paraId="3CAC9D15" w14:textId="77777777" w:rsidR="00F11352" w:rsidRPr="00F25F2B" w:rsidRDefault="00F11352" w:rsidP="00D1328B">
      <w:pPr>
        <w:spacing w:line="360" w:lineRule="auto"/>
        <w:jc w:val="center"/>
        <w:rPr>
          <w:rFonts w:ascii="Times New Roman" w:hAnsi="Times New Roman" w:cs="Times New Roman"/>
          <w:b/>
          <w:bCs/>
          <w:sz w:val="32"/>
          <w:szCs w:val="32"/>
        </w:rPr>
      </w:pPr>
    </w:p>
    <w:p w14:paraId="28CE1453" w14:textId="75DC7F16" w:rsidR="00F72DA1" w:rsidRDefault="00FD2000" w:rsidP="00D1328B">
      <w:pPr>
        <w:spacing w:line="360" w:lineRule="auto"/>
        <w:jc w:val="center"/>
        <w:rPr>
          <w:rFonts w:ascii="Times New Roman" w:hAnsi="Times New Roman" w:cs="Times New Roman"/>
          <w:b/>
          <w:sz w:val="32"/>
          <w:szCs w:val="32"/>
        </w:rPr>
      </w:pPr>
      <w:r w:rsidRPr="00FD2000">
        <w:rPr>
          <w:rFonts w:ascii="Times New Roman" w:hAnsi="Times New Roman" w:cs="Times New Roman"/>
          <w:b/>
          <w:sz w:val="32"/>
          <w:szCs w:val="32"/>
        </w:rPr>
        <w:t xml:space="preserve">ANÁLISIS DE MOROSIDAD EN LA CARTERA DE CRÉDITO DE </w:t>
      </w:r>
      <w:r w:rsidR="00FA6A60">
        <w:rPr>
          <w:rFonts w:ascii="Times New Roman" w:hAnsi="Times New Roman" w:cs="Times New Roman"/>
          <w:b/>
          <w:sz w:val="32"/>
          <w:szCs w:val="32"/>
        </w:rPr>
        <w:t>LA</w:t>
      </w:r>
      <w:r w:rsidRPr="00FD2000">
        <w:rPr>
          <w:rFonts w:ascii="Times New Roman" w:hAnsi="Times New Roman" w:cs="Times New Roman"/>
          <w:b/>
          <w:sz w:val="32"/>
          <w:szCs w:val="32"/>
        </w:rPr>
        <w:t xml:space="preserve"> MICROFINANCIERA </w:t>
      </w:r>
      <w:r w:rsidR="00E5074B">
        <w:rPr>
          <w:rFonts w:ascii="Times New Roman" w:hAnsi="Times New Roman" w:cs="Times New Roman"/>
          <w:b/>
          <w:sz w:val="32"/>
          <w:szCs w:val="32"/>
        </w:rPr>
        <w:t>“XYZ”</w:t>
      </w:r>
      <w:r w:rsidRPr="00FD2000">
        <w:rPr>
          <w:rFonts w:ascii="Times New Roman" w:hAnsi="Times New Roman" w:cs="Times New Roman"/>
          <w:b/>
          <w:sz w:val="32"/>
          <w:szCs w:val="32"/>
        </w:rPr>
        <w:t xml:space="preserve"> </w:t>
      </w:r>
      <w:r w:rsidR="00FA6A60">
        <w:rPr>
          <w:rFonts w:ascii="Times New Roman" w:hAnsi="Times New Roman" w:cs="Times New Roman"/>
          <w:b/>
          <w:sz w:val="32"/>
          <w:szCs w:val="32"/>
        </w:rPr>
        <w:t>EN HONDURAS, DURANTE EL PERÍODO</w:t>
      </w:r>
      <w:r w:rsidRPr="00FD2000">
        <w:rPr>
          <w:rFonts w:ascii="Times New Roman" w:hAnsi="Times New Roman" w:cs="Times New Roman"/>
          <w:b/>
          <w:sz w:val="32"/>
          <w:szCs w:val="32"/>
        </w:rPr>
        <w:t xml:space="preserve"> 2019</w:t>
      </w:r>
      <w:r w:rsidR="00FA6A60">
        <w:rPr>
          <w:rFonts w:ascii="Times New Roman" w:hAnsi="Times New Roman" w:cs="Times New Roman"/>
          <w:b/>
          <w:sz w:val="32"/>
          <w:szCs w:val="32"/>
        </w:rPr>
        <w:t>-</w:t>
      </w:r>
      <w:r w:rsidRPr="00FD2000">
        <w:rPr>
          <w:rFonts w:ascii="Times New Roman" w:hAnsi="Times New Roman" w:cs="Times New Roman"/>
          <w:b/>
          <w:sz w:val="32"/>
          <w:szCs w:val="32"/>
        </w:rPr>
        <w:t>2023.</w:t>
      </w:r>
    </w:p>
    <w:p w14:paraId="66A2DB45" w14:textId="77777777" w:rsidR="00D1328B" w:rsidRPr="00D1328B" w:rsidRDefault="00D1328B" w:rsidP="00D1328B">
      <w:pPr>
        <w:spacing w:line="360" w:lineRule="auto"/>
        <w:jc w:val="center"/>
        <w:rPr>
          <w:rFonts w:ascii="Times New Roman" w:hAnsi="Times New Roman" w:cs="Times New Roman"/>
          <w:b/>
          <w:sz w:val="32"/>
          <w:szCs w:val="32"/>
        </w:rPr>
      </w:pPr>
    </w:p>
    <w:p w14:paraId="50D83759" w14:textId="10C2DB55" w:rsidR="007D5C9B" w:rsidRDefault="007D5C9B" w:rsidP="00D1328B">
      <w:pPr>
        <w:spacing w:line="360" w:lineRule="auto"/>
        <w:jc w:val="center"/>
        <w:rPr>
          <w:rFonts w:ascii="Times New Roman" w:hAnsi="Times New Roman" w:cs="Times New Roman"/>
          <w:b/>
          <w:sz w:val="32"/>
          <w:szCs w:val="32"/>
        </w:rPr>
      </w:pPr>
      <w:r w:rsidRPr="00F25F2B">
        <w:rPr>
          <w:rFonts w:ascii="Times New Roman" w:hAnsi="Times New Roman" w:cs="Times New Roman"/>
          <w:b/>
          <w:sz w:val="32"/>
          <w:szCs w:val="32"/>
        </w:rPr>
        <w:t>SUSTENTADO POR:</w:t>
      </w:r>
    </w:p>
    <w:p w14:paraId="2756CD2F" w14:textId="77777777" w:rsidR="00D1328B" w:rsidRPr="00D1328B" w:rsidRDefault="00D1328B" w:rsidP="00D1328B">
      <w:pPr>
        <w:spacing w:line="360" w:lineRule="auto"/>
        <w:jc w:val="center"/>
        <w:rPr>
          <w:rFonts w:ascii="Times New Roman" w:hAnsi="Times New Roman" w:cs="Times New Roman"/>
          <w:b/>
          <w:sz w:val="32"/>
          <w:szCs w:val="32"/>
        </w:rPr>
      </w:pPr>
    </w:p>
    <w:p w14:paraId="11D03A76" w14:textId="02F1E4F5" w:rsidR="007D5C9B" w:rsidRPr="007D5C9B" w:rsidRDefault="00F81E0E" w:rsidP="00D1328B">
      <w:pPr>
        <w:spacing w:line="360" w:lineRule="auto"/>
        <w:ind w:left="557" w:right="393"/>
        <w:jc w:val="center"/>
        <w:rPr>
          <w:rFonts w:ascii="Times New Roman" w:hAnsi="Times New Roman"/>
          <w:b/>
          <w:sz w:val="32"/>
          <w:szCs w:val="32"/>
        </w:rPr>
      </w:pPr>
      <w:r>
        <w:rPr>
          <w:rFonts w:ascii="Times New Roman" w:hAnsi="Times New Roman"/>
          <w:b/>
          <w:sz w:val="32"/>
          <w:szCs w:val="32"/>
        </w:rPr>
        <w:t>DANIA ELOÍSA MARÍN ÁLVAREZ</w:t>
      </w:r>
    </w:p>
    <w:p w14:paraId="4EB96316" w14:textId="391B2D64" w:rsidR="00D1328B" w:rsidRDefault="00F81E0E" w:rsidP="00D1328B">
      <w:pPr>
        <w:spacing w:line="360" w:lineRule="auto"/>
        <w:ind w:left="557" w:right="393"/>
        <w:jc w:val="center"/>
        <w:rPr>
          <w:rFonts w:ascii="Times New Roman" w:eastAsia="Times New Roman" w:hAnsi="Times New Roman" w:cs="Times New Roman"/>
          <w:b/>
          <w:sz w:val="32"/>
          <w:szCs w:val="32"/>
        </w:rPr>
      </w:pPr>
      <w:r>
        <w:rPr>
          <w:rFonts w:ascii="Times New Roman" w:hAnsi="Times New Roman"/>
          <w:b/>
          <w:sz w:val="32"/>
          <w:szCs w:val="32"/>
        </w:rPr>
        <w:t>JIMMY ROSENDO SÁNCHEZ MEJÍA</w:t>
      </w:r>
    </w:p>
    <w:p w14:paraId="0F1BDAF4" w14:textId="77777777" w:rsidR="00D1328B" w:rsidRPr="00D1328B" w:rsidRDefault="00D1328B" w:rsidP="00D1328B">
      <w:pPr>
        <w:spacing w:line="360" w:lineRule="auto"/>
        <w:ind w:left="557" w:right="393"/>
        <w:jc w:val="center"/>
        <w:rPr>
          <w:rFonts w:ascii="Times New Roman" w:eastAsia="Times New Roman" w:hAnsi="Times New Roman" w:cs="Times New Roman"/>
          <w:b/>
          <w:sz w:val="32"/>
          <w:szCs w:val="32"/>
        </w:rPr>
      </w:pPr>
    </w:p>
    <w:p w14:paraId="5E76D76A" w14:textId="3AAB7093" w:rsidR="007D5C9B" w:rsidRDefault="007D5C9B" w:rsidP="00D1328B">
      <w:pPr>
        <w:spacing w:line="360" w:lineRule="auto"/>
        <w:jc w:val="center"/>
        <w:rPr>
          <w:rFonts w:ascii="Times New Roman" w:hAnsi="Times New Roman" w:cs="Times New Roman"/>
          <w:b/>
          <w:sz w:val="32"/>
          <w:szCs w:val="32"/>
        </w:rPr>
      </w:pPr>
      <w:r w:rsidRPr="00F25F2B">
        <w:rPr>
          <w:rFonts w:ascii="Times New Roman" w:hAnsi="Times New Roman" w:cs="Times New Roman"/>
          <w:b/>
          <w:sz w:val="32"/>
          <w:szCs w:val="32"/>
        </w:rPr>
        <w:t>PREVIA INVESTIDURA AL TÍTULO DE</w:t>
      </w:r>
    </w:p>
    <w:p w14:paraId="52AFD485" w14:textId="77777777" w:rsidR="00D1328B" w:rsidRPr="00D1328B" w:rsidRDefault="00D1328B" w:rsidP="00D1328B">
      <w:pPr>
        <w:spacing w:line="360" w:lineRule="auto"/>
        <w:jc w:val="center"/>
        <w:rPr>
          <w:rFonts w:ascii="Times New Roman" w:hAnsi="Times New Roman" w:cs="Times New Roman"/>
          <w:b/>
          <w:sz w:val="32"/>
          <w:szCs w:val="32"/>
        </w:rPr>
      </w:pPr>
    </w:p>
    <w:p w14:paraId="1032D926" w14:textId="77777777" w:rsidR="007D5C9B" w:rsidRDefault="007D5C9B" w:rsidP="00D1328B">
      <w:pPr>
        <w:spacing w:line="360" w:lineRule="auto"/>
        <w:ind w:left="557" w:right="388"/>
        <w:jc w:val="center"/>
        <w:rPr>
          <w:rFonts w:ascii="Times New Roman" w:hAnsi="Times New Roman"/>
          <w:b/>
          <w:sz w:val="32"/>
        </w:rPr>
      </w:pPr>
      <w:r w:rsidRPr="00F25F2B">
        <w:rPr>
          <w:rFonts w:ascii="Times New Roman" w:hAnsi="Times New Roman" w:cs="Times New Roman"/>
          <w:b/>
          <w:sz w:val="32"/>
          <w:szCs w:val="32"/>
        </w:rPr>
        <w:t>MÁSTER EN</w:t>
      </w:r>
      <w:r w:rsidRPr="006F4460">
        <w:rPr>
          <w:rFonts w:ascii="Times New Roman" w:hAnsi="Times New Roman"/>
          <w:b/>
          <w:sz w:val="32"/>
        </w:rPr>
        <w:t xml:space="preserve"> </w:t>
      </w:r>
    </w:p>
    <w:p w14:paraId="73A6F427" w14:textId="3B178DE3" w:rsidR="007D5C9B" w:rsidRDefault="00F81E0E" w:rsidP="00D1328B">
      <w:pPr>
        <w:spacing w:line="360" w:lineRule="auto"/>
        <w:ind w:left="557" w:right="388"/>
        <w:jc w:val="center"/>
        <w:rPr>
          <w:rFonts w:ascii="Times New Roman" w:eastAsia="Times New Roman" w:hAnsi="Times New Roman" w:cs="Times New Roman"/>
          <w:b/>
          <w:sz w:val="32"/>
          <w:szCs w:val="32"/>
        </w:rPr>
      </w:pPr>
      <w:r>
        <w:rPr>
          <w:rFonts w:ascii="Times New Roman" w:hAnsi="Times New Roman"/>
          <w:b/>
          <w:sz w:val="32"/>
          <w:szCs w:val="32"/>
        </w:rPr>
        <w:t>FINANZAS</w:t>
      </w:r>
    </w:p>
    <w:p w14:paraId="682065BE" w14:textId="77777777" w:rsidR="00D1328B" w:rsidRPr="00D1328B" w:rsidRDefault="00D1328B" w:rsidP="00D1328B">
      <w:pPr>
        <w:spacing w:line="360" w:lineRule="auto"/>
        <w:ind w:left="557" w:right="388"/>
        <w:jc w:val="center"/>
        <w:rPr>
          <w:rFonts w:ascii="Times New Roman" w:eastAsia="Times New Roman" w:hAnsi="Times New Roman" w:cs="Times New Roman"/>
          <w:b/>
          <w:sz w:val="32"/>
          <w:szCs w:val="32"/>
        </w:rPr>
      </w:pPr>
    </w:p>
    <w:p w14:paraId="558884EF" w14:textId="271CF041" w:rsidR="007D5C9B" w:rsidRPr="007D5C9B" w:rsidRDefault="00F81E0E" w:rsidP="00D1328B">
      <w:pPr>
        <w:spacing w:line="360" w:lineRule="auto"/>
        <w:jc w:val="center"/>
        <w:rPr>
          <w:rFonts w:ascii="Times New Roman" w:hAnsi="Times New Roman" w:cs="Times New Roman"/>
          <w:b/>
          <w:sz w:val="32"/>
          <w:szCs w:val="32"/>
        </w:rPr>
      </w:pPr>
      <w:r>
        <w:rPr>
          <w:rFonts w:ascii="Times New Roman" w:hAnsi="Times New Roman" w:cs="Times New Roman"/>
          <w:b/>
          <w:sz w:val="32"/>
          <w:szCs w:val="32"/>
        </w:rPr>
        <w:t>TEGUCIGALPA</w:t>
      </w:r>
      <w:r w:rsidR="007D5C9B" w:rsidRPr="007D5C9B">
        <w:rPr>
          <w:rFonts w:ascii="Times New Roman" w:hAnsi="Times New Roman" w:cs="Times New Roman"/>
          <w:b/>
          <w:sz w:val="32"/>
          <w:szCs w:val="32"/>
        </w:rPr>
        <w:t xml:space="preserve">, </w:t>
      </w:r>
      <w:r>
        <w:rPr>
          <w:rFonts w:ascii="Times New Roman" w:hAnsi="Times New Roman" w:cs="Times New Roman"/>
          <w:b/>
          <w:sz w:val="32"/>
          <w:szCs w:val="32"/>
        </w:rPr>
        <w:t>FRANCISCO MORAZÁN,</w:t>
      </w:r>
      <w:r w:rsidR="007D5C9B" w:rsidRPr="007D5C9B">
        <w:rPr>
          <w:rFonts w:ascii="Times New Roman" w:hAnsi="Times New Roman" w:cs="Times New Roman"/>
          <w:b/>
          <w:sz w:val="32"/>
          <w:szCs w:val="32"/>
        </w:rPr>
        <w:t xml:space="preserve"> HONDURAS, C.A.</w:t>
      </w:r>
    </w:p>
    <w:p w14:paraId="2642E86F" w14:textId="7FB480A3" w:rsidR="007D5C9B" w:rsidRPr="00D1328B" w:rsidRDefault="00AE496D" w:rsidP="00D1328B">
      <w:pPr>
        <w:spacing w:line="360" w:lineRule="auto"/>
        <w:ind w:left="2074" w:right="1908"/>
        <w:jc w:val="center"/>
        <w:rPr>
          <w:rFonts w:ascii="Times New Roman" w:hAnsi="Times New Roman"/>
          <w:sz w:val="20"/>
        </w:rPr>
      </w:pPr>
      <w:r>
        <w:rPr>
          <w:rFonts w:ascii="Times New Roman" w:hAnsi="Times New Roman" w:cs="Times New Roman"/>
          <w:b/>
          <w:sz w:val="32"/>
          <w:szCs w:val="32"/>
        </w:rPr>
        <w:t>AGOSTO</w:t>
      </w:r>
      <w:r w:rsidR="007D5C9B" w:rsidRPr="007D5C9B">
        <w:rPr>
          <w:rFonts w:ascii="Times New Roman" w:hAnsi="Times New Roman" w:cs="Times New Roman"/>
          <w:b/>
          <w:sz w:val="32"/>
          <w:szCs w:val="32"/>
        </w:rPr>
        <w:t xml:space="preserve">, </w:t>
      </w:r>
      <w:r w:rsidR="007E1234">
        <w:rPr>
          <w:rFonts w:ascii="Times New Roman" w:hAnsi="Times New Roman" w:cs="Times New Roman"/>
          <w:b/>
          <w:sz w:val="32"/>
          <w:szCs w:val="32"/>
        </w:rPr>
        <w:t>2024</w:t>
      </w:r>
    </w:p>
    <w:p w14:paraId="5CA55511" w14:textId="0D06029B" w:rsidR="007D5C9B" w:rsidRDefault="007D5C9B" w:rsidP="00A72B86">
      <w:pPr>
        <w:spacing w:line="360" w:lineRule="auto"/>
        <w:jc w:val="center"/>
        <w:rPr>
          <w:rFonts w:ascii="Times New Roman" w:hAnsi="Times New Roman" w:cs="Times New Roman"/>
          <w:b/>
          <w:sz w:val="32"/>
          <w:szCs w:val="32"/>
        </w:rPr>
      </w:pPr>
      <w:r w:rsidRPr="00D3123C">
        <w:rPr>
          <w:rFonts w:ascii="Times New Roman" w:hAnsi="Times New Roman" w:cs="Times New Roman"/>
          <w:b/>
          <w:sz w:val="32"/>
          <w:szCs w:val="32"/>
        </w:rPr>
        <w:t>UNIVERSIDAD TECNOLÓGICA CENTROAMERICANA</w:t>
      </w:r>
    </w:p>
    <w:p w14:paraId="4DBD5780" w14:textId="77777777" w:rsidR="007D5C9B" w:rsidRPr="00D3123C" w:rsidRDefault="007D5C9B" w:rsidP="00A72B86">
      <w:pPr>
        <w:spacing w:line="360" w:lineRule="auto"/>
        <w:jc w:val="center"/>
        <w:rPr>
          <w:rFonts w:ascii="Times New Roman" w:hAnsi="Times New Roman" w:cs="Times New Roman"/>
          <w:b/>
          <w:sz w:val="32"/>
          <w:szCs w:val="32"/>
        </w:rPr>
      </w:pPr>
      <w:r w:rsidRPr="00D3123C">
        <w:rPr>
          <w:rFonts w:ascii="Times New Roman" w:hAnsi="Times New Roman" w:cs="Times New Roman"/>
          <w:b/>
          <w:sz w:val="32"/>
          <w:szCs w:val="32"/>
        </w:rPr>
        <w:lastRenderedPageBreak/>
        <w:t>UNITEC</w:t>
      </w:r>
    </w:p>
    <w:p w14:paraId="73D299AC" w14:textId="77777777" w:rsidR="007D5C9B" w:rsidRDefault="007D5C9B" w:rsidP="00A72B86">
      <w:pPr>
        <w:spacing w:before="19" w:line="360" w:lineRule="auto"/>
        <w:ind w:left="2074" w:right="1908"/>
        <w:jc w:val="center"/>
        <w:rPr>
          <w:rFonts w:ascii="Times New Roman"/>
          <w:b/>
          <w:sz w:val="32"/>
        </w:rPr>
      </w:pPr>
    </w:p>
    <w:p w14:paraId="736C7DA1" w14:textId="77777777" w:rsidR="00DD1FCA" w:rsidRDefault="007D5C9B" w:rsidP="00A72B86">
      <w:pPr>
        <w:spacing w:before="19" w:line="360" w:lineRule="auto"/>
        <w:ind w:left="2074" w:right="1908"/>
        <w:jc w:val="center"/>
        <w:rPr>
          <w:rFonts w:ascii="Times New Roman"/>
          <w:b/>
          <w:sz w:val="32"/>
        </w:rPr>
      </w:pPr>
      <w:r w:rsidRPr="006F4460">
        <w:rPr>
          <w:rFonts w:ascii="Times New Roman"/>
          <w:b/>
          <w:sz w:val="32"/>
        </w:rPr>
        <w:t>FACULTAD DE POSTGRADO</w:t>
      </w:r>
    </w:p>
    <w:p w14:paraId="23964A01" w14:textId="77777777" w:rsidR="00DD1FCA" w:rsidRDefault="00DD1FCA" w:rsidP="00A72B86">
      <w:pPr>
        <w:spacing w:before="19" w:line="360" w:lineRule="auto"/>
        <w:ind w:left="2074" w:right="1908"/>
        <w:jc w:val="center"/>
        <w:rPr>
          <w:rFonts w:ascii="Times New Roman"/>
          <w:b/>
          <w:sz w:val="32"/>
        </w:rPr>
      </w:pPr>
    </w:p>
    <w:p w14:paraId="715E42F5" w14:textId="738DD7A2" w:rsidR="007D5C9B" w:rsidRPr="006F4460" w:rsidRDefault="007D5C9B" w:rsidP="00A72B86">
      <w:pPr>
        <w:spacing w:before="19" w:line="360" w:lineRule="auto"/>
        <w:ind w:left="2074" w:right="1908"/>
        <w:jc w:val="center"/>
        <w:rPr>
          <w:rFonts w:ascii="Times New Roman" w:eastAsia="Times New Roman" w:hAnsi="Times New Roman" w:cs="Times New Roman"/>
          <w:sz w:val="32"/>
          <w:szCs w:val="32"/>
        </w:rPr>
      </w:pPr>
      <w:r w:rsidRPr="006F4460">
        <w:rPr>
          <w:rFonts w:ascii="Times New Roman"/>
          <w:b/>
          <w:sz w:val="32"/>
        </w:rPr>
        <w:t>AUTORIDADES</w:t>
      </w:r>
      <w:r w:rsidRPr="006F4460">
        <w:rPr>
          <w:rFonts w:ascii="Times New Roman"/>
          <w:b/>
          <w:spacing w:val="-9"/>
          <w:sz w:val="32"/>
        </w:rPr>
        <w:t xml:space="preserve"> </w:t>
      </w:r>
      <w:r w:rsidRPr="006F4460">
        <w:rPr>
          <w:rFonts w:ascii="Times New Roman"/>
          <w:b/>
          <w:sz w:val="32"/>
        </w:rPr>
        <w:t>UNIVERSITARIAS</w:t>
      </w:r>
    </w:p>
    <w:p w14:paraId="483BAB5D" w14:textId="77777777" w:rsidR="007D5C9B" w:rsidRPr="006F4460" w:rsidRDefault="007D5C9B" w:rsidP="00A72B86">
      <w:pPr>
        <w:spacing w:line="360" w:lineRule="auto"/>
        <w:rPr>
          <w:rFonts w:ascii="Times New Roman" w:eastAsia="Times New Roman" w:hAnsi="Times New Roman" w:cs="Times New Roman"/>
          <w:b/>
          <w:bCs/>
          <w:sz w:val="32"/>
          <w:szCs w:val="32"/>
        </w:rPr>
      </w:pPr>
    </w:p>
    <w:p w14:paraId="3429DA17" w14:textId="51FD7689" w:rsidR="007D5C9B" w:rsidRPr="006F4460" w:rsidRDefault="007D5C9B" w:rsidP="00A72B86">
      <w:pPr>
        <w:spacing w:before="187" w:line="360" w:lineRule="auto"/>
        <w:ind w:left="2073" w:right="1908"/>
        <w:jc w:val="center"/>
        <w:rPr>
          <w:rFonts w:ascii="Times New Roman" w:eastAsia="Times New Roman" w:hAnsi="Times New Roman" w:cs="Times New Roman"/>
          <w:sz w:val="32"/>
          <w:szCs w:val="32"/>
        </w:rPr>
      </w:pPr>
      <w:r w:rsidRPr="006F4460">
        <w:rPr>
          <w:rFonts w:ascii="Times New Roman"/>
          <w:b/>
          <w:sz w:val="32"/>
        </w:rPr>
        <w:t>RECTOR</w:t>
      </w:r>
      <w:r w:rsidR="00256900">
        <w:rPr>
          <w:rFonts w:ascii="Times New Roman"/>
          <w:b/>
          <w:sz w:val="32"/>
        </w:rPr>
        <w:t>A</w:t>
      </w:r>
    </w:p>
    <w:p w14:paraId="624CF6D9" w14:textId="77777777" w:rsidR="00DD1FCA" w:rsidRDefault="00957657" w:rsidP="00A72B86">
      <w:pPr>
        <w:spacing w:line="360" w:lineRule="auto"/>
        <w:jc w:val="center"/>
        <w:rPr>
          <w:rFonts w:ascii="Times New Roman" w:eastAsia="Times New Roman" w:hAnsi="Times New Roman" w:cs="Times New Roman"/>
          <w:b/>
          <w:bCs/>
          <w:sz w:val="32"/>
          <w:szCs w:val="32"/>
          <w:lang w:val="es-MX"/>
        </w:rPr>
      </w:pPr>
      <w:r w:rsidRPr="00957657">
        <w:rPr>
          <w:rFonts w:ascii="Times New Roman"/>
          <w:b/>
          <w:sz w:val="32"/>
        </w:rPr>
        <w:t>ROSALPINA RODR</w:t>
      </w:r>
      <w:r w:rsidRPr="00957657">
        <w:rPr>
          <w:rFonts w:ascii="Times New Roman"/>
          <w:b/>
          <w:sz w:val="32"/>
        </w:rPr>
        <w:t>Í</w:t>
      </w:r>
      <w:r w:rsidRPr="00957657">
        <w:rPr>
          <w:rFonts w:ascii="Times New Roman"/>
          <w:b/>
          <w:sz w:val="32"/>
        </w:rPr>
        <w:t>GUEZ</w:t>
      </w:r>
    </w:p>
    <w:p w14:paraId="437DE32E" w14:textId="77777777" w:rsidR="00DD1FCA" w:rsidRDefault="00DD1FCA" w:rsidP="00A72B86">
      <w:pPr>
        <w:spacing w:line="360" w:lineRule="auto"/>
        <w:jc w:val="center"/>
        <w:rPr>
          <w:rFonts w:ascii="Times New Roman" w:eastAsia="Times New Roman" w:hAnsi="Times New Roman" w:cs="Times New Roman"/>
          <w:b/>
          <w:bCs/>
          <w:sz w:val="32"/>
          <w:szCs w:val="32"/>
          <w:lang w:val="es-MX"/>
        </w:rPr>
      </w:pPr>
    </w:p>
    <w:p w14:paraId="289D2EAB" w14:textId="77777777" w:rsidR="00DD1FCA" w:rsidRDefault="00DD1FCA" w:rsidP="00A72B86">
      <w:pPr>
        <w:spacing w:line="360" w:lineRule="auto"/>
        <w:jc w:val="center"/>
        <w:rPr>
          <w:rFonts w:ascii="Times New Roman" w:eastAsia="Times New Roman" w:hAnsi="Times New Roman" w:cs="Times New Roman"/>
          <w:b/>
          <w:bCs/>
          <w:sz w:val="32"/>
          <w:szCs w:val="32"/>
          <w:lang w:val="es-MX"/>
        </w:rPr>
      </w:pPr>
    </w:p>
    <w:p w14:paraId="718DD657" w14:textId="4F81260A" w:rsidR="00DD1FCA" w:rsidRPr="00DD1FCA" w:rsidRDefault="00DD1FCA" w:rsidP="00A72B86">
      <w:pPr>
        <w:spacing w:line="360" w:lineRule="auto"/>
        <w:jc w:val="center"/>
        <w:rPr>
          <w:rFonts w:ascii="Times New Roman" w:eastAsia="Times New Roman" w:hAnsi="Times New Roman" w:cs="Times New Roman"/>
          <w:b/>
          <w:bCs/>
          <w:sz w:val="32"/>
          <w:szCs w:val="32"/>
          <w:lang w:val="es-MX"/>
        </w:rPr>
      </w:pPr>
      <w:r>
        <w:rPr>
          <w:rFonts w:ascii="Times New Roman" w:eastAsia="Times New Roman" w:hAnsi="Times New Roman" w:cs="Times New Roman"/>
          <w:b/>
          <w:bCs/>
          <w:sz w:val="32"/>
          <w:szCs w:val="32"/>
        </w:rPr>
        <w:t>VICERRECTOR ACADÉMICO NACIONAL</w:t>
      </w:r>
    </w:p>
    <w:p w14:paraId="6964C8A1" w14:textId="221A5C90" w:rsidR="00DD1FCA" w:rsidRPr="006F4460" w:rsidRDefault="00DD1FCA" w:rsidP="00A72B86">
      <w:pPr>
        <w:spacing w:line="360" w:lineRule="auto"/>
        <w:jc w:val="center"/>
        <w:rPr>
          <w:rFonts w:ascii="Times New Roman" w:eastAsia="Times New Roman" w:hAnsi="Times New Roman" w:cs="Times New Roman"/>
          <w:b/>
          <w:bCs/>
          <w:sz w:val="32"/>
          <w:szCs w:val="32"/>
        </w:rPr>
      </w:pPr>
      <w:r w:rsidRPr="00957657">
        <w:rPr>
          <w:rFonts w:ascii="Times New Roman" w:eastAsia="Times New Roman" w:hAnsi="Times New Roman" w:cs="Times New Roman"/>
          <w:b/>
          <w:bCs/>
          <w:sz w:val="32"/>
          <w:szCs w:val="32"/>
        </w:rPr>
        <w:t xml:space="preserve">JAVIER </w:t>
      </w:r>
      <w:r>
        <w:rPr>
          <w:rFonts w:ascii="Times New Roman" w:eastAsia="Times New Roman" w:hAnsi="Times New Roman" w:cs="Times New Roman"/>
          <w:b/>
          <w:bCs/>
          <w:sz w:val="32"/>
          <w:szCs w:val="32"/>
        </w:rPr>
        <w:t xml:space="preserve">ABRAHAM </w:t>
      </w:r>
      <w:r w:rsidRPr="00957657">
        <w:rPr>
          <w:rFonts w:ascii="Times New Roman" w:eastAsia="Times New Roman" w:hAnsi="Times New Roman" w:cs="Times New Roman"/>
          <w:b/>
          <w:bCs/>
          <w:sz w:val="32"/>
          <w:szCs w:val="32"/>
        </w:rPr>
        <w:t>SALGADO</w:t>
      </w:r>
      <w:r>
        <w:rPr>
          <w:rFonts w:ascii="Times New Roman" w:eastAsia="Times New Roman" w:hAnsi="Times New Roman" w:cs="Times New Roman"/>
          <w:b/>
          <w:bCs/>
          <w:sz w:val="32"/>
          <w:szCs w:val="32"/>
        </w:rPr>
        <w:t xml:space="preserve"> LEZAMA</w:t>
      </w:r>
    </w:p>
    <w:p w14:paraId="6A0B9561" w14:textId="77777777" w:rsidR="00DD1FCA" w:rsidRDefault="00DD1FCA" w:rsidP="00A72B86">
      <w:pPr>
        <w:spacing w:line="360" w:lineRule="auto"/>
        <w:ind w:left="2420" w:right="2254" w:hanging="3"/>
        <w:jc w:val="center"/>
        <w:rPr>
          <w:rFonts w:ascii="Times New Roman" w:hAnsi="Times New Roman"/>
          <w:b/>
          <w:sz w:val="32"/>
        </w:rPr>
      </w:pPr>
    </w:p>
    <w:p w14:paraId="6E647FFD" w14:textId="77777777" w:rsidR="00DD1FCA" w:rsidRDefault="00DD1FCA" w:rsidP="00A72B86">
      <w:pPr>
        <w:spacing w:line="360" w:lineRule="auto"/>
        <w:ind w:left="2420" w:right="2254" w:hanging="3"/>
        <w:jc w:val="center"/>
        <w:rPr>
          <w:rFonts w:ascii="Times New Roman" w:hAnsi="Times New Roman"/>
          <w:b/>
          <w:sz w:val="32"/>
        </w:rPr>
      </w:pPr>
    </w:p>
    <w:p w14:paraId="4E3F1D48" w14:textId="79BD8259" w:rsidR="007D5C9B" w:rsidRDefault="007D5C9B" w:rsidP="00A72B86">
      <w:pPr>
        <w:spacing w:line="360" w:lineRule="auto"/>
        <w:ind w:left="2420" w:right="2254" w:hanging="3"/>
        <w:jc w:val="center"/>
        <w:rPr>
          <w:rFonts w:ascii="Times New Roman" w:hAnsi="Times New Roman"/>
          <w:b/>
          <w:sz w:val="32"/>
        </w:rPr>
      </w:pPr>
      <w:r w:rsidRPr="006F4460">
        <w:rPr>
          <w:rFonts w:ascii="Times New Roman" w:hAnsi="Times New Roman"/>
          <w:b/>
          <w:sz w:val="32"/>
        </w:rPr>
        <w:t xml:space="preserve">SECRETARIO GENERAL </w:t>
      </w:r>
      <w:r>
        <w:rPr>
          <w:rFonts w:ascii="Times New Roman" w:hAnsi="Times New Roman"/>
          <w:b/>
          <w:sz w:val="32"/>
        </w:rPr>
        <w:t>ROGER MARTÍNEZ MIRALDA</w:t>
      </w:r>
    </w:p>
    <w:p w14:paraId="1AD7153B" w14:textId="77777777" w:rsidR="00DD1FCA" w:rsidRDefault="00DD1FCA" w:rsidP="00A72B86">
      <w:pPr>
        <w:spacing w:line="360" w:lineRule="auto"/>
        <w:ind w:left="557" w:right="395"/>
        <w:jc w:val="center"/>
        <w:rPr>
          <w:rFonts w:ascii="Times New Roman"/>
          <w:b/>
          <w:sz w:val="32"/>
        </w:rPr>
      </w:pPr>
    </w:p>
    <w:p w14:paraId="0373FAE9" w14:textId="77777777" w:rsidR="00DD1FCA" w:rsidRDefault="00DD1FCA" w:rsidP="00A72B86">
      <w:pPr>
        <w:spacing w:line="360" w:lineRule="auto"/>
        <w:ind w:left="557" w:right="395"/>
        <w:jc w:val="center"/>
        <w:rPr>
          <w:rFonts w:ascii="Times New Roman"/>
          <w:b/>
          <w:sz w:val="32"/>
        </w:rPr>
      </w:pPr>
    </w:p>
    <w:p w14:paraId="53BA2145" w14:textId="216DD160" w:rsidR="007D5C9B" w:rsidRPr="00DD1FCA" w:rsidRDefault="000611E2" w:rsidP="00A72B86">
      <w:pPr>
        <w:spacing w:line="360" w:lineRule="auto"/>
        <w:ind w:left="557" w:right="395"/>
        <w:jc w:val="center"/>
        <w:rPr>
          <w:rFonts w:ascii="Times New Roman" w:eastAsia="Times New Roman" w:hAnsi="Times New Roman" w:cs="Times New Roman"/>
          <w:sz w:val="32"/>
          <w:szCs w:val="32"/>
        </w:rPr>
      </w:pPr>
      <w:r>
        <w:rPr>
          <w:rFonts w:ascii="Times New Roman"/>
          <w:b/>
          <w:sz w:val="32"/>
        </w:rPr>
        <w:t>D</w:t>
      </w:r>
      <w:r w:rsidR="00256900">
        <w:rPr>
          <w:rFonts w:ascii="Times New Roman"/>
          <w:b/>
          <w:sz w:val="32"/>
        </w:rPr>
        <w:t>IRECTORA NACIONAL</w:t>
      </w:r>
      <w:r w:rsidR="007D5C9B" w:rsidRPr="006F4460">
        <w:rPr>
          <w:rFonts w:ascii="Times New Roman"/>
          <w:b/>
          <w:sz w:val="32"/>
        </w:rPr>
        <w:t xml:space="preserve"> DE</w:t>
      </w:r>
      <w:r w:rsidR="007D5C9B" w:rsidRPr="006F4460">
        <w:rPr>
          <w:rFonts w:ascii="Times New Roman"/>
          <w:b/>
          <w:spacing w:val="-11"/>
          <w:sz w:val="32"/>
        </w:rPr>
        <w:t xml:space="preserve"> </w:t>
      </w:r>
      <w:r w:rsidR="007D5C9B" w:rsidRPr="006F4460">
        <w:rPr>
          <w:rFonts w:ascii="Times New Roman"/>
          <w:b/>
          <w:sz w:val="32"/>
        </w:rPr>
        <w:t>POSTGRADO</w:t>
      </w:r>
    </w:p>
    <w:p w14:paraId="269B3301" w14:textId="1F26DB31" w:rsidR="007D5C9B" w:rsidRDefault="00957657" w:rsidP="00A72B86">
      <w:pPr>
        <w:widowControl/>
        <w:spacing w:after="160" w:line="360" w:lineRule="auto"/>
        <w:jc w:val="center"/>
        <w:rPr>
          <w:rFonts w:ascii="Times New Roman" w:hAnsi="Times New Roman" w:cs="Times New Roman"/>
          <w:sz w:val="20"/>
          <w:szCs w:val="20"/>
        </w:rPr>
      </w:pPr>
      <w:r>
        <w:rPr>
          <w:rFonts w:ascii="Times New Roman" w:hAnsi="Times New Roman"/>
          <w:b/>
          <w:sz w:val="32"/>
          <w:szCs w:val="32"/>
        </w:rPr>
        <w:t>ANA DEL CARMEN RETTALLY</w:t>
      </w:r>
      <w:r w:rsidR="00DD1FCA">
        <w:rPr>
          <w:rFonts w:ascii="Times New Roman" w:hAnsi="Times New Roman"/>
          <w:b/>
          <w:sz w:val="32"/>
          <w:szCs w:val="32"/>
        </w:rPr>
        <w:t xml:space="preserve"> VARGAS</w:t>
      </w:r>
    </w:p>
    <w:p w14:paraId="2B006629" w14:textId="77777777" w:rsidR="007D5C9B" w:rsidRPr="00F11352" w:rsidRDefault="007D5C9B" w:rsidP="00A72B86">
      <w:pPr>
        <w:widowControl/>
        <w:spacing w:after="160" w:line="360" w:lineRule="auto"/>
        <w:rPr>
          <w:rFonts w:ascii="Times New Roman" w:hAnsi="Times New Roman" w:cs="Times New Roman"/>
          <w:sz w:val="20"/>
          <w:szCs w:val="20"/>
        </w:rPr>
      </w:pPr>
      <w:r>
        <w:rPr>
          <w:rFonts w:ascii="Times New Roman" w:hAnsi="Times New Roman" w:cs="Times New Roman"/>
          <w:sz w:val="20"/>
          <w:szCs w:val="20"/>
        </w:rPr>
        <w:br w:type="page"/>
      </w:r>
    </w:p>
    <w:p w14:paraId="38089E35" w14:textId="7186732F" w:rsidR="00FA6A60" w:rsidRDefault="00FA6A60" w:rsidP="00FA6A60">
      <w:pPr>
        <w:spacing w:line="360" w:lineRule="auto"/>
        <w:jc w:val="center"/>
        <w:rPr>
          <w:rFonts w:ascii="Times New Roman" w:hAnsi="Times New Roman" w:cs="Times New Roman"/>
          <w:b/>
          <w:sz w:val="32"/>
          <w:szCs w:val="32"/>
        </w:rPr>
      </w:pPr>
      <w:r w:rsidRPr="00FD2000">
        <w:rPr>
          <w:rFonts w:ascii="Times New Roman" w:hAnsi="Times New Roman" w:cs="Times New Roman"/>
          <w:b/>
          <w:sz w:val="32"/>
          <w:szCs w:val="32"/>
        </w:rPr>
        <w:lastRenderedPageBreak/>
        <w:t xml:space="preserve">ANÁLISIS DE MOROSIDAD EN LA CARTERA DE CRÉDITO DE </w:t>
      </w:r>
      <w:r>
        <w:rPr>
          <w:rFonts w:ascii="Times New Roman" w:hAnsi="Times New Roman" w:cs="Times New Roman"/>
          <w:b/>
          <w:sz w:val="32"/>
          <w:szCs w:val="32"/>
        </w:rPr>
        <w:t>LA</w:t>
      </w:r>
      <w:r w:rsidRPr="00FD2000">
        <w:rPr>
          <w:rFonts w:ascii="Times New Roman" w:hAnsi="Times New Roman" w:cs="Times New Roman"/>
          <w:b/>
          <w:sz w:val="32"/>
          <w:szCs w:val="32"/>
        </w:rPr>
        <w:t xml:space="preserve"> MICROFINANCIERA </w:t>
      </w:r>
      <w:r w:rsidR="00E5074B">
        <w:rPr>
          <w:rFonts w:ascii="Times New Roman" w:hAnsi="Times New Roman" w:cs="Times New Roman"/>
          <w:b/>
          <w:sz w:val="32"/>
          <w:szCs w:val="32"/>
        </w:rPr>
        <w:t>“XYZ”</w:t>
      </w:r>
      <w:r w:rsidRPr="00FD2000">
        <w:rPr>
          <w:rFonts w:ascii="Times New Roman" w:hAnsi="Times New Roman" w:cs="Times New Roman"/>
          <w:b/>
          <w:sz w:val="32"/>
          <w:szCs w:val="32"/>
        </w:rPr>
        <w:t xml:space="preserve"> </w:t>
      </w:r>
      <w:r>
        <w:rPr>
          <w:rFonts w:ascii="Times New Roman" w:hAnsi="Times New Roman" w:cs="Times New Roman"/>
          <w:b/>
          <w:sz w:val="32"/>
          <w:szCs w:val="32"/>
        </w:rPr>
        <w:t>EN HONDURAS, DURANTE EL PERÍODO</w:t>
      </w:r>
      <w:r w:rsidRPr="00FD2000">
        <w:rPr>
          <w:rFonts w:ascii="Times New Roman" w:hAnsi="Times New Roman" w:cs="Times New Roman"/>
          <w:b/>
          <w:sz w:val="32"/>
          <w:szCs w:val="32"/>
        </w:rPr>
        <w:t xml:space="preserve"> 2019</w:t>
      </w:r>
      <w:r>
        <w:rPr>
          <w:rFonts w:ascii="Times New Roman" w:hAnsi="Times New Roman" w:cs="Times New Roman"/>
          <w:b/>
          <w:sz w:val="32"/>
          <w:szCs w:val="32"/>
        </w:rPr>
        <w:t>-</w:t>
      </w:r>
      <w:r w:rsidRPr="00FD2000">
        <w:rPr>
          <w:rFonts w:ascii="Times New Roman" w:hAnsi="Times New Roman" w:cs="Times New Roman"/>
          <w:b/>
          <w:sz w:val="32"/>
          <w:szCs w:val="32"/>
        </w:rPr>
        <w:t>2023.</w:t>
      </w:r>
    </w:p>
    <w:p w14:paraId="01B6BD53" w14:textId="77777777" w:rsidR="00A72B86" w:rsidRDefault="00A72B86" w:rsidP="00A72B86">
      <w:pPr>
        <w:spacing w:before="177" w:line="360" w:lineRule="auto"/>
        <w:ind w:left="557" w:right="393"/>
        <w:jc w:val="center"/>
        <w:rPr>
          <w:rFonts w:ascii="Times New Roman" w:hAnsi="Times New Roman" w:cs="Times New Roman"/>
          <w:b/>
          <w:sz w:val="32"/>
        </w:rPr>
      </w:pPr>
    </w:p>
    <w:p w14:paraId="7BE0A552" w14:textId="74332AF4" w:rsidR="00A72B86" w:rsidRPr="00D3123C" w:rsidRDefault="007D5C9B" w:rsidP="00A72B86">
      <w:pPr>
        <w:spacing w:before="177" w:line="360" w:lineRule="auto"/>
        <w:ind w:left="557" w:right="393"/>
        <w:jc w:val="center"/>
        <w:rPr>
          <w:rFonts w:ascii="Times New Roman" w:hAnsi="Times New Roman" w:cs="Times New Roman"/>
          <w:b/>
          <w:sz w:val="32"/>
        </w:rPr>
      </w:pPr>
      <w:r w:rsidRPr="00D3123C">
        <w:rPr>
          <w:rFonts w:ascii="Times New Roman" w:hAnsi="Times New Roman" w:cs="Times New Roman"/>
          <w:b/>
          <w:sz w:val="32"/>
        </w:rPr>
        <w:t>TRABAJO PRESENTADO EN CUMPLIMIENTO DE LOS REQUISITOS EXIGIDOS PARA OPTAR AL TÍTULO DE</w:t>
      </w:r>
    </w:p>
    <w:p w14:paraId="67959A6C" w14:textId="5A89D552" w:rsidR="007D5C9B" w:rsidRPr="00A72B86" w:rsidRDefault="007D5C9B" w:rsidP="00A72B86">
      <w:pPr>
        <w:spacing w:before="177" w:line="360" w:lineRule="auto"/>
        <w:ind w:left="557" w:right="393"/>
        <w:jc w:val="center"/>
        <w:rPr>
          <w:rFonts w:ascii="Times New Roman" w:hAnsi="Times New Roman" w:cs="Times New Roman"/>
          <w:b/>
          <w:sz w:val="32"/>
        </w:rPr>
      </w:pPr>
      <w:r w:rsidRPr="00D3123C">
        <w:rPr>
          <w:rFonts w:ascii="Times New Roman" w:hAnsi="Times New Roman" w:cs="Times New Roman"/>
          <w:b/>
          <w:sz w:val="32"/>
        </w:rPr>
        <w:t>MÁSTER EN</w:t>
      </w:r>
    </w:p>
    <w:p w14:paraId="3311D780" w14:textId="1A800166" w:rsidR="007D5C9B" w:rsidRDefault="007806E2" w:rsidP="00A72B86">
      <w:pPr>
        <w:spacing w:line="360" w:lineRule="auto"/>
        <w:ind w:left="557" w:right="388"/>
        <w:jc w:val="center"/>
        <w:rPr>
          <w:rFonts w:ascii="Times New Roman" w:eastAsia="Times New Roman" w:hAnsi="Times New Roman" w:cs="Times New Roman"/>
          <w:b/>
          <w:sz w:val="32"/>
          <w:szCs w:val="32"/>
        </w:rPr>
      </w:pPr>
      <w:r>
        <w:rPr>
          <w:rFonts w:ascii="Times New Roman" w:hAnsi="Times New Roman"/>
          <w:b/>
          <w:sz w:val="32"/>
          <w:szCs w:val="32"/>
        </w:rPr>
        <w:t>FINANZAS</w:t>
      </w:r>
    </w:p>
    <w:p w14:paraId="2E32F711" w14:textId="77777777" w:rsidR="00A72B86" w:rsidRPr="00A72B86" w:rsidRDefault="00A72B86" w:rsidP="00A72B86">
      <w:pPr>
        <w:spacing w:line="360" w:lineRule="auto"/>
        <w:ind w:left="557" w:right="388"/>
        <w:jc w:val="center"/>
        <w:rPr>
          <w:rFonts w:ascii="Times New Roman" w:eastAsia="Times New Roman" w:hAnsi="Times New Roman" w:cs="Times New Roman"/>
          <w:b/>
          <w:sz w:val="32"/>
          <w:szCs w:val="32"/>
        </w:rPr>
      </w:pPr>
    </w:p>
    <w:p w14:paraId="6059C3F0" w14:textId="74C97F28" w:rsidR="007D5C9B" w:rsidRPr="00A72B86" w:rsidRDefault="007D5C9B" w:rsidP="00A72B86">
      <w:pPr>
        <w:spacing w:before="177" w:line="360" w:lineRule="auto"/>
        <w:ind w:left="557" w:right="393"/>
        <w:jc w:val="center"/>
        <w:rPr>
          <w:rFonts w:ascii="Times New Roman" w:hAnsi="Times New Roman" w:cs="Times New Roman"/>
          <w:b/>
          <w:sz w:val="32"/>
        </w:rPr>
      </w:pPr>
      <w:r w:rsidRPr="00D3123C">
        <w:rPr>
          <w:rFonts w:ascii="Times New Roman" w:hAnsi="Times New Roman" w:cs="Times New Roman"/>
          <w:b/>
          <w:sz w:val="32"/>
        </w:rPr>
        <w:t xml:space="preserve">ASESOR </w:t>
      </w:r>
    </w:p>
    <w:p w14:paraId="574F3479" w14:textId="7120269A" w:rsidR="007D5C9B" w:rsidRDefault="007806E2" w:rsidP="00A72B86">
      <w:pPr>
        <w:spacing w:line="360" w:lineRule="auto"/>
        <w:ind w:left="1586" w:right="1405"/>
        <w:jc w:val="center"/>
        <w:rPr>
          <w:rFonts w:ascii="Times New Roman" w:hAnsi="Times New Roman"/>
          <w:b/>
          <w:sz w:val="32"/>
          <w:szCs w:val="32"/>
        </w:rPr>
      </w:pPr>
      <w:r>
        <w:rPr>
          <w:rFonts w:ascii="Times New Roman" w:hAnsi="Times New Roman"/>
          <w:b/>
          <w:sz w:val="32"/>
          <w:szCs w:val="32"/>
        </w:rPr>
        <w:t>JAVIER RENÉ SANTOS MUNGUÍA</w:t>
      </w:r>
    </w:p>
    <w:p w14:paraId="381BB874" w14:textId="77777777" w:rsidR="00A72B86" w:rsidRPr="00A72B86" w:rsidRDefault="00A72B86" w:rsidP="00A72B86">
      <w:pPr>
        <w:spacing w:line="360" w:lineRule="auto"/>
        <w:ind w:left="1586" w:right="1405"/>
        <w:jc w:val="center"/>
        <w:rPr>
          <w:rFonts w:ascii="Times New Roman" w:eastAsia="Times New Roman" w:hAnsi="Times New Roman" w:cs="Times New Roman"/>
          <w:sz w:val="32"/>
          <w:szCs w:val="32"/>
        </w:rPr>
      </w:pPr>
    </w:p>
    <w:p w14:paraId="07D1655D" w14:textId="77777777" w:rsidR="00AE496D" w:rsidRDefault="007D5C9B" w:rsidP="00AE496D">
      <w:pPr>
        <w:spacing w:before="157" w:line="360" w:lineRule="auto"/>
        <w:ind w:left="1592" w:right="1405"/>
        <w:jc w:val="center"/>
        <w:rPr>
          <w:rFonts w:ascii="Times New Roman" w:hAnsi="Times New Roman"/>
          <w:b/>
          <w:sz w:val="32"/>
        </w:rPr>
      </w:pPr>
      <w:r w:rsidRPr="006F4460">
        <w:rPr>
          <w:rFonts w:ascii="Times New Roman" w:hAnsi="Times New Roman"/>
          <w:b/>
          <w:sz w:val="32"/>
        </w:rPr>
        <w:t xml:space="preserve">MIEMBROS DE LA </w:t>
      </w:r>
      <w:r w:rsidR="00AE496D">
        <w:rPr>
          <w:rFonts w:ascii="Times New Roman" w:hAnsi="Times New Roman"/>
          <w:b/>
          <w:sz w:val="32"/>
        </w:rPr>
        <w:t>COMISIÓN EVALUADORA</w:t>
      </w:r>
      <w:r w:rsidRPr="006F4460">
        <w:rPr>
          <w:rFonts w:ascii="Times New Roman" w:hAnsi="Times New Roman"/>
          <w:b/>
          <w:sz w:val="32"/>
        </w:rPr>
        <w:t>:</w:t>
      </w:r>
    </w:p>
    <w:p w14:paraId="2D66879A" w14:textId="0341A130" w:rsidR="00F11352" w:rsidRPr="00AE496D" w:rsidRDefault="00AE496D" w:rsidP="00AE496D">
      <w:pPr>
        <w:spacing w:before="157" w:line="360" w:lineRule="auto"/>
        <w:ind w:left="1592" w:right="1405"/>
        <w:jc w:val="center"/>
        <w:rPr>
          <w:rFonts w:ascii="Times New Roman" w:hAnsi="Times New Roman"/>
          <w:b/>
          <w:sz w:val="32"/>
        </w:rPr>
      </w:pPr>
      <w:r>
        <w:rPr>
          <w:rFonts w:ascii="Times New Roman" w:hAnsi="Times New Roman"/>
          <w:b/>
          <w:sz w:val="32"/>
          <w:szCs w:val="32"/>
        </w:rPr>
        <w:t>VIVIAN MICHELLE CÁRDENAS HERNÁNDEZ</w:t>
      </w:r>
    </w:p>
    <w:p w14:paraId="4ABE08F5" w14:textId="27CEF7F1" w:rsidR="00AE496D" w:rsidRPr="00F11352" w:rsidRDefault="00AE496D" w:rsidP="00A72B86">
      <w:pPr>
        <w:spacing w:line="360" w:lineRule="auto"/>
        <w:ind w:left="1586" w:right="1405"/>
        <w:jc w:val="center"/>
        <w:rPr>
          <w:rFonts w:ascii="Times New Roman" w:eastAsia="Times New Roman" w:hAnsi="Times New Roman" w:cs="Times New Roman"/>
          <w:sz w:val="32"/>
          <w:szCs w:val="32"/>
        </w:rPr>
      </w:pPr>
      <w:r>
        <w:rPr>
          <w:rFonts w:ascii="Times New Roman" w:hAnsi="Times New Roman"/>
          <w:b/>
          <w:sz w:val="32"/>
          <w:szCs w:val="32"/>
        </w:rPr>
        <w:t>HENRY ANTONIO OSORTO RUIZ</w:t>
      </w:r>
    </w:p>
    <w:p w14:paraId="516CDC50" w14:textId="77777777" w:rsidR="00F11352" w:rsidRDefault="00F11352" w:rsidP="00A72B86">
      <w:pPr>
        <w:spacing w:line="360" w:lineRule="auto"/>
        <w:ind w:left="1586" w:right="1405"/>
        <w:jc w:val="center"/>
        <w:rPr>
          <w:rFonts w:ascii="Times New Roman" w:eastAsia="Times New Roman" w:hAnsi="Times New Roman" w:cs="Times New Roman"/>
          <w:sz w:val="32"/>
          <w:szCs w:val="32"/>
        </w:rPr>
      </w:pPr>
    </w:p>
    <w:p w14:paraId="584CB9D6" w14:textId="77777777" w:rsidR="00F11352" w:rsidRPr="00F11352" w:rsidRDefault="00F11352" w:rsidP="00A72B86">
      <w:pPr>
        <w:spacing w:line="360" w:lineRule="auto"/>
        <w:ind w:left="1586" w:right="1405"/>
        <w:jc w:val="center"/>
        <w:rPr>
          <w:rFonts w:ascii="Times New Roman" w:eastAsia="Times New Roman" w:hAnsi="Times New Roman" w:cs="Times New Roman"/>
          <w:sz w:val="32"/>
          <w:szCs w:val="32"/>
        </w:rPr>
      </w:pPr>
    </w:p>
    <w:p w14:paraId="1282193E" w14:textId="77777777" w:rsidR="007D5C9B" w:rsidRPr="006F4460" w:rsidRDefault="007D5C9B" w:rsidP="007D5C9B">
      <w:pPr>
        <w:jc w:val="center"/>
        <w:rPr>
          <w:rFonts w:ascii="Times New Roman" w:eastAsia="Times New Roman" w:hAnsi="Times New Roman" w:cs="Times New Roman"/>
          <w:sz w:val="32"/>
          <w:szCs w:val="32"/>
        </w:rPr>
        <w:sectPr w:rsidR="007D5C9B" w:rsidRPr="006F4460" w:rsidSect="00342E08">
          <w:footerReference w:type="default" r:id="rId9"/>
          <w:pgSz w:w="12240" w:h="15840"/>
          <w:pgMar w:top="1440" w:right="1440" w:bottom="1440" w:left="1440" w:header="0" w:footer="1049" w:gutter="0"/>
          <w:cols w:space="720"/>
        </w:sectPr>
      </w:pPr>
    </w:p>
    <w:p w14:paraId="633A6954" w14:textId="77777777" w:rsidR="007D5C9B" w:rsidRDefault="007D5C9B" w:rsidP="007D5C9B">
      <w:pPr>
        <w:spacing w:before="2"/>
        <w:rPr>
          <w:rFonts w:ascii="Times New Roman" w:eastAsia="Times New Roman" w:hAnsi="Times New Roman" w:cs="Times New Roman"/>
          <w:sz w:val="32"/>
          <w:szCs w:val="32"/>
        </w:rPr>
      </w:pPr>
      <w:bookmarkStart w:id="0" w:name="_bookmark80"/>
      <w:bookmarkStart w:id="1" w:name="_bookmark81"/>
      <w:bookmarkEnd w:id="0"/>
      <w:bookmarkEnd w:id="1"/>
    </w:p>
    <w:p w14:paraId="52E7ADEE" w14:textId="77777777" w:rsidR="007D5C9B" w:rsidRPr="006F4460" w:rsidRDefault="007D5C9B" w:rsidP="007D5C9B">
      <w:pPr>
        <w:spacing w:before="2"/>
        <w:rPr>
          <w:rFonts w:ascii="Times New Roman" w:eastAsia="Times New Roman" w:hAnsi="Times New Roman" w:cs="Times New Roman"/>
          <w:sz w:val="32"/>
          <w:szCs w:val="32"/>
        </w:rPr>
      </w:pPr>
    </w:p>
    <w:p w14:paraId="1D086B50" w14:textId="77777777" w:rsidR="007D5C9B" w:rsidRPr="00D3123C" w:rsidRDefault="007D5C9B" w:rsidP="007D5C9B">
      <w:pPr>
        <w:jc w:val="center"/>
        <w:rPr>
          <w:rFonts w:ascii="Times New Roman" w:hAnsi="Times New Roman" w:cs="Times New Roman"/>
          <w:b/>
          <w:bCs/>
          <w:sz w:val="32"/>
          <w:szCs w:val="32"/>
        </w:rPr>
      </w:pPr>
      <w:r w:rsidRPr="00D3123C">
        <w:rPr>
          <w:rFonts w:ascii="Times New Roman" w:hAnsi="Times New Roman" w:cs="Times New Roman"/>
          <w:b/>
          <w:sz w:val="32"/>
          <w:szCs w:val="32"/>
        </w:rPr>
        <w:t>DERECHOS DE</w:t>
      </w:r>
      <w:r w:rsidRPr="00D3123C">
        <w:rPr>
          <w:rFonts w:ascii="Times New Roman" w:hAnsi="Times New Roman" w:cs="Times New Roman"/>
          <w:b/>
          <w:spacing w:val="-5"/>
          <w:sz w:val="32"/>
          <w:szCs w:val="32"/>
        </w:rPr>
        <w:t xml:space="preserve"> </w:t>
      </w:r>
      <w:r w:rsidRPr="00D3123C">
        <w:rPr>
          <w:rFonts w:ascii="Times New Roman" w:hAnsi="Times New Roman" w:cs="Times New Roman"/>
          <w:b/>
          <w:sz w:val="32"/>
          <w:szCs w:val="32"/>
        </w:rPr>
        <w:t>AUTOR</w:t>
      </w:r>
    </w:p>
    <w:p w14:paraId="6709AC75" w14:textId="77777777" w:rsidR="007D5C9B" w:rsidRPr="006F4460" w:rsidRDefault="007D5C9B" w:rsidP="007D5C9B">
      <w:pPr>
        <w:rPr>
          <w:rFonts w:ascii="Times New Roman" w:eastAsia="Times New Roman" w:hAnsi="Times New Roman" w:cs="Times New Roman"/>
          <w:b/>
          <w:bCs/>
          <w:sz w:val="28"/>
          <w:szCs w:val="28"/>
        </w:rPr>
      </w:pPr>
    </w:p>
    <w:p w14:paraId="792A00E2" w14:textId="77777777" w:rsidR="007D5C9B" w:rsidRPr="006F4460" w:rsidRDefault="007D5C9B" w:rsidP="007D5C9B">
      <w:pPr>
        <w:rPr>
          <w:rFonts w:ascii="Times New Roman" w:eastAsia="Times New Roman" w:hAnsi="Times New Roman" w:cs="Times New Roman"/>
          <w:b/>
          <w:bCs/>
          <w:sz w:val="28"/>
          <w:szCs w:val="28"/>
        </w:rPr>
      </w:pPr>
    </w:p>
    <w:p w14:paraId="5B70CC05" w14:textId="77777777" w:rsidR="007D5C9B" w:rsidRPr="006F4460" w:rsidRDefault="007D5C9B" w:rsidP="007D5C9B">
      <w:pPr>
        <w:rPr>
          <w:rFonts w:ascii="Times New Roman" w:eastAsia="Times New Roman" w:hAnsi="Times New Roman" w:cs="Times New Roman"/>
          <w:b/>
          <w:bCs/>
          <w:sz w:val="28"/>
          <w:szCs w:val="28"/>
        </w:rPr>
      </w:pPr>
    </w:p>
    <w:p w14:paraId="114FC7A4" w14:textId="77777777" w:rsidR="007D5C9B" w:rsidRPr="006F4460" w:rsidRDefault="007D5C9B" w:rsidP="007D5C9B">
      <w:pPr>
        <w:rPr>
          <w:rFonts w:ascii="Times New Roman" w:eastAsia="Times New Roman" w:hAnsi="Times New Roman" w:cs="Times New Roman"/>
          <w:b/>
          <w:bCs/>
          <w:sz w:val="28"/>
          <w:szCs w:val="28"/>
        </w:rPr>
      </w:pPr>
    </w:p>
    <w:p w14:paraId="3CAAA0AA" w14:textId="77777777" w:rsidR="007D5C9B" w:rsidRPr="006F4460" w:rsidRDefault="007D5C9B" w:rsidP="007D5C9B">
      <w:pPr>
        <w:rPr>
          <w:rFonts w:ascii="Times New Roman" w:eastAsia="Times New Roman" w:hAnsi="Times New Roman" w:cs="Times New Roman"/>
          <w:b/>
          <w:bCs/>
          <w:sz w:val="28"/>
          <w:szCs w:val="28"/>
        </w:rPr>
      </w:pPr>
    </w:p>
    <w:p w14:paraId="78E27B89" w14:textId="77777777" w:rsidR="007D5C9B" w:rsidRPr="006F4460" w:rsidRDefault="007D5C9B" w:rsidP="007D5C9B">
      <w:pPr>
        <w:rPr>
          <w:rFonts w:ascii="Times New Roman" w:eastAsia="Times New Roman" w:hAnsi="Times New Roman" w:cs="Times New Roman"/>
          <w:b/>
          <w:bCs/>
          <w:sz w:val="28"/>
          <w:szCs w:val="28"/>
        </w:rPr>
      </w:pPr>
    </w:p>
    <w:p w14:paraId="23AA388C" w14:textId="77777777" w:rsidR="007D5C9B" w:rsidRPr="006F4460" w:rsidRDefault="007D5C9B" w:rsidP="007D5C9B">
      <w:pPr>
        <w:rPr>
          <w:rFonts w:ascii="Times New Roman" w:eastAsia="Times New Roman" w:hAnsi="Times New Roman" w:cs="Times New Roman"/>
          <w:b/>
          <w:bCs/>
          <w:sz w:val="28"/>
          <w:szCs w:val="28"/>
        </w:rPr>
      </w:pPr>
    </w:p>
    <w:p w14:paraId="54481D6A" w14:textId="77777777" w:rsidR="007D5C9B" w:rsidRPr="006F4460" w:rsidRDefault="007D5C9B" w:rsidP="007D5C9B">
      <w:pPr>
        <w:rPr>
          <w:rFonts w:ascii="Times New Roman" w:eastAsia="Times New Roman" w:hAnsi="Times New Roman" w:cs="Times New Roman"/>
          <w:b/>
          <w:bCs/>
          <w:sz w:val="28"/>
          <w:szCs w:val="28"/>
        </w:rPr>
      </w:pPr>
    </w:p>
    <w:p w14:paraId="6D9D3B14" w14:textId="77777777" w:rsidR="007D5C9B" w:rsidRPr="006F4460" w:rsidRDefault="007D5C9B" w:rsidP="007D5C9B">
      <w:pPr>
        <w:rPr>
          <w:rFonts w:ascii="Times New Roman" w:eastAsia="Times New Roman" w:hAnsi="Times New Roman" w:cs="Times New Roman"/>
          <w:b/>
          <w:bCs/>
          <w:sz w:val="28"/>
          <w:szCs w:val="28"/>
        </w:rPr>
      </w:pPr>
    </w:p>
    <w:p w14:paraId="43F06AB9" w14:textId="77777777" w:rsidR="007D5C9B" w:rsidRPr="006F4460" w:rsidRDefault="007D5C9B" w:rsidP="007D5C9B">
      <w:pPr>
        <w:rPr>
          <w:rFonts w:ascii="Times New Roman" w:eastAsia="Times New Roman" w:hAnsi="Times New Roman" w:cs="Times New Roman"/>
          <w:b/>
          <w:bCs/>
          <w:sz w:val="28"/>
          <w:szCs w:val="28"/>
        </w:rPr>
      </w:pPr>
    </w:p>
    <w:p w14:paraId="793B09CE" w14:textId="77777777" w:rsidR="007D5C9B" w:rsidRPr="006F4460" w:rsidRDefault="007D5C9B" w:rsidP="007D5C9B">
      <w:pPr>
        <w:rPr>
          <w:rFonts w:ascii="Times New Roman" w:eastAsia="Times New Roman" w:hAnsi="Times New Roman" w:cs="Times New Roman"/>
          <w:b/>
          <w:bCs/>
          <w:sz w:val="28"/>
          <w:szCs w:val="28"/>
        </w:rPr>
      </w:pPr>
    </w:p>
    <w:p w14:paraId="68F4126E" w14:textId="77777777" w:rsidR="007D5C9B" w:rsidRPr="006F4460" w:rsidRDefault="007D5C9B" w:rsidP="007D5C9B">
      <w:pPr>
        <w:rPr>
          <w:rFonts w:ascii="Times New Roman" w:eastAsia="Times New Roman" w:hAnsi="Times New Roman" w:cs="Times New Roman"/>
          <w:b/>
          <w:bCs/>
          <w:sz w:val="28"/>
          <w:szCs w:val="28"/>
        </w:rPr>
      </w:pPr>
    </w:p>
    <w:p w14:paraId="7673E3B1" w14:textId="77777777" w:rsidR="007D5C9B" w:rsidRPr="006F4460" w:rsidRDefault="007D5C9B" w:rsidP="007D5C9B">
      <w:pPr>
        <w:rPr>
          <w:rFonts w:ascii="Times New Roman" w:eastAsia="Times New Roman" w:hAnsi="Times New Roman" w:cs="Times New Roman"/>
          <w:b/>
          <w:bCs/>
          <w:sz w:val="28"/>
          <w:szCs w:val="28"/>
        </w:rPr>
      </w:pPr>
    </w:p>
    <w:p w14:paraId="56F3066B" w14:textId="77777777" w:rsidR="007D5C9B" w:rsidRPr="006F4460" w:rsidRDefault="007D5C9B" w:rsidP="007D5C9B">
      <w:pPr>
        <w:rPr>
          <w:rFonts w:ascii="Times New Roman" w:eastAsia="Times New Roman" w:hAnsi="Times New Roman" w:cs="Times New Roman"/>
          <w:b/>
          <w:bCs/>
          <w:sz w:val="28"/>
          <w:szCs w:val="28"/>
        </w:rPr>
      </w:pPr>
    </w:p>
    <w:p w14:paraId="444A204C" w14:textId="77777777" w:rsidR="007D5C9B" w:rsidRPr="006F4460" w:rsidRDefault="007D5C9B" w:rsidP="007D5C9B">
      <w:pPr>
        <w:spacing w:before="3"/>
        <w:rPr>
          <w:rFonts w:ascii="Times New Roman" w:eastAsia="Times New Roman" w:hAnsi="Times New Roman" w:cs="Times New Roman"/>
          <w:b/>
          <w:bCs/>
          <w:sz w:val="37"/>
          <w:szCs w:val="37"/>
        </w:rPr>
      </w:pPr>
    </w:p>
    <w:p w14:paraId="6AC5CCE3" w14:textId="1869B508" w:rsidR="007D5C9B" w:rsidRPr="006F4460" w:rsidRDefault="007D5C9B" w:rsidP="007D5C9B">
      <w:pPr>
        <w:pStyle w:val="Textoindependiente"/>
        <w:ind w:left="3029" w:right="2473" w:firstLine="0"/>
        <w:jc w:val="center"/>
      </w:pPr>
      <w:r w:rsidRPr="006F4460">
        <w:t>© Copyright</w:t>
      </w:r>
      <w:r w:rsidRPr="006F4460">
        <w:rPr>
          <w:spacing w:val="-4"/>
        </w:rPr>
        <w:t xml:space="preserve"> </w:t>
      </w:r>
      <w:r w:rsidR="009D7CF1">
        <w:t>20</w:t>
      </w:r>
      <w:r w:rsidR="00957657">
        <w:t>2</w:t>
      </w:r>
      <w:r w:rsidR="007806E2">
        <w:t>4</w:t>
      </w:r>
    </w:p>
    <w:p w14:paraId="41521308" w14:textId="723D9888" w:rsidR="007D5C9B" w:rsidRDefault="007806E2" w:rsidP="007D5C9B">
      <w:pPr>
        <w:pStyle w:val="Textoindependiente"/>
        <w:spacing w:before="5"/>
        <w:ind w:left="3029" w:right="2470" w:firstLine="0"/>
        <w:jc w:val="center"/>
      </w:pPr>
      <w:r>
        <w:t>Dania Eloísa Marín Álvarez</w:t>
      </w:r>
    </w:p>
    <w:p w14:paraId="3FB79A4D" w14:textId="4CA46DC2" w:rsidR="009D7CF1" w:rsidRPr="006F4460" w:rsidRDefault="007806E2" w:rsidP="007D5C9B">
      <w:pPr>
        <w:pStyle w:val="Textoindependiente"/>
        <w:spacing w:before="5"/>
        <w:ind w:left="3029" w:right="2470" w:firstLine="0"/>
        <w:jc w:val="center"/>
      </w:pPr>
      <w:r>
        <w:t>Jimmy Rosendo Sánchez Mejía</w:t>
      </w:r>
    </w:p>
    <w:p w14:paraId="04B0E969" w14:textId="77777777" w:rsidR="007D5C9B" w:rsidRPr="006F4460" w:rsidRDefault="007D5C9B" w:rsidP="007D5C9B">
      <w:pPr>
        <w:rPr>
          <w:rFonts w:ascii="Times New Roman" w:eastAsia="Times New Roman" w:hAnsi="Times New Roman" w:cs="Times New Roman"/>
          <w:sz w:val="24"/>
          <w:szCs w:val="24"/>
        </w:rPr>
      </w:pPr>
    </w:p>
    <w:p w14:paraId="11F709E9" w14:textId="77777777" w:rsidR="007D5C9B" w:rsidRPr="006F4460" w:rsidRDefault="007D5C9B" w:rsidP="007D5C9B">
      <w:pPr>
        <w:rPr>
          <w:rFonts w:ascii="Times New Roman" w:eastAsia="Times New Roman" w:hAnsi="Times New Roman" w:cs="Times New Roman"/>
          <w:sz w:val="24"/>
          <w:szCs w:val="24"/>
        </w:rPr>
      </w:pPr>
    </w:p>
    <w:p w14:paraId="4D43DBED" w14:textId="77777777" w:rsidR="007D5C9B" w:rsidRPr="006F4460" w:rsidRDefault="007D5C9B" w:rsidP="007D5C9B">
      <w:pPr>
        <w:rPr>
          <w:rFonts w:ascii="Times New Roman" w:eastAsia="Times New Roman" w:hAnsi="Times New Roman" w:cs="Times New Roman"/>
          <w:sz w:val="24"/>
          <w:szCs w:val="24"/>
        </w:rPr>
      </w:pPr>
    </w:p>
    <w:p w14:paraId="3F58FA59" w14:textId="77777777" w:rsidR="007D5C9B" w:rsidRPr="006F4460" w:rsidRDefault="007D5C9B" w:rsidP="007D5C9B">
      <w:pPr>
        <w:rPr>
          <w:rFonts w:ascii="Times New Roman" w:eastAsia="Times New Roman" w:hAnsi="Times New Roman" w:cs="Times New Roman"/>
          <w:sz w:val="24"/>
          <w:szCs w:val="24"/>
        </w:rPr>
      </w:pPr>
    </w:p>
    <w:p w14:paraId="53890DB6" w14:textId="77777777" w:rsidR="007D5C9B" w:rsidRPr="006F4460" w:rsidRDefault="007D5C9B" w:rsidP="007D5C9B">
      <w:pPr>
        <w:rPr>
          <w:rFonts w:ascii="Times New Roman" w:eastAsia="Times New Roman" w:hAnsi="Times New Roman" w:cs="Times New Roman"/>
          <w:sz w:val="24"/>
          <w:szCs w:val="24"/>
        </w:rPr>
      </w:pPr>
    </w:p>
    <w:p w14:paraId="4BDFCFBD" w14:textId="77777777" w:rsidR="007D5C9B" w:rsidRPr="006F4460" w:rsidRDefault="007D5C9B" w:rsidP="007D5C9B">
      <w:pPr>
        <w:rPr>
          <w:rFonts w:ascii="Times New Roman" w:eastAsia="Times New Roman" w:hAnsi="Times New Roman" w:cs="Times New Roman"/>
          <w:sz w:val="24"/>
          <w:szCs w:val="24"/>
        </w:rPr>
      </w:pPr>
    </w:p>
    <w:p w14:paraId="64317095" w14:textId="77777777" w:rsidR="007D5C9B" w:rsidRPr="006F4460" w:rsidRDefault="007D5C9B" w:rsidP="007D5C9B">
      <w:pPr>
        <w:rPr>
          <w:rFonts w:ascii="Times New Roman" w:eastAsia="Times New Roman" w:hAnsi="Times New Roman" w:cs="Times New Roman"/>
          <w:sz w:val="24"/>
          <w:szCs w:val="24"/>
        </w:rPr>
      </w:pPr>
    </w:p>
    <w:p w14:paraId="57B8E5AF" w14:textId="77777777" w:rsidR="007D5C9B" w:rsidRPr="006F4460" w:rsidRDefault="007D5C9B" w:rsidP="007D5C9B">
      <w:pPr>
        <w:rPr>
          <w:rFonts w:ascii="Times New Roman" w:eastAsia="Times New Roman" w:hAnsi="Times New Roman" w:cs="Times New Roman"/>
          <w:sz w:val="24"/>
          <w:szCs w:val="24"/>
        </w:rPr>
      </w:pPr>
    </w:p>
    <w:p w14:paraId="6B505771" w14:textId="77777777" w:rsidR="007D5C9B" w:rsidRPr="006F4460" w:rsidRDefault="007D5C9B" w:rsidP="007D5C9B">
      <w:pPr>
        <w:rPr>
          <w:rFonts w:ascii="Times New Roman" w:eastAsia="Times New Roman" w:hAnsi="Times New Roman" w:cs="Times New Roman"/>
          <w:sz w:val="24"/>
          <w:szCs w:val="24"/>
        </w:rPr>
      </w:pPr>
    </w:p>
    <w:p w14:paraId="04378756" w14:textId="77777777" w:rsidR="007D5C9B" w:rsidRPr="006F4460" w:rsidRDefault="007D5C9B" w:rsidP="007D5C9B">
      <w:pPr>
        <w:rPr>
          <w:rFonts w:ascii="Times New Roman" w:eastAsia="Times New Roman" w:hAnsi="Times New Roman" w:cs="Times New Roman"/>
          <w:sz w:val="24"/>
          <w:szCs w:val="24"/>
        </w:rPr>
      </w:pPr>
    </w:p>
    <w:p w14:paraId="614F9654" w14:textId="77777777" w:rsidR="007D5C9B" w:rsidRPr="006F4460" w:rsidRDefault="007D5C9B" w:rsidP="007D5C9B">
      <w:pPr>
        <w:rPr>
          <w:rFonts w:ascii="Times New Roman" w:eastAsia="Times New Roman" w:hAnsi="Times New Roman" w:cs="Times New Roman"/>
          <w:sz w:val="24"/>
          <w:szCs w:val="24"/>
        </w:rPr>
      </w:pPr>
    </w:p>
    <w:p w14:paraId="4546F52C" w14:textId="77777777" w:rsidR="007D5C9B" w:rsidRPr="006F4460" w:rsidRDefault="007D5C9B" w:rsidP="007D5C9B">
      <w:pPr>
        <w:rPr>
          <w:rFonts w:ascii="Times New Roman" w:eastAsia="Times New Roman" w:hAnsi="Times New Roman" w:cs="Times New Roman"/>
          <w:sz w:val="24"/>
          <w:szCs w:val="24"/>
        </w:rPr>
      </w:pPr>
    </w:p>
    <w:p w14:paraId="4E387EF6" w14:textId="77777777" w:rsidR="007D5C9B" w:rsidRPr="006F4460" w:rsidRDefault="007D5C9B" w:rsidP="007D5C9B">
      <w:pPr>
        <w:pStyle w:val="Textoindependiente"/>
        <w:spacing w:before="147"/>
        <w:ind w:left="3029" w:right="2470" w:firstLine="0"/>
        <w:jc w:val="center"/>
      </w:pPr>
      <w:r w:rsidRPr="006F4460">
        <w:t>Todos los derechos son</w:t>
      </w:r>
      <w:r w:rsidRPr="006F4460">
        <w:rPr>
          <w:spacing w:val="-8"/>
        </w:rPr>
        <w:t xml:space="preserve"> </w:t>
      </w:r>
      <w:r w:rsidRPr="006F4460">
        <w:t>reservados.</w:t>
      </w:r>
    </w:p>
    <w:p w14:paraId="686B855F" w14:textId="77777777" w:rsidR="007D5C9B" w:rsidRPr="006F4460" w:rsidRDefault="007D5C9B" w:rsidP="007D5C9B">
      <w:pPr>
        <w:jc w:val="center"/>
        <w:sectPr w:rsidR="007D5C9B" w:rsidRPr="006F4460" w:rsidSect="00342E08">
          <w:pgSz w:w="12240" w:h="15840"/>
          <w:pgMar w:top="1240" w:right="1220" w:bottom="1240" w:left="1340" w:header="0" w:footer="1047" w:gutter="0"/>
          <w:cols w:space="720"/>
        </w:sectPr>
      </w:pPr>
    </w:p>
    <w:p w14:paraId="70453BE2" w14:textId="77777777" w:rsidR="007D5C9B" w:rsidRPr="00A72B86" w:rsidRDefault="007D5C9B" w:rsidP="00A72B86">
      <w:pPr>
        <w:spacing w:after="120" w:line="360" w:lineRule="auto"/>
        <w:contextualSpacing/>
        <w:jc w:val="center"/>
        <w:rPr>
          <w:rFonts w:ascii="Times New Roman" w:eastAsia="Times New Roman" w:hAnsi="Times New Roman" w:cs="Times New Roman"/>
          <w:sz w:val="28"/>
          <w:szCs w:val="28"/>
        </w:rPr>
      </w:pPr>
      <w:bookmarkStart w:id="2" w:name="_bookmark82"/>
      <w:bookmarkEnd w:id="2"/>
      <w:r w:rsidRPr="00A72B86">
        <w:rPr>
          <w:rFonts w:ascii="Times New Roman" w:hAnsi="Times New Roman" w:cs="Times New Roman"/>
          <w:b/>
          <w:sz w:val="28"/>
        </w:rPr>
        <w:lastRenderedPageBreak/>
        <w:t>AUTORIZACIÓN DEL AUTOR(ES) PARA LA CONSULTA, REPRODUCCIÓN PARCIAL O TOTAL Y</w:t>
      </w:r>
      <w:r w:rsidRPr="00A72B86">
        <w:rPr>
          <w:rFonts w:ascii="Times New Roman" w:hAnsi="Times New Roman" w:cs="Times New Roman"/>
          <w:b/>
          <w:spacing w:val="-21"/>
          <w:sz w:val="28"/>
        </w:rPr>
        <w:t xml:space="preserve"> </w:t>
      </w:r>
      <w:r w:rsidRPr="00A72B86">
        <w:rPr>
          <w:rFonts w:ascii="Times New Roman" w:hAnsi="Times New Roman" w:cs="Times New Roman"/>
          <w:b/>
          <w:sz w:val="28"/>
        </w:rPr>
        <w:t>PUBLICACIÓN</w:t>
      </w:r>
    </w:p>
    <w:p w14:paraId="2B174CEE" w14:textId="77777777" w:rsidR="007D5C9B" w:rsidRPr="00A72B86" w:rsidRDefault="007D5C9B" w:rsidP="00A72B86">
      <w:pPr>
        <w:spacing w:after="120" w:line="360" w:lineRule="auto"/>
        <w:contextualSpacing/>
        <w:jc w:val="center"/>
        <w:rPr>
          <w:rFonts w:ascii="Times New Roman" w:eastAsia="Times New Roman" w:hAnsi="Times New Roman" w:cs="Times New Roman"/>
          <w:sz w:val="28"/>
          <w:szCs w:val="28"/>
        </w:rPr>
      </w:pPr>
      <w:r w:rsidRPr="00A72B86">
        <w:rPr>
          <w:rFonts w:ascii="Times New Roman" w:hAnsi="Times New Roman" w:cs="Times New Roman"/>
          <w:b/>
          <w:sz w:val="28"/>
        </w:rPr>
        <w:t>ELECTRÓNICA DEL TEXTO COMPLETO DE TESIS DE</w:t>
      </w:r>
      <w:r w:rsidRPr="00A72B86">
        <w:rPr>
          <w:rFonts w:ascii="Times New Roman" w:hAnsi="Times New Roman" w:cs="Times New Roman"/>
          <w:b/>
          <w:spacing w:val="-12"/>
          <w:sz w:val="28"/>
        </w:rPr>
        <w:t xml:space="preserve"> </w:t>
      </w:r>
      <w:r w:rsidRPr="00A72B86">
        <w:rPr>
          <w:rFonts w:ascii="Times New Roman" w:hAnsi="Times New Roman" w:cs="Times New Roman"/>
          <w:b/>
          <w:sz w:val="28"/>
        </w:rPr>
        <w:t>POSTGRADO</w:t>
      </w:r>
    </w:p>
    <w:p w14:paraId="5DF89163" w14:textId="77777777" w:rsidR="009D7CF1" w:rsidRPr="00305742" w:rsidRDefault="009D7CF1" w:rsidP="00A72B86">
      <w:pPr>
        <w:pStyle w:val="Textoindependiente"/>
        <w:spacing w:before="159" w:line="360" w:lineRule="auto"/>
        <w:ind w:firstLine="0"/>
        <w:jc w:val="both"/>
        <w:rPr>
          <w:rFonts w:cs="Times New Roman"/>
        </w:rPr>
      </w:pPr>
    </w:p>
    <w:p w14:paraId="7554BFBB" w14:textId="77777777" w:rsidR="003F60B4" w:rsidRPr="00305742" w:rsidRDefault="007D5C9B" w:rsidP="00A72B86">
      <w:pPr>
        <w:spacing w:line="360" w:lineRule="auto"/>
        <w:rPr>
          <w:rFonts w:ascii="Times New Roman" w:hAnsi="Times New Roman" w:cs="Times New Roman"/>
          <w:sz w:val="24"/>
          <w:szCs w:val="24"/>
        </w:rPr>
      </w:pPr>
      <w:r w:rsidRPr="00305742">
        <w:rPr>
          <w:rFonts w:ascii="Times New Roman" w:hAnsi="Times New Roman" w:cs="Times New Roman"/>
          <w:sz w:val="24"/>
          <w:szCs w:val="24"/>
        </w:rPr>
        <w:t>Señores</w:t>
      </w:r>
      <w:bookmarkStart w:id="3" w:name="_Toc474331369"/>
    </w:p>
    <w:p w14:paraId="34A93904" w14:textId="4F4C5C3F" w:rsidR="007D5C9B" w:rsidRPr="00305742" w:rsidRDefault="007D5C9B" w:rsidP="00A72B86">
      <w:pPr>
        <w:spacing w:line="360" w:lineRule="auto"/>
        <w:rPr>
          <w:rFonts w:ascii="Times New Roman" w:eastAsia="Times New Roman" w:hAnsi="Times New Roman" w:cs="Times New Roman"/>
          <w:sz w:val="24"/>
          <w:szCs w:val="24"/>
        </w:rPr>
      </w:pPr>
      <w:r w:rsidRPr="00305742">
        <w:rPr>
          <w:rFonts w:ascii="Times New Roman" w:hAnsi="Times New Roman" w:cs="Times New Roman"/>
          <w:sz w:val="24"/>
          <w:szCs w:val="24"/>
        </w:rPr>
        <w:t>CENTRO DE RECURSOS</w:t>
      </w:r>
      <w:r w:rsidRPr="00305742">
        <w:rPr>
          <w:rFonts w:ascii="Times New Roman" w:hAnsi="Times New Roman" w:cs="Times New Roman"/>
          <w:spacing w:val="-6"/>
          <w:sz w:val="24"/>
          <w:szCs w:val="24"/>
        </w:rPr>
        <w:t xml:space="preserve"> </w:t>
      </w:r>
      <w:r w:rsidRPr="00305742">
        <w:rPr>
          <w:rFonts w:ascii="Times New Roman" w:hAnsi="Times New Roman" w:cs="Times New Roman"/>
          <w:sz w:val="24"/>
          <w:szCs w:val="24"/>
        </w:rPr>
        <w:t>PARA</w:t>
      </w:r>
      <w:bookmarkEnd w:id="3"/>
      <w:r w:rsidR="003F60B4" w:rsidRPr="00305742">
        <w:rPr>
          <w:rFonts w:ascii="Times New Roman" w:hAnsi="Times New Roman" w:cs="Times New Roman"/>
          <w:sz w:val="24"/>
          <w:szCs w:val="24"/>
        </w:rPr>
        <w:t xml:space="preserve"> </w:t>
      </w:r>
      <w:r w:rsidRPr="00305742">
        <w:rPr>
          <w:rFonts w:ascii="Times New Roman" w:hAnsi="Times New Roman" w:cs="Times New Roman"/>
          <w:b/>
          <w:sz w:val="24"/>
          <w:szCs w:val="24"/>
        </w:rPr>
        <w:t>EL APRENDIZAJE Y LA INVESTIGACIÓN</w:t>
      </w:r>
      <w:r w:rsidRPr="00305742">
        <w:rPr>
          <w:rFonts w:ascii="Times New Roman" w:hAnsi="Times New Roman" w:cs="Times New Roman"/>
          <w:b/>
          <w:spacing w:val="-11"/>
          <w:sz w:val="24"/>
          <w:szCs w:val="24"/>
        </w:rPr>
        <w:t xml:space="preserve"> </w:t>
      </w:r>
      <w:r w:rsidRPr="00305742">
        <w:rPr>
          <w:rFonts w:ascii="Times New Roman" w:hAnsi="Times New Roman" w:cs="Times New Roman"/>
          <w:b/>
          <w:sz w:val="24"/>
          <w:szCs w:val="24"/>
        </w:rPr>
        <w:t>(CRAI)</w:t>
      </w:r>
      <w:r w:rsidR="003F60B4" w:rsidRPr="00305742">
        <w:rPr>
          <w:rFonts w:ascii="Times New Roman" w:hAnsi="Times New Roman" w:cs="Times New Roman"/>
          <w:b/>
          <w:sz w:val="24"/>
          <w:szCs w:val="24"/>
        </w:rPr>
        <w:t xml:space="preserve"> </w:t>
      </w:r>
      <w:r w:rsidRPr="00305742">
        <w:rPr>
          <w:rFonts w:ascii="Times New Roman" w:hAnsi="Times New Roman" w:cs="Times New Roman"/>
          <w:b/>
          <w:sz w:val="24"/>
          <w:szCs w:val="24"/>
        </w:rPr>
        <w:t>UNIVERSIDAD TECNOLÓGICA CENTROAMERICANA</w:t>
      </w:r>
      <w:r w:rsidRPr="00305742">
        <w:rPr>
          <w:rFonts w:ascii="Times New Roman" w:hAnsi="Times New Roman" w:cs="Times New Roman"/>
          <w:b/>
          <w:spacing w:val="-6"/>
          <w:sz w:val="24"/>
          <w:szCs w:val="24"/>
        </w:rPr>
        <w:t xml:space="preserve"> </w:t>
      </w:r>
      <w:r w:rsidRPr="00305742">
        <w:rPr>
          <w:rFonts w:ascii="Times New Roman" w:hAnsi="Times New Roman" w:cs="Times New Roman"/>
          <w:b/>
          <w:sz w:val="24"/>
          <w:szCs w:val="24"/>
        </w:rPr>
        <w:t>(UNITEC)</w:t>
      </w:r>
    </w:p>
    <w:p w14:paraId="391A23CB" w14:textId="77777777" w:rsidR="007D5C9B" w:rsidRPr="00305742" w:rsidRDefault="007D5C9B" w:rsidP="00A72B86">
      <w:pPr>
        <w:spacing w:line="360" w:lineRule="auto"/>
        <w:rPr>
          <w:rFonts w:ascii="Times New Roman" w:eastAsia="Times New Roman" w:hAnsi="Times New Roman" w:cs="Times New Roman"/>
          <w:sz w:val="24"/>
          <w:szCs w:val="24"/>
        </w:rPr>
      </w:pPr>
    </w:p>
    <w:p w14:paraId="3ADC06B3" w14:textId="77777777" w:rsidR="007D5C9B" w:rsidRPr="00305742" w:rsidRDefault="007D5C9B" w:rsidP="00A72B86">
      <w:pPr>
        <w:spacing w:before="5" w:line="360" w:lineRule="auto"/>
        <w:rPr>
          <w:rFonts w:ascii="Times New Roman" w:eastAsia="Times New Roman" w:hAnsi="Times New Roman" w:cs="Times New Roman"/>
          <w:sz w:val="24"/>
          <w:szCs w:val="24"/>
        </w:rPr>
      </w:pPr>
    </w:p>
    <w:p w14:paraId="25F9E6B5" w14:textId="77777777" w:rsidR="007D5C9B" w:rsidRPr="00305742" w:rsidRDefault="007D5C9B" w:rsidP="00A72B86">
      <w:pPr>
        <w:pStyle w:val="Textoindependiente"/>
        <w:spacing w:line="360" w:lineRule="auto"/>
        <w:ind w:left="102" w:firstLine="0"/>
        <w:jc w:val="both"/>
        <w:rPr>
          <w:rFonts w:cs="Times New Roman"/>
        </w:rPr>
      </w:pPr>
      <w:r w:rsidRPr="00305742">
        <w:rPr>
          <w:rFonts w:cs="Times New Roman"/>
        </w:rPr>
        <w:t>Estimados</w:t>
      </w:r>
      <w:r w:rsidRPr="00305742">
        <w:rPr>
          <w:rFonts w:cs="Times New Roman"/>
          <w:spacing w:val="-4"/>
        </w:rPr>
        <w:t xml:space="preserve"> </w:t>
      </w:r>
      <w:r w:rsidRPr="00305742">
        <w:rPr>
          <w:rFonts w:cs="Times New Roman"/>
        </w:rPr>
        <w:t>Señores:</w:t>
      </w:r>
    </w:p>
    <w:p w14:paraId="7F1473E2" w14:textId="77777777" w:rsidR="007D5C9B" w:rsidRPr="00305742" w:rsidRDefault="007D5C9B" w:rsidP="00A72B86">
      <w:pPr>
        <w:spacing w:line="360" w:lineRule="auto"/>
        <w:rPr>
          <w:rFonts w:ascii="Times New Roman" w:eastAsia="Times New Roman" w:hAnsi="Times New Roman" w:cs="Times New Roman"/>
          <w:sz w:val="24"/>
          <w:szCs w:val="24"/>
        </w:rPr>
      </w:pPr>
    </w:p>
    <w:p w14:paraId="4EAEA5E7" w14:textId="1D6A6044" w:rsidR="007D5C9B" w:rsidRPr="00305742" w:rsidRDefault="00B32D0A" w:rsidP="00A72B86">
      <w:pPr>
        <w:pStyle w:val="Textoindependiente"/>
        <w:tabs>
          <w:tab w:val="left" w:pos="1288"/>
          <w:tab w:val="left" w:pos="2642"/>
          <w:tab w:val="left" w:pos="6034"/>
          <w:tab w:val="left" w:pos="6418"/>
          <w:tab w:val="left" w:pos="9348"/>
        </w:tabs>
        <w:spacing w:line="360" w:lineRule="auto"/>
        <w:ind w:left="102" w:firstLine="0"/>
        <w:jc w:val="both"/>
        <w:rPr>
          <w:rFonts w:cs="Times New Roman"/>
        </w:rPr>
      </w:pPr>
      <w:bookmarkStart w:id="4" w:name="_bookmark83"/>
      <w:bookmarkEnd w:id="4"/>
      <w:r w:rsidRPr="00305742">
        <w:rPr>
          <w:rFonts w:cs="Times New Roman"/>
        </w:rPr>
        <w:t>Nosotros</w:t>
      </w:r>
      <w:r w:rsidR="007D5C9B" w:rsidRPr="00305742">
        <w:rPr>
          <w:rFonts w:cs="Times New Roman"/>
        </w:rPr>
        <w:t>,</w:t>
      </w:r>
      <w:r w:rsidRPr="00305742">
        <w:rPr>
          <w:rFonts w:cs="Times New Roman"/>
        </w:rPr>
        <w:t xml:space="preserve"> Dania Eloísa Marín Álvarez y Jimmy Rosendo Sánchez Mejía</w:t>
      </w:r>
      <w:r w:rsidR="007D5C9B" w:rsidRPr="00305742">
        <w:rPr>
          <w:rFonts w:cs="Times New Roman"/>
        </w:rPr>
        <w:t xml:space="preserve"> de Tegucigalpa, autor</w:t>
      </w:r>
      <w:r w:rsidRPr="00305742">
        <w:rPr>
          <w:rFonts w:cs="Times New Roman"/>
        </w:rPr>
        <w:t>es</w:t>
      </w:r>
      <w:r w:rsidR="007D5C9B" w:rsidRPr="00305742">
        <w:rPr>
          <w:rFonts w:cs="Times New Roman"/>
        </w:rPr>
        <w:t xml:space="preserve"> del trabajo de postgrado titulado: </w:t>
      </w:r>
      <w:r w:rsidR="00FA6A60" w:rsidRPr="00FA6A60">
        <w:rPr>
          <w:rFonts w:cs="Times New Roman"/>
        </w:rPr>
        <w:t xml:space="preserve">Análisis </w:t>
      </w:r>
      <w:r w:rsidR="00FA6A60">
        <w:rPr>
          <w:rFonts w:cs="Times New Roman"/>
        </w:rPr>
        <w:t>de</w:t>
      </w:r>
      <w:r w:rsidR="00FA6A60" w:rsidRPr="00FA6A60">
        <w:rPr>
          <w:rFonts w:cs="Times New Roman"/>
        </w:rPr>
        <w:t xml:space="preserve"> Morosidad </w:t>
      </w:r>
      <w:r w:rsidR="00FA6A60">
        <w:rPr>
          <w:rFonts w:cs="Times New Roman"/>
        </w:rPr>
        <w:t>en</w:t>
      </w:r>
      <w:r w:rsidR="00FA6A60" w:rsidRPr="00FA6A60">
        <w:rPr>
          <w:rFonts w:cs="Times New Roman"/>
        </w:rPr>
        <w:t xml:space="preserve"> </w:t>
      </w:r>
      <w:r w:rsidR="00FA6A60">
        <w:rPr>
          <w:rFonts w:cs="Times New Roman"/>
        </w:rPr>
        <w:t>l</w:t>
      </w:r>
      <w:r w:rsidR="00FA6A60" w:rsidRPr="00FA6A60">
        <w:rPr>
          <w:rFonts w:cs="Times New Roman"/>
        </w:rPr>
        <w:t xml:space="preserve">a Cartera </w:t>
      </w:r>
      <w:r w:rsidR="00FA6A60">
        <w:rPr>
          <w:rFonts w:cs="Times New Roman"/>
        </w:rPr>
        <w:t>d</w:t>
      </w:r>
      <w:r w:rsidR="00FA6A60" w:rsidRPr="00FA6A60">
        <w:rPr>
          <w:rFonts w:cs="Times New Roman"/>
        </w:rPr>
        <w:t xml:space="preserve">e Crédito </w:t>
      </w:r>
      <w:r w:rsidR="00FA6A60">
        <w:rPr>
          <w:rFonts w:cs="Times New Roman"/>
        </w:rPr>
        <w:t>de la</w:t>
      </w:r>
      <w:r w:rsidR="00FA6A60" w:rsidRPr="00FA6A60">
        <w:rPr>
          <w:rFonts w:cs="Times New Roman"/>
        </w:rPr>
        <w:t xml:space="preserve"> Microfinanciera </w:t>
      </w:r>
      <w:r w:rsidR="00E5074B">
        <w:rPr>
          <w:rFonts w:cs="Times New Roman"/>
        </w:rPr>
        <w:t>“XYZ”</w:t>
      </w:r>
      <w:r w:rsidR="00FA6A60" w:rsidRPr="00FA6A60">
        <w:rPr>
          <w:rFonts w:cs="Times New Roman"/>
        </w:rPr>
        <w:t xml:space="preserve"> </w:t>
      </w:r>
      <w:r w:rsidR="00FA6A60">
        <w:rPr>
          <w:rFonts w:cs="Times New Roman"/>
        </w:rPr>
        <w:t>e</w:t>
      </w:r>
      <w:r w:rsidR="00FA6A60" w:rsidRPr="00FA6A60">
        <w:rPr>
          <w:rFonts w:cs="Times New Roman"/>
        </w:rPr>
        <w:t xml:space="preserve">n Honduras, Durante </w:t>
      </w:r>
      <w:r w:rsidR="00775965">
        <w:rPr>
          <w:rFonts w:cs="Times New Roman"/>
        </w:rPr>
        <w:t>el</w:t>
      </w:r>
      <w:r w:rsidR="00FA6A60" w:rsidRPr="00FA6A60">
        <w:rPr>
          <w:rFonts w:cs="Times New Roman"/>
        </w:rPr>
        <w:t xml:space="preserve"> Período 2019-2023</w:t>
      </w:r>
      <w:r w:rsidR="007D5C9B" w:rsidRPr="00305742">
        <w:rPr>
          <w:rFonts w:cs="Times New Roman"/>
        </w:rPr>
        <w:t xml:space="preserve">, como requisito previo para optar al título de máster en </w:t>
      </w:r>
      <w:r w:rsidRPr="00305742">
        <w:rPr>
          <w:rFonts w:cs="Times New Roman"/>
        </w:rPr>
        <w:t xml:space="preserve">Finanzas </w:t>
      </w:r>
      <w:r w:rsidR="007D5C9B" w:rsidRPr="00305742">
        <w:rPr>
          <w:rFonts w:cs="Times New Roman"/>
        </w:rPr>
        <w:t>y reconociendo que la presentación del presente documento forma parte de los requerimientos establecidos del programa de maestrías de la Universidad Tecnológica Centroamericana (UNITEC), por este medio autorizo a las Bibliotecas de los Centros de Recursos para el Aprendizaje y la Investigación (CRAI) de UNITEC, para que con fines académicos puedan libremente registrar, copiar o utilizar la información contenida en él, con fines educativos, investigativos o sociales de la siguiente manera:</w:t>
      </w:r>
    </w:p>
    <w:p w14:paraId="3F3C455A" w14:textId="77777777" w:rsidR="00AC18B5" w:rsidRPr="00305742" w:rsidRDefault="00AC18B5" w:rsidP="00A72B86">
      <w:pPr>
        <w:pStyle w:val="Textoindependiente"/>
        <w:tabs>
          <w:tab w:val="left" w:pos="1288"/>
          <w:tab w:val="left" w:pos="2642"/>
          <w:tab w:val="left" w:pos="6034"/>
          <w:tab w:val="left" w:pos="6418"/>
          <w:tab w:val="left" w:pos="9348"/>
        </w:tabs>
        <w:spacing w:line="360" w:lineRule="auto"/>
        <w:ind w:left="102" w:firstLine="0"/>
        <w:jc w:val="both"/>
        <w:rPr>
          <w:rFonts w:cs="Times New Roman"/>
        </w:rPr>
      </w:pPr>
    </w:p>
    <w:p w14:paraId="5A671C1C" w14:textId="77777777" w:rsidR="007D5C9B" w:rsidRPr="00305742" w:rsidRDefault="007D5C9B" w:rsidP="00A72B86">
      <w:pPr>
        <w:pStyle w:val="Prrafodelista"/>
        <w:numPr>
          <w:ilvl w:val="0"/>
          <w:numId w:val="1"/>
        </w:numPr>
        <w:tabs>
          <w:tab w:val="left" w:pos="362"/>
        </w:tabs>
        <w:spacing w:line="360" w:lineRule="auto"/>
        <w:ind w:right="108" w:hanging="283"/>
        <w:jc w:val="both"/>
        <w:rPr>
          <w:rFonts w:ascii="Times New Roman" w:eastAsia="Times New Roman" w:hAnsi="Times New Roman" w:cs="Times New Roman"/>
          <w:sz w:val="24"/>
          <w:szCs w:val="24"/>
        </w:rPr>
      </w:pPr>
      <w:r w:rsidRPr="00305742">
        <w:rPr>
          <w:rFonts w:ascii="Times New Roman" w:eastAsia="Times New Roman" w:hAnsi="Times New Roman" w:cs="Times New Roman"/>
          <w:sz w:val="24"/>
          <w:szCs w:val="24"/>
        </w:rPr>
        <w:t>Los usuarios puedan consultar el contenido de este trabajo en las salas de estudio de la biblioteca y/o la página Web de la Universidad.</w:t>
      </w:r>
    </w:p>
    <w:p w14:paraId="40AE51A3" w14:textId="77777777" w:rsidR="007D5C9B" w:rsidRPr="00305742" w:rsidRDefault="007D5C9B" w:rsidP="00A72B86">
      <w:pPr>
        <w:pStyle w:val="Prrafodelista"/>
        <w:numPr>
          <w:ilvl w:val="0"/>
          <w:numId w:val="1"/>
        </w:numPr>
        <w:tabs>
          <w:tab w:val="left" w:pos="370"/>
        </w:tabs>
        <w:spacing w:line="360" w:lineRule="auto"/>
        <w:ind w:right="110" w:hanging="283"/>
        <w:jc w:val="both"/>
        <w:rPr>
          <w:rFonts w:ascii="Times New Roman" w:eastAsia="Times New Roman" w:hAnsi="Times New Roman" w:cs="Times New Roman"/>
          <w:sz w:val="24"/>
          <w:szCs w:val="24"/>
        </w:rPr>
      </w:pPr>
      <w:r w:rsidRPr="00305742">
        <w:rPr>
          <w:rFonts w:ascii="Times New Roman" w:eastAsia="Times New Roman" w:hAnsi="Times New Roman" w:cs="Times New Roman"/>
          <w:sz w:val="24"/>
          <w:szCs w:val="24"/>
        </w:rPr>
        <w:t>Permita la consulta y/o la reproducción a los usuarios interesados en el contenido de este trabajo, para todos los usos que tengan finalidad académica, ya sea en formato CD o digital desde Internet, Intranet, etc., y en general en cualquier otro formato conocido o por conocer.</w:t>
      </w:r>
    </w:p>
    <w:p w14:paraId="7A7EB087" w14:textId="77777777" w:rsidR="007D5C9B" w:rsidRPr="00305742" w:rsidRDefault="007D5C9B" w:rsidP="00A72B86">
      <w:pPr>
        <w:pStyle w:val="Prrafodelista"/>
        <w:spacing w:line="360" w:lineRule="auto"/>
        <w:rPr>
          <w:rFonts w:ascii="Times New Roman" w:eastAsia="Times New Roman" w:hAnsi="Times New Roman" w:cs="Times New Roman"/>
          <w:sz w:val="24"/>
          <w:szCs w:val="24"/>
        </w:rPr>
      </w:pPr>
    </w:p>
    <w:p w14:paraId="694734D5" w14:textId="75F2D434" w:rsidR="007D5C9B" w:rsidRPr="00305742" w:rsidRDefault="007D5C9B" w:rsidP="00A72B86">
      <w:pPr>
        <w:pStyle w:val="Textoindependiente"/>
        <w:spacing w:line="360" w:lineRule="auto"/>
        <w:ind w:right="103" w:firstLine="0"/>
        <w:jc w:val="both"/>
        <w:rPr>
          <w:rFonts w:cs="Times New Roman"/>
        </w:rPr>
      </w:pPr>
      <w:r w:rsidRPr="00305742">
        <w:rPr>
          <w:rFonts w:cs="Times New Roman"/>
        </w:rPr>
        <w:t>De conformidad con lo establecido en los artículos 9.2, 18, 19, 35 y 62 de la Ley de Derechos de</w:t>
      </w:r>
      <w:r w:rsidRPr="00305742">
        <w:rPr>
          <w:rFonts w:cs="Times New Roman"/>
          <w:spacing w:val="-17"/>
        </w:rPr>
        <w:t xml:space="preserve"> </w:t>
      </w:r>
      <w:r w:rsidRPr="00305742">
        <w:rPr>
          <w:rFonts w:cs="Times New Roman"/>
        </w:rPr>
        <w:t>Autor</w:t>
      </w:r>
      <w:r w:rsidRPr="00305742">
        <w:rPr>
          <w:rFonts w:cs="Times New Roman"/>
          <w:spacing w:val="-12"/>
        </w:rPr>
        <w:t xml:space="preserve"> </w:t>
      </w:r>
      <w:r w:rsidRPr="00305742">
        <w:rPr>
          <w:rFonts w:cs="Times New Roman"/>
        </w:rPr>
        <w:t>y</w:t>
      </w:r>
      <w:r w:rsidRPr="00305742">
        <w:rPr>
          <w:rFonts w:cs="Times New Roman"/>
          <w:spacing w:val="-18"/>
        </w:rPr>
        <w:t xml:space="preserve"> </w:t>
      </w:r>
      <w:r w:rsidRPr="00305742">
        <w:rPr>
          <w:rFonts w:cs="Times New Roman"/>
        </w:rPr>
        <w:t>de</w:t>
      </w:r>
      <w:r w:rsidRPr="00305742">
        <w:rPr>
          <w:rFonts w:cs="Times New Roman"/>
          <w:spacing w:val="-17"/>
        </w:rPr>
        <w:t xml:space="preserve"> </w:t>
      </w:r>
      <w:r w:rsidRPr="00305742">
        <w:rPr>
          <w:rFonts w:cs="Times New Roman"/>
        </w:rPr>
        <w:t>los</w:t>
      </w:r>
      <w:r w:rsidRPr="00305742">
        <w:rPr>
          <w:rFonts w:cs="Times New Roman"/>
          <w:spacing w:val="-13"/>
        </w:rPr>
        <w:t xml:space="preserve"> </w:t>
      </w:r>
      <w:r w:rsidRPr="00305742">
        <w:rPr>
          <w:rFonts w:cs="Times New Roman"/>
        </w:rPr>
        <w:t>Derechos</w:t>
      </w:r>
      <w:r w:rsidRPr="00305742">
        <w:rPr>
          <w:rFonts w:cs="Times New Roman"/>
          <w:spacing w:val="-16"/>
        </w:rPr>
        <w:t xml:space="preserve"> </w:t>
      </w:r>
      <w:r w:rsidRPr="00305742">
        <w:rPr>
          <w:rFonts w:cs="Times New Roman"/>
        </w:rPr>
        <w:t>Conexos;</w:t>
      </w:r>
      <w:r w:rsidRPr="00305742">
        <w:rPr>
          <w:rFonts w:cs="Times New Roman"/>
          <w:spacing w:val="-15"/>
        </w:rPr>
        <w:t xml:space="preserve"> </w:t>
      </w:r>
      <w:r w:rsidRPr="00305742">
        <w:rPr>
          <w:rFonts w:cs="Times New Roman"/>
        </w:rPr>
        <w:t>los</w:t>
      </w:r>
      <w:r w:rsidRPr="00305742">
        <w:rPr>
          <w:rFonts w:cs="Times New Roman"/>
          <w:spacing w:val="-15"/>
        </w:rPr>
        <w:t xml:space="preserve"> </w:t>
      </w:r>
      <w:r w:rsidRPr="00305742">
        <w:rPr>
          <w:rFonts w:cs="Times New Roman"/>
        </w:rPr>
        <w:t>derechos</w:t>
      </w:r>
      <w:r w:rsidRPr="00305742">
        <w:rPr>
          <w:rFonts w:cs="Times New Roman"/>
          <w:spacing w:val="-13"/>
        </w:rPr>
        <w:t xml:space="preserve"> </w:t>
      </w:r>
      <w:r w:rsidRPr="00305742">
        <w:rPr>
          <w:rFonts w:cs="Times New Roman"/>
        </w:rPr>
        <w:t>morales</w:t>
      </w:r>
      <w:r w:rsidRPr="00305742">
        <w:rPr>
          <w:rFonts w:cs="Times New Roman"/>
          <w:spacing w:val="-16"/>
        </w:rPr>
        <w:t xml:space="preserve"> </w:t>
      </w:r>
      <w:r w:rsidRPr="00305742">
        <w:rPr>
          <w:rFonts w:cs="Times New Roman"/>
        </w:rPr>
        <w:t>pertenecen</w:t>
      </w:r>
      <w:r w:rsidRPr="00305742">
        <w:rPr>
          <w:rFonts w:cs="Times New Roman"/>
          <w:spacing w:val="-13"/>
        </w:rPr>
        <w:t xml:space="preserve"> </w:t>
      </w:r>
      <w:r w:rsidRPr="00305742">
        <w:rPr>
          <w:rFonts w:cs="Times New Roman"/>
        </w:rPr>
        <w:t>al</w:t>
      </w:r>
      <w:r w:rsidRPr="00305742">
        <w:rPr>
          <w:rFonts w:cs="Times New Roman"/>
          <w:spacing w:val="-15"/>
        </w:rPr>
        <w:t xml:space="preserve"> </w:t>
      </w:r>
      <w:r w:rsidRPr="00305742">
        <w:rPr>
          <w:rFonts w:cs="Times New Roman"/>
        </w:rPr>
        <w:t>autor</w:t>
      </w:r>
      <w:r w:rsidRPr="00305742">
        <w:rPr>
          <w:rFonts w:cs="Times New Roman"/>
          <w:spacing w:val="-12"/>
        </w:rPr>
        <w:t xml:space="preserve"> </w:t>
      </w:r>
      <w:r w:rsidRPr="00305742">
        <w:rPr>
          <w:rFonts w:cs="Times New Roman"/>
        </w:rPr>
        <w:t>y</w:t>
      </w:r>
      <w:r w:rsidRPr="00305742">
        <w:rPr>
          <w:rFonts w:cs="Times New Roman"/>
          <w:spacing w:val="-21"/>
        </w:rPr>
        <w:t xml:space="preserve"> </w:t>
      </w:r>
      <w:r w:rsidRPr="00305742">
        <w:rPr>
          <w:rFonts w:cs="Times New Roman"/>
        </w:rPr>
        <w:t>son</w:t>
      </w:r>
      <w:r w:rsidRPr="00305742">
        <w:rPr>
          <w:rFonts w:cs="Times New Roman"/>
          <w:spacing w:val="-16"/>
        </w:rPr>
        <w:t xml:space="preserve"> </w:t>
      </w:r>
      <w:r w:rsidRPr="00305742">
        <w:rPr>
          <w:rFonts w:cs="Times New Roman"/>
        </w:rPr>
        <w:t xml:space="preserve">personalísimos, irrenunciables, imprescriptibles e inalienables. Asimismo, el autor cede de forma ilimitada y </w:t>
      </w:r>
      <w:r w:rsidRPr="00305742">
        <w:rPr>
          <w:rFonts w:cs="Times New Roman"/>
        </w:rPr>
        <w:lastRenderedPageBreak/>
        <w:t>exclusiva a UNITEC la titularidad de los derechos patrimoniales. Es entendido que cualquier copia o reproducción del presente documento con fines de lucro no está permitida sin previa autorización por escrito de parte de</w:t>
      </w:r>
      <w:r w:rsidRPr="00305742">
        <w:rPr>
          <w:rFonts w:cs="Times New Roman"/>
          <w:spacing w:val="-14"/>
        </w:rPr>
        <w:t xml:space="preserve"> </w:t>
      </w:r>
      <w:r w:rsidRPr="00305742">
        <w:rPr>
          <w:rFonts w:cs="Times New Roman"/>
        </w:rPr>
        <w:t>UNITEC.</w:t>
      </w:r>
    </w:p>
    <w:p w14:paraId="6BC2D114" w14:textId="77777777" w:rsidR="007D5C9B" w:rsidRPr="00305742" w:rsidRDefault="007D5C9B" w:rsidP="00A72B86">
      <w:pPr>
        <w:spacing w:line="360" w:lineRule="auto"/>
        <w:jc w:val="both"/>
        <w:rPr>
          <w:rFonts w:ascii="Times New Roman" w:hAnsi="Times New Roman" w:cs="Times New Roman"/>
          <w:sz w:val="24"/>
          <w:szCs w:val="24"/>
        </w:rPr>
        <w:sectPr w:rsidR="007D5C9B" w:rsidRPr="00305742" w:rsidSect="00342E08">
          <w:pgSz w:w="12240" w:h="15840"/>
          <w:pgMar w:top="1220" w:right="1160" w:bottom="1240" w:left="1340" w:header="0" w:footer="1047" w:gutter="0"/>
          <w:cols w:space="720"/>
        </w:sectPr>
      </w:pPr>
    </w:p>
    <w:p w14:paraId="2BDBD637" w14:textId="4C975D91" w:rsidR="007D5C9B" w:rsidRPr="00305742" w:rsidRDefault="007D5C9B" w:rsidP="00A72B86">
      <w:pPr>
        <w:pStyle w:val="Textoindependiente"/>
        <w:tabs>
          <w:tab w:val="left" w:pos="2226"/>
          <w:tab w:val="left" w:pos="3239"/>
          <w:tab w:val="left" w:pos="8439"/>
        </w:tabs>
        <w:spacing w:line="360" w:lineRule="auto"/>
        <w:jc w:val="both"/>
        <w:rPr>
          <w:rFonts w:cs="Times New Roman"/>
          <w:w w:val="33"/>
          <w:u w:val="single" w:color="000000"/>
        </w:rPr>
      </w:pPr>
      <w:r w:rsidRPr="00305742">
        <w:rPr>
          <w:rFonts w:cs="Times New Roman"/>
        </w:rPr>
        <w:t>En fe de lo cual se suscribe el presente documento en la ciudad de</w:t>
      </w:r>
      <w:r w:rsidR="00B32D0A" w:rsidRPr="00305742">
        <w:rPr>
          <w:rFonts w:cs="Times New Roman"/>
        </w:rPr>
        <w:t xml:space="preserve"> Tegucigalpa</w:t>
      </w:r>
      <w:r w:rsidRPr="00305742">
        <w:rPr>
          <w:rFonts w:cs="Times New Roman"/>
        </w:rPr>
        <w:t>, a los _</w:t>
      </w:r>
      <w:r w:rsidR="003D1F76" w:rsidRPr="003D1F76">
        <w:rPr>
          <w:rFonts w:cs="Times New Roman"/>
          <w:u w:val="single"/>
        </w:rPr>
        <w:t>2</w:t>
      </w:r>
      <w:r w:rsidR="00AE496D">
        <w:rPr>
          <w:rFonts w:cs="Times New Roman"/>
          <w:u w:val="single"/>
        </w:rPr>
        <w:t>1</w:t>
      </w:r>
      <w:r w:rsidRPr="00305742">
        <w:rPr>
          <w:rFonts w:cs="Times New Roman"/>
        </w:rPr>
        <w:t>_ días del mes de</w:t>
      </w:r>
      <w:r w:rsidR="003D1F76">
        <w:rPr>
          <w:rFonts w:cs="Times New Roman"/>
        </w:rPr>
        <w:t xml:space="preserve"> </w:t>
      </w:r>
      <w:r w:rsidRPr="00305742">
        <w:rPr>
          <w:rFonts w:cs="Times New Roman"/>
        </w:rPr>
        <w:t>_</w:t>
      </w:r>
      <w:r w:rsidR="00AE496D" w:rsidRPr="00AE496D">
        <w:rPr>
          <w:rFonts w:cs="Times New Roman"/>
          <w:u w:val="single"/>
        </w:rPr>
        <w:t>agosto</w:t>
      </w:r>
      <w:r w:rsidRPr="00305742">
        <w:rPr>
          <w:rFonts w:cs="Times New Roman"/>
        </w:rPr>
        <w:t>_</w:t>
      </w:r>
      <w:r w:rsidR="003D1F76">
        <w:rPr>
          <w:rFonts w:cs="Times New Roman"/>
        </w:rPr>
        <w:t xml:space="preserve"> </w:t>
      </w:r>
      <w:r w:rsidRPr="00305742">
        <w:rPr>
          <w:rFonts w:cs="Times New Roman"/>
        </w:rPr>
        <w:t>del año</w:t>
      </w:r>
      <w:r w:rsidR="00B32D0A" w:rsidRPr="00305742">
        <w:rPr>
          <w:rFonts w:cs="Times New Roman"/>
        </w:rPr>
        <w:t xml:space="preserve"> 2024.</w:t>
      </w:r>
      <w:r w:rsidRPr="00305742">
        <w:rPr>
          <w:rFonts w:cs="Times New Roman"/>
        </w:rPr>
        <w:tab/>
      </w:r>
    </w:p>
    <w:p w14:paraId="2BB5CFD4" w14:textId="77777777" w:rsidR="007D5C9B" w:rsidRPr="00305742" w:rsidRDefault="007D5C9B" w:rsidP="00A72B86">
      <w:pPr>
        <w:spacing w:line="360" w:lineRule="auto"/>
        <w:rPr>
          <w:rFonts w:ascii="Times New Roman" w:hAnsi="Times New Roman" w:cs="Times New Roman"/>
          <w:sz w:val="24"/>
          <w:szCs w:val="24"/>
        </w:rPr>
        <w:sectPr w:rsidR="007D5C9B" w:rsidRPr="00305742" w:rsidSect="00342E08">
          <w:type w:val="continuous"/>
          <w:pgSz w:w="12240" w:h="15840"/>
          <w:pgMar w:top="1500" w:right="1160" w:bottom="280" w:left="1340" w:header="720" w:footer="720" w:gutter="0"/>
          <w:cols w:num="2" w:space="720" w:equalWidth="0">
            <w:col w:w="8460" w:space="67"/>
            <w:col w:w="1213"/>
          </w:cols>
        </w:sectPr>
      </w:pPr>
    </w:p>
    <w:p w14:paraId="78F2B54E" w14:textId="1260C8AC" w:rsidR="007D5C9B" w:rsidRPr="00305742" w:rsidRDefault="007D5C9B" w:rsidP="00A72B86">
      <w:pPr>
        <w:spacing w:line="360" w:lineRule="auto"/>
        <w:rPr>
          <w:rFonts w:ascii="Times New Roman" w:eastAsia="Times New Roman" w:hAnsi="Times New Roman" w:cs="Times New Roman"/>
          <w:sz w:val="24"/>
          <w:szCs w:val="24"/>
        </w:rPr>
      </w:pPr>
    </w:p>
    <w:p w14:paraId="12226182" w14:textId="13E1D1C2" w:rsidR="007D5C9B" w:rsidRPr="00305742" w:rsidRDefault="007D5C9B" w:rsidP="00A72B86">
      <w:pPr>
        <w:spacing w:line="360" w:lineRule="auto"/>
        <w:rPr>
          <w:rFonts w:ascii="Times New Roman" w:eastAsia="Times New Roman" w:hAnsi="Times New Roman" w:cs="Times New Roman"/>
          <w:sz w:val="24"/>
          <w:szCs w:val="24"/>
        </w:rPr>
      </w:pPr>
    </w:p>
    <w:p w14:paraId="4C03688E" w14:textId="57366880" w:rsidR="007D5C9B" w:rsidRPr="00305742" w:rsidRDefault="007D5C9B" w:rsidP="00A72B86">
      <w:pPr>
        <w:spacing w:line="360" w:lineRule="auto"/>
        <w:rPr>
          <w:rFonts w:ascii="Times New Roman" w:eastAsia="Times New Roman" w:hAnsi="Times New Roman" w:cs="Times New Roman"/>
          <w:sz w:val="24"/>
          <w:szCs w:val="24"/>
        </w:rPr>
      </w:pPr>
    </w:p>
    <w:p w14:paraId="39CEEF7F" w14:textId="6F5B19F1" w:rsidR="007D5C9B" w:rsidRPr="00305742" w:rsidRDefault="007D5C9B" w:rsidP="00A72B86">
      <w:pPr>
        <w:spacing w:line="360" w:lineRule="auto"/>
        <w:rPr>
          <w:rFonts w:ascii="Times New Roman" w:eastAsia="Times New Roman" w:hAnsi="Times New Roman" w:cs="Times New Roman"/>
          <w:sz w:val="24"/>
          <w:szCs w:val="24"/>
        </w:rPr>
      </w:pPr>
    </w:p>
    <w:p w14:paraId="52C6A1CB" w14:textId="5D53E3BE" w:rsidR="007D5C9B" w:rsidRPr="00305742" w:rsidRDefault="00F47D36" w:rsidP="00A72B86">
      <w:pPr>
        <w:spacing w:line="360" w:lineRule="auto"/>
        <w:rPr>
          <w:rFonts w:ascii="Times New Roman" w:eastAsia="Times New Roman" w:hAnsi="Times New Roman" w:cs="Times New Roman"/>
          <w:sz w:val="24"/>
          <w:szCs w:val="24"/>
        </w:rPr>
      </w:pPr>
      <w:r>
        <w:rPr>
          <w:noProof/>
        </w:rPr>
        <w:drawing>
          <wp:anchor distT="0" distB="0" distL="114300" distR="114300" simplePos="0" relativeHeight="251664384" behindDoc="1" locked="0" layoutInCell="1" allowOverlap="1" wp14:anchorId="610386F6" wp14:editId="76030A0A">
            <wp:simplePos x="0" y="0"/>
            <wp:positionH relativeFrom="column">
              <wp:posOffset>2435225</wp:posOffset>
            </wp:positionH>
            <wp:positionV relativeFrom="paragraph">
              <wp:posOffset>231140</wp:posOffset>
            </wp:positionV>
            <wp:extent cx="1877060" cy="1323975"/>
            <wp:effectExtent l="0" t="0" r="0" b="9525"/>
            <wp:wrapNone/>
            <wp:docPr id="1040471005"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10">
                      <a:extLst>
                        <a:ext uri="{28A0092B-C50C-407E-A947-70E740481C1C}">
                          <a14:useLocalDpi xmlns:a14="http://schemas.microsoft.com/office/drawing/2010/main" val="0"/>
                        </a:ext>
                      </a:extLst>
                    </a:blip>
                    <a:srcRect t="19144" b="41133"/>
                    <a:stretch/>
                  </pic:blipFill>
                  <pic:spPr bwMode="auto">
                    <a:xfrm>
                      <a:off x="0" y="0"/>
                      <a:ext cx="1877060" cy="1323975"/>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2939CD9A" w14:textId="42918D94" w:rsidR="007D5C9B" w:rsidRPr="00305742" w:rsidRDefault="007D5C9B" w:rsidP="00A72B86">
      <w:pPr>
        <w:spacing w:line="360" w:lineRule="auto"/>
        <w:rPr>
          <w:rFonts w:ascii="Times New Roman" w:eastAsia="Times New Roman" w:hAnsi="Times New Roman" w:cs="Times New Roman"/>
          <w:sz w:val="24"/>
          <w:szCs w:val="24"/>
        </w:rPr>
      </w:pPr>
    </w:p>
    <w:p w14:paraId="6C82F616" w14:textId="5BC54624" w:rsidR="0095121F" w:rsidRPr="00305742" w:rsidRDefault="0095121F" w:rsidP="00A72B86">
      <w:pPr>
        <w:spacing w:before="6" w:line="360" w:lineRule="auto"/>
        <w:rPr>
          <w:rFonts w:ascii="Times New Roman" w:eastAsia="Times New Roman" w:hAnsi="Times New Roman" w:cs="Times New Roman"/>
          <w:sz w:val="24"/>
          <w:szCs w:val="24"/>
        </w:rPr>
      </w:pPr>
    </w:p>
    <w:p w14:paraId="7727A70B" w14:textId="52AFE625" w:rsidR="0095121F" w:rsidRPr="00305742" w:rsidRDefault="009140A7" w:rsidP="00A72B86">
      <w:pPr>
        <w:tabs>
          <w:tab w:val="left" w:pos="6102"/>
        </w:tabs>
        <w:spacing w:line="360" w:lineRule="auto"/>
        <w:ind w:left="882"/>
        <w:jc w:val="center"/>
        <w:rPr>
          <w:rFonts w:ascii="Times New Roman" w:eastAsia="Times New Roman" w:hAnsi="Times New Roman" w:cs="Times New Roman"/>
          <w:sz w:val="24"/>
          <w:szCs w:val="24"/>
        </w:rPr>
      </w:pPr>
      <w:r>
        <w:rPr>
          <w:noProof/>
        </w:rPr>
        <mc:AlternateContent>
          <mc:Choice Requires="wpg">
            <w:drawing>
              <wp:inline distT="0" distB="0" distL="0" distR="0" wp14:anchorId="224FD62F" wp14:editId="018B28FB">
                <wp:extent cx="2296160" cy="10160"/>
                <wp:effectExtent l="3810" t="3175" r="5080" b="5715"/>
                <wp:docPr id="93969482" name="Group 16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296160" cy="10160"/>
                          <a:chOff x="0" y="0"/>
                          <a:chExt cx="3616" cy="16"/>
                        </a:xfrm>
                      </wpg:grpSpPr>
                      <wpg:grpSp>
                        <wpg:cNvPr id="59162115" name="Group 165"/>
                        <wpg:cNvGrpSpPr>
                          <a:grpSpLocks/>
                        </wpg:cNvGrpSpPr>
                        <wpg:grpSpPr bwMode="auto">
                          <a:xfrm>
                            <a:off x="8" y="8"/>
                            <a:ext cx="3600" cy="2"/>
                            <a:chOff x="8" y="8"/>
                            <a:chExt cx="3600" cy="2"/>
                          </a:xfrm>
                        </wpg:grpSpPr>
                        <wps:wsp>
                          <wps:cNvPr id="1061009350" name="Freeform 166"/>
                          <wps:cNvSpPr>
                            <a:spLocks/>
                          </wps:cNvSpPr>
                          <wps:spPr bwMode="auto">
                            <a:xfrm>
                              <a:off x="8" y="8"/>
                              <a:ext cx="3600" cy="2"/>
                            </a:xfrm>
                            <a:custGeom>
                              <a:avLst/>
                              <a:gdLst>
                                <a:gd name="T0" fmla="*/ 0 w 3600"/>
                                <a:gd name="T1" fmla="*/ 0 h 2"/>
                                <a:gd name="T2" fmla="*/ 3600 w 3600"/>
                                <a:gd name="T3" fmla="*/ 0 h 2"/>
                                <a:gd name="T4" fmla="*/ 0 60000 65536"/>
                                <a:gd name="T5" fmla="*/ 0 60000 65536"/>
                              </a:gdLst>
                              <a:ahLst/>
                              <a:cxnLst>
                                <a:cxn ang="T4">
                                  <a:pos x="T0" y="T1"/>
                                </a:cxn>
                                <a:cxn ang="T5">
                                  <a:pos x="T2" y="T3"/>
                                </a:cxn>
                              </a:cxnLst>
                              <a:rect l="0" t="0" r="r" b="b"/>
                              <a:pathLst>
                                <a:path w="3600" h="2">
                                  <a:moveTo>
                                    <a:pt x="0" y="0"/>
                                  </a:moveTo>
                                  <a:lnTo>
                                    <a:pt x="3600" y="0"/>
                                  </a:lnTo>
                                </a:path>
                              </a:pathLst>
                            </a:custGeom>
                            <a:noFill/>
                            <a:ln w="9601">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wgp>
                  </a:graphicData>
                </a:graphic>
              </wp:inline>
            </w:drawing>
          </mc:Choice>
          <mc:Fallback>
            <w:pict>
              <v:group w14:anchorId="018DF537" id="Group 164" o:spid="_x0000_s1026" style="width:180.8pt;height:.8pt;mso-position-horizontal-relative:char;mso-position-vertical-relative:line" coordsize="3616,1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">
                <v:group id="Group 165" o:spid="_x0000_s1027" style="position:absolute;left:8;top:8;width:3600;height:2" coordorigin="8,8" coordsize="360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">
                  <v:shape id="Freeform 166" o:spid="_x0000_s1028" style="position:absolute;left:8;top:8;width:3600;height:2;visibility:visible;mso-wrap-style:square;v-text-anchor:top" coordsize="360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" path="m,l3600,e" filled="f" strokeweight=".26669mm">
                    <v:path arrowok="t" o:connecttype="custom" o:connectlocs="0,0;3600,0" o:connectangles="0,0"/>
                  </v:shape>
                </v:group>
                <w10:anchorlock/>
              </v:group>
            </w:pict>
          </mc:Fallback>
        </mc:AlternateContent>
      </w:r>
    </w:p>
    <w:p w14:paraId="47405758" w14:textId="5B573009" w:rsidR="0095121F" w:rsidRPr="00305742" w:rsidRDefault="0095121F" w:rsidP="00A72B86">
      <w:pPr>
        <w:spacing w:before="8" w:line="360" w:lineRule="auto"/>
        <w:jc w:val="center"/>
        <w:rPr>
          <w:rFonts w:ascii="Times New Roman" w:eastAsia="Times New Roman" w:hAnsi="Times New Roman" w:cs="Times New Roman"/>
          <w:sz w:val="24"/>
          <w:szCs w:val="24"/>
        </w:rPr>
      </w:pPr>
    </w:p>
    <w:p w14:paraId="0A6398AC" w14:textId="04E5A45F" w:rsidR="0095121F" w:rsidRPr="00305742" w:rsidRDefault="0095121F" w:rsidP="00A72B86">
      <w:pPr>
        <w:spacing w:line="360" w:lineRule="auto"/>
        <w:ind w:left="666"/>
        <w:jc w:val="center"/>
        <w:rPr>
          <w:rFonts w:ascii="Times New Roman" w:hAnsi="Times New Roman" w:cs="Times New Roman"/>
          <w:b/>
          <w:sz w:val="24"/>
          <w:szCs w:val="24"/>
        </w:rPr>
      </w:pPr>
      <w:r w:rsidRPr="00305742">
        <w:rPr>
          <w:rFonts w:ascii="Times New Roman" w:hAnsi="Times New Roman" w:cs="Times New Roman"/>
          <w:b/>
          <w:sz w:val="24"/>
          <w:szCs w:val="24"/>
        </w:rPr>
        <w:t>Dania Eloísa Marín Álvarez</w:t>
      </w:r>
    </w:p>
    <w:p w14:paraId="29E4BFD3" w14:textId="24A29401" w:rsidR="0095121F" w:rsidRPr="00305742" w:rsidRDefault="0095121F" w:rsidP="00A72B86">
      <w:pPr>
        <w:spacing w:line="360" w:lineRule="auto"/>
        <w:ind w:left="666"/>
        <w:jc w:val="center"/>
        <w:rPr>
          <w:rFonts w:ascii="Times New Roman" w:hAnsi="Times New Roman" w:cs="Times New Roman"/>
          <w:b/>
          <w:sz w:val="24"/>
          <w:szCs w:val="24"/>
        </w:rPr>
      </w:pPr>
      <w:r w:rsidRPr="00305742">
        <w:rPr>
          <w:rFonts w:ascii="Times New Roman" w:hAnsi="Times New Roman" w:cs="Times New Roman"/>
          <w:b/>
          <w:sz w:val="24"/>
          <w:szCs w:val="24"/>
        </w:rPr>
        <w:t>12243112</w:t>
      </w:r>
    </w:p>
    <w:p w14:paraId="6A94DAEA" w14:textId="00E34BFD" w:rsidR="0095121F" w:rsidRPr="00305742" w:rsidRDefault="006C38D2" w:rsidP="00A72B86">
      <w:pPr>
        <w:spacing w:before="6" w:line="360" w:lineRule="auto"/>
        <w:rPr>
          <w:rFonts w:ascii="Times New Roman" w:eastAsia="Times New Roman" w:hAnsi="Times New Roman" w:cs="Times New Roman"/>
          <w:sz w:val="24"/>
          <w:szCs w:val="24"/>
        </w:rPr>
      </w:pPr>
      <w:r>
        <w:rPr>
          <w:noProof/>
        </w:rPr>
        <w:drawing>
          <wp:anchor distT="0" distB="0" distL="114300" distR="114300" simplePos="0" relativeHeight="251663360" behindDoc="1" locked="0" layoutInCell="1" allowOverlap="1" wp14:anchorId="6E5EF67A" wp14:editId="6DA51399">
            <wp:simplePos x="0" y="0"/>
            <wp:positionH relativeFrom="margin">
              <wp:posOffset>2444750</wp:posOffset>
            </wp:positionH>
            <wp:positionV relativeFrom="paragraph">
              <wp:posOffset>180975</wp:posOffset>
            </wp:positionV>
            <wp:extent cx="1866900" cy="1287248"/>
            <wp:effectExtent l="0" t="0" r="0" b="0"/>
            <wp:wrapNone/>
            <wp:docPr id="134848302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1866900" cy="1287248"/>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1FA290D0" w14:textId="3B2E78F6" w:rsidR="0095121F" w:rsidRPr="00305742" w:rsidRDefault="0095121F" w:rsidP="00A72B86">
      <w:pPr>
        <w:spacing w:before="6" w:line="360" w:lineRule="auto"/>
        <w:rPr>
          <w:rFonts w:ascii="Times New Roman" w:eastAsia="Times New Roman" w:hAnsi="Times New Roman" w:cs="Times New Roman"/>
          <w:sz w:val="24"/>
          <w:szCs w:val="24"/>
        </w:rPr>
      </w:pPr>
    </w:p>
    <w:p w14:paraId="4B2A975B" w14:textId="1E13C827" w:rsidR="0095121F" w:rsidRPr="00305742" w:rsidRDefault="0095121F" w:rsidP="00A72B86">
      <w:pPr>
        <w:spacing w:before="6" w:line="360" w:lineRule="auto"/>
        <w:rPr>
          <w:rFonts w:ascii="Times New Roman" w:eastAsia="Times New Roman" w:hAnsi="Times New Roman" w:cs="Times New Roman"/>
          <w:sz w:val="24"/>
          <w:szCs w:val="24"/>
        </w:rPr>
      </w:pPr>
    </w:p>
    <w:p w14:paraId="6B9F35CC" w14:textId="269D18A8" w:rsidR="0095121F" w:rsidRPr="00305742" w:rsidRDefault="009140A7" w:rsidP="00A72B86">
      <w:pPr>
        <w:tabs>
          <w:tab w:val="left" w:pos="6102"/>
        </w:tabs>
        <w:spacing w:line="360" w:lineRule="auto"/>
        <w:ind w:left="882"/>
        <w:jc w:val="center"/>
        <w:rPr>
          <w:rFonts w:ascii="Times New Roman" w:eastAsia="Times New Roman" w:hAnsi="Times New Roman" w:cs="Times New Roman"/>
          <w:sz w:val="24"/>
          <w:szCs w:val="24"/>
        </w:rPr>
      </w:pPr>
      <w:r>
        <w:rPr>
          <w:noProof/>
        </w:rPr>
        <mc:AlternateContent>
          <mc:Choice Requires="wpg">
            <w:drawing>
              <wp:inline distT="0" distB="0" distL="0" distR="0" wp14:anchorId="29DCDDB7" wp14:editId="213C6FE3">
                <wp:extent cx="2296160" cy="10160"/>
                <wp:effectExtent l="3810" t="1905" r="5080" b="6985"/>
                <wp:docPr id="1177241164" name="Group 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296160" cy="10160"/>
                          <a:chOff x="0" y="0"/>
                          <a:chExt cx="3616" cy="16"/>
                        </a:xfrm>
                      </wpg:grpSpPr>
                      <wpg:grpSp>
                        <wpg:cNvPr id="198515587" name="Group 165"/>
                        <wpg:cNvGrpSpPr>
                          <a:grpSpLocks/>
                        </wpg:cNvGrpSpPr>
                        <wpg:grpSpPr bwMode="auto">
                          <a:xfrm>
                            <a:off x="8" y="8"/>
                            <a:ext cx="3600" cy="2"/>
                            <a:chOff x="8" y="8"/>
                            <a:chExt cx="3600" cy="2"/>
                          </a:xfrm>
                        </wpg:grpSpPr>
                        <wps:wsp>
                          <wps:cNvPr id="1211101756" name="Freeform 166"/>
                          <wps:cNvSpPr>
                            <a:spLocks/>
                          </wps:cNvSpPr>
                          <wps:spPr bwMode="auto">
                            <a:xfrm>
                              <a:off x="8" y="8"/>
                              <a:ext cx="3600" cy="2"/>
                            </a:xfrm>
                            <a:custGeom>
                              <a:avLst/>
                              <a:gdLst>
                                <a:gd name="T0" fmla="*/ 0 w 3600"/>
                                <a:gd name="T1" fmla="*/ 0 h 2"/>
                                <a:gd name="T2" fmla="*/ 3600 w 3600"/>
                                <a:gd name="T3" fmla="*/ 0 h 2"/>
                                <a:gd name="T4" fmla="*/ 0 60000 65536"/>
                                <a:gd name="T5" fmla="*/ 0 60000 65536"/>
                              </a:gdLst>
                              <a:ahLst/>
                              <a:cxnLst>
                                <a:cxn ang="T4">
                                  <a:pos x="T0" y="T1"/>
                                </a:cxn>
                                <a:cxn ang="T5">
                                  <a:pos x="T2" y="T3"/>
                                </a:cxn>
                              </a:cxnLst>
                              <a:rect l="0" t="0" r="r" b="b"/>
                              <a:pathLst>
                                <a:path w="3600" h="2">
                                  <a:moveTo>
                                    <a:pt x="0" y="0"/>
                                  </a:moveTo>
                                  <a:lnTo>
                                    <a:pt x="3600" y="0"/>
                                  </a:lnTo>
                                </a:path>
                              </a:pathLst>
                            </a:custGeom>
                            <a:noFill/>
                            <a:ln w="9601">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wgp>
                  </a:graphicData>
                </a:graphic>
              </wp:inline>
            </w:drawing>
          </mc:Choice>
          <mc:Fallback>
            <w:pict>
              <v:group w14:anchorId="34B3BBAA" id="Group 3" o:spid="_x0000_s1026" style="width:180.8pt;height:.8pt;mso-position-horizontal-relative:char;mso-position-vertical-relative:line" coordsize="3616,1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">
                <v:group id="Group 165" o:spid="_x0000_s1027" style="position:absolute;left:8;top:8;width:3600;height:2" coordorigin="8,8" coordsize="360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">
                  <v:shape id="Freeform 166" o:spid="_x0000_s1028" style="position:absolute;left:8;top:8;width:3600;height:2;visibility:visible;mso-wrap-style:square;v-text-anchor:top" coordsize="360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" path="m,l3600,e" filled="f" strokeweight=".26669mm">
                    <v:path arrowok="t" o:connecttype="custom" o:connectlocs="0,0;3600,0" o:connectangles="0,0"/>
                  </v:shape>
                </v:group>
                <w10:anchorlock/>
              </v:group>
            </w:pict>
          </mc:Fallback>
        </mc:AlternateContent>
      </w:r>
    </w:p>
    <w:p w14:paraId="55DFB770" w14:textId="77777777" w:rsidR="0095121F" w:rsidRPr="00305742" w:rsidRDefault="0095121F" w:rsidP="00A72B86">
      <w:pPr>
        <w:spacing w:before="8" w:line="360" w:lineRule="auto"/>
        <w:jc w:val="center"/>
        <w:rPr>
          <w:rFonts w:ascii="Times New Roman" w:eastAsia="Times New Roman" w:hAnsi="Times New Roman" w:cs="Times New Roman"/>
          <w:sz w:val="24"/>
          <w:szCs w:val="24"/>
        </w:rPr>
      </w:pPr>
    </w:p>
    <w:p w14:paraId="028D25EC" w14:textId="63C63D08" w:rsidR="0095121F" w:rsidRPr="00305742" w:rsidRDefault="0095121F" w:rsidP="00A72B86">
      <w:pPr>
        <w:spacing w:line="360" w:lineRule="auto"/>
        <w:ind w:left="666"/>
        <w:jc w:val="center"/>
        <w:rPr>
          <w:rFonts w:ascii="Times New Roman" w:hAnsi="Times New Roman" w:cs="Times New Roman"/>
          <w:b/>
          <w:sz w:val="24"/>
          <w:szCs w:val="24"/>
        </w:rPr>
      </w:pPr>
      <w:r w:rsidRPr="00305742">
        <w:rPr>
          <w:rFonts w:ascii="Times New Roman" w:hAnsi="Times New Roman" w:cs="Times New Roman"/>
          <w:b/>
          <w:sz w:val="24"/>
          <w:szCs w:val="24"/>
        </w:rPr>
        <w:t>Jimmy Rosendo Sánchez Mejía</w:t>
      </w:r>
    </w:p>
    <w:p w14:paraId="7BF4873A" w14:textId="25D0AE2E" w:rsidR="0095121F" w:rsidRPr="00305742" w:rsidRDefault="00405B88" w:rsidP="00A72B86">
      <w:pPr>
        <w:spacing w:line="360" w:lineRule="auto"/>
        <w:ind w:left="666"/>
        <w:jc w:val="center"/>
        <w:rPr>
          <w:rFonts w:ascii="Times New Roman" w:hAnsi="Times New Roman" w:cs="Times New Roman"/>
          <w:b/>
          <w:sz w:val="24"/>
          <w:szCs w:val="24"/>
        </w:rPr>
      </w:pPr>
      <w:r w:rsidRPr="00305742">
        <w:rPr>
          <w:rFonts w:ascii="Times New Roman" w:hAnsi="Times New Roman" w:cs="Times New Roman"/>
          <w:b/>
          <w:sz w:val="24"/>
          <w:szCs w:val="24"/>
        </w:rPr>
        <w:t>12243124</w:t>
      </w:r>
    </w:p>
    <w:p w14:paraId="79B9D068" w14:textId="77777777" w:rsidR="007D5C9B" w:rsidRPr="00305742" w:rsidRDefault="007D5C9B" w:rsidP="00A72B86">
      <w:pPr>
        <w:spacing w:line="360" w:lineRule="auto"/>
        <w:rPr>
          <w:rFonts w:ascii="Times New Roman" w:eastAsia="Times New Roman" w:hAnsi="Times New Roman" w:cs="Times New Roman"/>
          <w:b/>
          <w:bCs/>
          <w:sz w:val="24"/>
          <w:szCs w:val="24"/>
        </w:rPr>
      </w:pPr>
    </w:p>
    <w:p w14:paraId="687D217C" w14:textId="77777777" w:rsidR="007D5C9B" w:rsidRPr="00305742" w:rsidRDefault="007D5C9B" w:rsidP="00A72B86">
      <w:pPr>
        <w:spacing w:line="360" w:lineRule="auto"/>
        <w:rPr>
          <w:rFonts w:ascii="Times New Roman" w:eastAsia="Times New Roman" w:hAnsi="Times New Roman" w:cs="Times New Roman"/>
          <w:b/>
          <w:bCs/>
          <w:sz w:val="24"/>
          <w:szCs w:val="24"/>
        </w:rPr>
      </w:pPr>
    </w:p>
    <w:p w14:paraId="237A8E0E" w14:textId="77777777" w:rsidR="007D5C9B" w:rsidRPr="00305742" w:rsidRDefault="007D5C9B" w:rsidP="00A72B86">
      <w:pPr>
        <w:spacing w:before="4" w:line="360" w:lineRule="auto"/>
        <w:rPr>
          <w:rFonts w:ascii="Times New Roman" w:eastAsia="Times New Roman" w:hAnsi="Times New Roman" w:cs="Times New Roman"/>
          <w:b/>
          <w:bCs/>
          <w:sz w:val="24"/>
          <w:szCs w:val="24"/>
        </w:rPr>
      </w:pPr>
    </w:p>
    <w:p w14:paraId="2FA87A2A" w14:textId="77777777" w:rsidR="007D5C9B" w:rsidRPr="00305742" w:rsidRDefault="007D5C9B" w:rsidP="00A72B86">
      <w:pPr>
        <w:spacing w:line="360" w:lineRule="auto"/>
        <w:ind w:left="666"/>
        <w:rPr>
          <w:rFonts w:ascii="Times New Roman" w:eastAsia="Times New Roman" w:hAnsi="Times New Roman" w:cs="Times New Roman"/>
          <w:sz w:val="24"/>
          <w:szCs w:val="24"/>
        </w:rPr>
      </w:pPr>
      <w:r w:rsidRPr="00305742">
        <w:rPr>
          <w:rFonts w:ascii="Times New Roman" w:hAnsi="Times New Roman" w:cs="Times New Roman"/>
          <w:b/>
          <w:sz w:val="24"/>
          <w:szCs w:val="24"/>
        </w:rPr>
        <w:t>* La autorización firmada se encuentra adjunta a mí expediente</w:t>
      </w:r>
    </w:p>
    <w:p w14:paraId="6D63773F" w14:textId="77777777" w:rsidR="007D5C9B" w:rsidRPr="00305742" w:rsidRDefault="007D5C9B" w:rsidP="00A72B86">
      <w:pPr>
        <w:spacing w:line="360" w:lineRule="auto"/>
        <w:rPr>
          <w:rFonts w:ascii="Times New Roman" w:eastAsia="Times New Roman" w:hAnsi="Times New Roman" w:cs="Times New Roman"/>
          <w:sz w:val="24"/>
          <w:szCs w:val="24"/>
        </w:rPr>
      </w:pPr>
    </w:p>
    <w:p w14:paraId="1BE28B7F" w14:textId="77777777" w:rsidR="007D5C9B" w:rsidRPr="00305742" w:rsidRDefault="007D5C9B" w:rsidP="00A72B86">
      <w:pPr>
        <w:spacing w:line="360" w:lineRule="auto"/>
        <w:rPr>
          <w:rFonts w:ascii="Times New Roman" w:eastAsia="Times New Roman" w:hAnsi="Times New Roman" w:cs="Times New Roman"/>
          <w:sz w:val="24"/>
          <w:szCs w:val="24"/>
        </w:rPr>
      </w:pPr>
    </w:p>
    <w:p w14:paraId="5D0E5848" w14:textId="77777777" w:rsidR="007D5C9B" w:rsidRPr="006F4460" w:rsidRDefault="007D5C9B" w:rsidP="007D5C9B">
      <w:pPr>
        <w:rPr>
          <w:rFonts w:ascii="Times New Roman" w:eastAsia="Times New Roman" w:hAnsi="Times New Roman" w:cs="Times New Roman"/>
          <w:sz w:val="24"/>
          <w:szCs w:val="24"/>
        </w:rPr>
        <w:sectPr w:rsidR="007D5C9B" w:rsidRPr="006F4460" w:rsidSect="00342E08">
          <w:type w:val="continuous"/>
          <w:pgSz w:w="12240" w:h="15840"/>
          <w:pgMar w:top="1500" w:right="1160" w:bottom="280" w:left="1340" w:header="720" w:footer="720" w:gutter="0"/>
          <w:cols w:space="720"/>
        </w:sectPr>
      </w:pPr>
    </w:p>
    <w:p w14:paraId="2879034E" w14:textId="6C23C357" w:rsidR="007D5C9B" w:rsidRPr="006F4460" w:rsidRDefault="00957657" w:rsidP="00957657">
      <w:pPr>
        <w:spacing w:before="8"/>
        <w:jc w:val="center"/>
        <w:rPr>
          <w:rFonts w:ascii="Times New Roman" w:eastAsia="Times New Roman" w:hAnsi="Times New Roman" w:cs="Times New Roman"/>
          <w:sz w:val="10"/>
          <w:szCs w:val="10"/>
        </w:rPr>
      </w:pPr>
      <w:r>
        <w:rPr>
          <w:noProof/>
          <w:lang w:val="es-ES" w:eastAsia="es-ES"/>
        </w:rPr>
        <w:lastRenderedPageBreak/>
        <w:drawing>
          <wp:inline distT="0" distB="0" distL="0" distR="0" wp14:anchorId="2F9B86EA" wp14:editId="3C0021F7">
            <wp:extent cx="2017058" cy="457200"/>
            <wp:effectExtent l="0" t="0" r="2540" b="0"/>
            <wp:docPr id="2" name="Imagen 2" descr="UNITEC a 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UNITEC a color"/>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17058" cy="457200"/>
                    </a:xfrm>
                    <a:prstGeom prst="rect">
                      <a:avLst/>
                    </a:prstGeom>
                    <a:noFill/>
                    <a:ln>
                      <a:noFill/>
                    </a:ln>
                  </pic:spPr>
                </pic:pic>
              </a:graphicData>
            </a:graphic>
          </wp:inline>
        </w:drawing>
      </w:r>
    </w:p>
    <w:p w14:paraId="6FF6AC93" w14:textId="77777777" w:rsidR="007D5C9B" w:rsidRDefault="007D5C9B" w:rsidP="007D5C9B">
      <w:pPr>
        <w:spacing w:before="7"/>
        <w:rPr>
          <w:rFonts w:ascii="Times New Roman" w:eastAsia="Times New Roman" w:hAnsi="Times New Roman" w:cs="Times New Roman"/>
          <w:sz w:val="24"/>
          <w:szCs w:val="24"/>
        </w:rPr>
      </w:pPr>
    </w:p>
    <w:p w14:paraId="57FF74C2" w14:textId="77777777" w:rsidR="00085903" w:rsidRPr="00085903" w:rsidRDefault="00085903" w:rsidP="007D5C9B">
      <w:pPr>
        <w:spacing w:before="7"/>
        <w:rPr>
          <w:rFonts w:ascii="Times New Roman" w:eastAsia="Times New Roman" w:hAnsi="Times New Roman" w:cs="Times New Roman"/>
          <w:sz w:val="2"/>
          <w:szCs w:val="2"/>
        </w:rPr>
      </w:pPr>
    </w:p>
    <w:p w14:paraId="654764E2" w14:textId="77777777" w:rsidR="007D5C9B" w:rsidRPr="00A55A07" w:rsidRDefault="007D5C9B" w:rsidP="00305742">
      <w:pPr>
        <w:spacing w:line="360" w:lineRule="auto"/>
        <w:ind w:left="100"/>
        <w:jc w:val="center"/>
        <w:rPr>
          <w:rFonts w:ascii="Times New Roman" w:hAnsi="Times New Roman"/>
          <w:b/>
          <w:sz w:val="32"/>
          <w:szCs w:val="28"/>
        </w:rPr>
      </w:pPr>
      <w:bookmarkStart w:id="5" w:name="_Toc474331371"/>
      <w:r w:rsidRPr="00A55A07">
        <w:rPr>
          <w:rFonts w:ascii="Times New Roman" w:hAnsi="Times New Roman"/>
          <w:b/>
          <w:sz w:val="32"/>
          <w:szCs w:val="28"/>
        </w:rPr>
        <w:t>FACULTAD DE POSTGRADO</w:t>
      </w:r>
      <w:bookmarkEnd w:id="5"/>
    </w:p>
    <w:p w14:paraId="7EF61813" w14:textId="77777777" w:rsidR="007D5C9B" w:rsidRPr="006F4460" w:rsidRDefault="007D5C9B" w:rsidP="00305742">
      <w:pPr>
        <w:spacing w:before="7" w:line="360" w:lineRule="auto"/>
        <w:rPr>
          <w:rFonts w:ascii="Times New Roman" w:eastAsia="Times New Roman" w:hAnsi="Times New Roman" w:cs="Times New Roman"/>
          <w:b/>
          <w:bCs/>
        </w:rPr>
      </w:pPr>
    </w:p>
    <w:p w14:paraId="5A2DF56F" w14:textId="18FE11C2" w:rsidR="00775965" w:rsidRDefault="00775965" w:rsidP="00775965">
      <w:pPr>
        <w:spacing w:line="360" w:lineRule="auto"/>
        <w:jc w:val="center"/>
        <w:rPr>
          <w:rFonts w:ascii="Times New Roman" w:hAnsi="Times New Roman" w:cs="Times New Roman"/>
          <w:b/>
          <w:sz w:val="32"/>
          <w:szCs w:val="32"/>
        </w:rPr>
      </w:pPr>
      <w:r w:rsidRPr="00FD2000">
        <w:rPr>
          <w:rFonts w:ascii="Times New Roman" w:hAnsi="Times New Roman" w:cs="Times New Roman"/>
          <w:b/>
          <w:sz w:val="32"/>
          <w:szCs w:val="32"/>
        </w:rPr>
        <w:t xml:space="preserve">ANÁLISIS DE MOROSIDAD EN LA CARTERA DE CRÉDITO DE </w:t>
      </w:r>
      <w:r>
        <w:rPr>
          <w:rFonts w:ascii="Times New Roman" w:hAnsi="Times New Roman" w:cs="Times New Roman"/>
          <w:b/>
          <w:sz w:val="32"/>
          <w:szCs w:val="32"/>
        </w:rPr>
        <w:t>LA</w:t>
      </w:r>
      <w:r w:rsidRPr="00FD2000">
        <w:rPr>
          <w:rFonts w:ascii="Times New Roman" w:hAnsi="Times New Roman" w:cs="Times New Roman"/>
          <w:b/>
          <w:sz w:val="32"/>
          <w:szCs w:val="32"/>
        </w:rPr>
        <w:t xml:space="preserve"> MICROFINANCIERA </w:t>
      </w:r>
      <w:r w:rsidR="00E5074B">
        <w:rPr>
          <w:rFonts w:ascii="Times New Roman" w:hAnsi="Times New Roman" w:cs="Times New Roman"/>
          <w:b/>
          <w:sz w:val="32"/>
          <w:szCs w:val="32"/>
        </w:rPr>
        <w:t>“XYZ”</w:t>
      </w:r>
      <w:r w:rsidRPr="00FD2000">
        <w:rPr>
          <w:rFonts w:ascii="Times New Roman" w:hAnsi="Times New Roman" w:cs="Times New Roman"/>
          <w:b/>
          <w:sz w:val="32"/>
          <w:szCs w:val="32"/>
        </w:rPr>
        <w:t xml:space="preserve"> </w:t>
      </w:r>
      <w:r>
        <w:rPr>
          <w:rFonts w:ascii="Times New Roman" w:hAnsi="Times New Roman" w:cs="Times New Roman"/>
          <w:b/>
          <w:sz w:val="32"/>
          <w:szCs w:val="32"/>
        </w:rPr>
        <w:t>EN HONDURAS, DURANTE EL PERÍODO</w:t>
      </w:r>
      <w:r w:rsidRPr="00FD2000">
        <w:rPr>
          <w:rFonts w:ascii="Times New Roman" w:hAnsi="Times New Roman" w:cs="Times New Roman"/>
          <w:b/>
          <w:sz w:val="32"/>
          <w:szCs w:val="32"/>
        </w:rPr>
        <w:t xml:space="preserve"> 2019</w:t>
      </w:r>
      <w:r>
        <w:rPr>
          <w:rFonts w:ascii="Times New Roman" w:hAnsi="Times New Roman" w:cs="Times New Roman"/>
          <w:b/>
          <w:sz w:val="32"/>
          <w:szCs w:val="32"/>
        </w:rPr>
        <w:t>-</w:t>
      </w:r>
      <w:r w:rsidRPr="00FD2000">
        <w:rPr>
          <w:rFonts w:ascii="Times New Roman" w:hAnsi="Times New Roman" w:cs="Times New Roman"/>
          <w:b/>
          <w:sz w:val="32"/>
          <w:szCs w:val="32"/>
        </w:rPr>
        <w:t>2023.</w:t>
      </w:r>
    </w:p>
    <w:p w14:paraId="5B33EC84" w14:textId="77777777" w:rsidR="00305742" w:rsidRDefault="00305742" w:rsidP="00305742">
      <w:pPr>
        <w:spacing w:line="360" w:lineRule="auto"/>
        <w:jc w:val="center"/>
        <w:rPr>
          <w:rFonts w:ascii="Times New Roman" w:hAnsi="Times New Roman"/>
          <w:b/>
          <w:sz w:val="32"/>
          <w:szCs w:val="28"/>
        </w:rPr>
      </w:pPr>
    </w:p>
    <w:p w14:paraId="35557E05" w14:textId="1AA92340" w:rsidR="00A527D4" w:rsidRPr="00A527D4" w:rsidRDefault="00A527D4" w:rsidP="00305742">
      <w:pPr>
        <w:spacing w:line="360" w:lineRule="auto"/>
        <w:jc w:val="center"/>
        <w:rPr>
          <w:rFonts w:ascii="Times New Roman" w:hAnsi="Times New Roman"/>
          <w:b/>
          <w:sz w:val="32"/>
          <w:szCs w:val="28"/>
        </w:rPr>
      </w:pPr>
      <w:r w:rsidRPr="00A527D4">
        <w:rPr>
          <w:rFonts w:ascii="Times New Roman" w:hAnsi="Times New Roman"/>
          <w:b/>
          <w:sz w:val="32"/>
          <w:szCs w:val="28"/>
        </w:rPr>
        <w:t>DANIA ELOÍSA MARÍN ÁLVAREZ</w:t>
      </w:r>
    </w:p>
    <w:p w14:paraId="1EE49BCE" w14:textId="574D13FB" w:rsidR="007D5C9B" w:rsidRDefault="00A527D4" w:rsidP="00305742">
      <w:pPr>
        <w:spacing w:line="360" w:lineRule="auto"/>
        <w:jc w:val="center"/>
        <w:rPr>
          <w:rFonts w:ascii="Times New Roman" w:hAnsi="Times New Roman"/>
          <w:b/>
          <w:sz w:val="32"/>
          <w:szCs w:val="28"/>
        </w:rPr>
      </w:pPr>
      <w:r w:rsidRPr="00A527D4">
        <w:rPr>
          <w:rFonts w:ascii="Times New Roman" w:hAnsi="Times New Roman"/>
          <w:b/>
          <w:sz w:val="32"/>
          <w:szCs w:val="28"/>
        </w:rPr>
        <w:t>JIMMY ROSENDO SÁNCHEZ MEJÍA</w:t>
      </w:r>
    </w:p>
    <w:p w14:paraId="1A21D7A6" w14:textId="77777777" w:rsidR="00305742" w:rsidRPr="00305742" w:rsidRDefault="00305742" w:rsidP="00305742">
      <w:pPr>
        <w:spacing w:line="360" w:lineRule="auto"/>
        <w:jc w:val="center"/>
        <w:rPr>
          <w:rFonts w:ascii="Times New Roman" w:hAnsi="Times New Roman"/>
          <w:b/>
          <w:sz w:val="32"/>
          <w:szCs w:val="28"/>
        </w:rPr>
      </w:pPr>
    </w:p>
    <w:p w14:paraId="4339F4B8" w14:textId="77777777" w:rsidR="007D5C9B" w:rsidRDefault="007D5C9B" w:rsidP="00305742">
      <w:pPr>
        <w:spacing w:after="120" w:line="360" w:lineRule="auto"/>
        <w:ind w:left="4360"/>
        <w:rPr>
          <w:rFonts w:ascii="Times New Roman"/>
          <w:b/>
          <w:sz w:val="24"/>
        </w:rPr>
      </w:pPr>
      <w:r w:rsidRPr="006F4460">
        <w:rPr>
          <w:rFonts w:ascii="Times New Roman"/>
          <w:b/>
          <w:sz w:val="24"/>
        </w:rPr>
        <w:t>Resumen</w:t>
      </w:r>
    </w:p>
    <w:p w14:paraId="35C21156" w14:textId="60EA55EE" w:rsidR="00085903" w:rsidRDefault="0058174F" w:rsidP="0058174F">
      <w:pPr>
        <w:spacing w:line="360" w:lineRule="auto"/>
        <w:ind w:firstLine="720"/>
        <w:jc w:val="both"/>
        <w:rPr>
          <w:rFonts w:ascii="Times New Roman" w:hAnsi="Times New Roman" w:cs="Times New Roman"/>
          <w:sz w:val="24"/>
          <w:szCs w:val="24"/>
        </w:rPr>
      </w:pPr>
      <w:r w:rsidRPr="0058174F">
        <w:rPr>
          <w:rFonts w:ascii="Times New Roman" w:hAnsi="Times New Roman" w:cs="Times New Roman"/>
          <w:sz w:val="24"/>
          <w:szCs w:val="24"/>
        </w:rPr>
        <w:t xml:space="preserve">Esta investigación analiza la evolución de la morosidad en la cartera de crédito de la institución microfinanciera “XYZ” en Honduras durante el período 2019-2023, con el fin de identificar las variables que han </w:t>
      </w:r>
      <w:r w:rsidR="00085903">
        <w:rPr>
          <w:rFonts w:ascii="Times New Roman" w:hAnsi="Times New Roman" w:cs="Times New Roman"/>
          <w:sz w:val="24"/>
          <w:szCs w:val="24"/>
        </w:rPr>
        <w:t>sufrido</w:t>
      </w:r>
      <w:r w:rsidRPr="0058174F">
        <w:rPr>
          <w:rFonts w:ascii="Times New Roman" w:hAnsi="Times New Roman" w:cs="Times New Roman"/>
          <w:sz w:val="24"/>
          <w:szCs w:val="24"/>
        </w:rPr>
        <w:t xml:space="preserve"> </w:t>
      </w:r>
      <w:r w:rsidR="00085903">
        <w:rPr>
          <w:rFonts w:ascii="Times New Roman" w:hAnsi="Times New Roman" w:cs="Times New Roman"/>
          <w:sz w:val="24"/>
          <w:szCs w:val="24"/>
        </w:rPr>
        <w:t>los niveles de morosidad</w:t>
      </w:r>
      <w:r w:rsidRPr="0058174F">
        <w:rPr>
          <w:rFonts w:ascii="Times New Roman" w:hAnsi="Times New Roman" w:cs="Times New Roman"/>
          <w:sz w:val="24"/>
          <w:szCs w:val="24"/>
        </w:rPr>
        <w:t>. El estudio</w:t>
      </w:r>
      <w:r w:rsidR="00085903">
        <w:rPr>
          <w:rFonts w:ascii="Times New Roman" w:hAnsi="Times New Roman" w:cs="Times New Roman"/>
          <w:sz w:val="24"/>
          <w:szCs w:val="24"/>
        </w:rPr>
        <w:t xml:space="preserve"> se</w:t>
      </w:r>
      <w:r w:rsidRPr="0058174F">
        <w:rPr>
          <w:rFonts w:ascii="Times New Roman" w:hAnsi="Times New Roman" w:cs="Times New Roman"/>
          <w:sz w:val="24"/>
          <w:szCs w:val="24"/>
        </w:rPr>
        <w:t xml:space="preserve"> </w:t>
      </w:r>
      <w:r w:rsidR="00085903">
        <w:rPr>
          <w:rFonts w:ascii="Times New Roman" w:hAnsi="Times New Roman" w:cs="Times New Roman"/>
          <w:sz w:val="24"/>
          <w:szCs w:val="24"/>
        </w:rPr>
        <w:t>realiza bajo</w:t>
      </w:r>
      <w:r w:rsidRPr="0058174F">
        <w:rPr>
          <w:rFonts w:ascii="Times New Roman" w:hAnsi="Times New Roman" w:cs="Times New Roman"/>
          <w:sz w:val="24"/>
          <w:szCs w:val="24"/>
        </w:rPr>
        <w:t xml:space="preserve"> un enfoque mixto, predominando lo cuantitativo, bajo un diseño no experimental con alcance descriptivo. Se </w:t>
      </w:r>
      <w:r w:rsidR="00085903">
        <w:rPr>
          <w:rFonts w:ascii="Times New Roman" w:hAnsi="Times New Roman" w:cs="Times New Roman"/>
          <w:sz w:val="24"/>
          <w:szCs w:val="24"/>
        </w:rPr>
        <w:t>presentan</w:t>
      </w:r>
      <w:r w:rsidRPr="0058174F">
        <w:rPr>
          <w:rFonts w:ascii="Times New Roman" w:hAnsi="Times New Roman" w:cs="Times New Roman"/>
          <w:sz w:val="24"/>
          <w:szCs w:val="24"/>
        </w:rPr>
        <w:t xml:space="preserve"> análisis longitudinales y transversales, utilizando bases de datos proporcionadas por la IMF, sin manipulación de variables. Además, se aplic</w:t>
      </w:r>
      <w:r w:rsidR="00085903">
        <w:rPr>
          <w:rFonts w:ascii="Times New Roman" w:hAnsi="Times New Roman" w:cs="Times New Roman"/>
          <w:sz w:val="24"/>
          <w:szCs w:val="24"/>
        </w:rPr>
        <w:t>a</w:t>
      </w:r>
      <w:r w:rsidRPr="0058174F">
        <w:rPr>
          <w:rFonts w:ascii="Times New Roman" w:hAnsi="Times New Roman" w:cs="Times New Roman"/>
          <w:sz w:val="24"/>
          <w:szCs w:val="24"/>
        </w:rPr>
        <w:t xml:space="preserve"> el método deductivo, combinando</w:t>
      </w:r>
      <w:r w:rsidR="00085903">
        <w:rPr>
          <w:rFonts w:ascii="Times New Roman" w:hAnsi="Times New Roman" w:cs="Times New Roman"/>
          <w:sz w:val="24"/>
          <w:szCs w:val="24"/>
        </w:rPr>
        <w:t xml:space="preserve"> técnicas de</w:t>
      </w:r>
      <w:r w:rsidRPr="0058174F">
        <w:rPr>
          <w:rFonts w:ascii="Times New Roman" w:hAnsi="Times New Roman" w:cs="Times New Roman"/>
          <w:sz w:val="24"/>
          <w:szCs w:val="24"/>
        </w:rPr>
        <w:t xml:space="preserve"> análisis de datos con entrevistas a gerentes de áreas clave.</w:t>
      </w:r>
    </w:p>
    <w:p w14:paraId="52F65594" w14:textId="18EF7809" w:rsidR="007D5C9B" w:rsidRPr="0058174F" w:rsidRDefault="0058174F" w:rsidP="0058174F">
      <w:pPr>
        <w:spacing w:line="360" w:lineRule="auto"/>
        <w:ind w:firstLine="720"/>
        <w:jc w:val="both"/>
        <w:rPr>
          <w:rFonts w:ascii="Times New Roman" w:hAnsi="Times New Roman" w:cs="Times New Roman"/>
          <w:sz w:val="24"/>
          <w:szCs w:val="24"/>
        </w:rPr>
      </w:pPr>
      <w:r w:rsidRPr="0058174F">
        <w:rPr>
          <w:rFonts w:ascii="Times New Roman" w:hAnsi="Times New Roman" w:cs="Times New Roman"/>
          <w:sz w:val="24"/>
          <w:szCs w:val="24"/>
        </w:rPr>
        <w:t>Los resultados revelan un incremento significativo en los niveles de morosidad</w:t>
      </w:r>
      <w:r w:rsidR="00085903">
        <w:rPr>
          <w:rFonts w:ascii="Times New Roman" w:hAnsi="Times New Roman" w:cs="Times New Roman"/>
          <w:sz w:val="24"/>
          <w:szCs w:val="24"/>
        </w:rPr>
        <w:t xml:space="preserve"> para el período de estudio con un promedio de morosidad de 28.10%</w:t>
      </w:r>
      <w:r w:rsidRPr="0058174F">
        <w:rPr>
          <w:rFonts w:ascii="Times New Roman" w:hAnsi="Times New Roman" w:cs="Times New Roman"/>
          <w:sz w:val="24"/>
          <w:szCs w:val="24"/>
        </w:rPr>
        <w:t>, evidenciando la influencia de factores económicos externos y la</w:t>
      </w:r>
      <w:r w:rsidR="00085903">
        <w:rPr>
          <w:rFonts w:ascii="Times New Roman" w:hAnsi="Times New Roman" w:cs="Times New Roman"/>
          <w:sz w:val="24"/>
          <w:szCs w:val="24"/>
        </w:rPr>
        <w:t>s debilidades</w:t>
      </w:r>
      <w:r w:rsidRPr="0058174F">
        <w:rPr>
          <w:rFonts w:ascii="Times New Roman" w:hAnsi="Times New Roman" w:cs="Times New Roman"/>
          <w:sz w:val="24"/>
          <w:szCs w:val="24"/>
        </w:rPr>
        <w:t xml:space="preserve"> en la gestión del riesgo crediticio. Las entrevistas destacaron que la falta de estrategias efectivas de recuperación de créditos y las políticas de concesión demasiado </w:t>
      </w:r>
      <w:r w:rsidR="00085903">
        <w:rPr>
          <w:rFonts w:ascii="Times New Roman" w:hAnsi="Times New Roman" w:cs="Times New Roman"/>
          <w:sz w:val="24"/>
          <w:szCs w:val="24"/>
        </w:rPr>
        <w:t>restrictivas</w:t>
      </w:r>
      <w:r w:rsidRPr="0058174F">
        <w:rPr>
          <w:rFonts w:ascii="Times New Roman" w:hAnsi="Times New Roman" w:cs="Times New Roman"/>
          <w:sz w:val="24"/>
          <w:szCs w:val="24"/>
        </w:rPr>
        <w:t xml:space="preserve"> han contribuido al deterioro de la cartera. Estos hallazgos subrayan la necesidad de adoptar medidas correctivas para mejorar la estabilidad financiera de la institución y mitigar el riesgo asociado a la morosidad creciente</w:t>
      </w:r>
      <w:r w:rsidR="00085903">
        <w:rPr>
          <w:rFonts w:ascii="Times New Roman" w:hAnsi="Times New Roman" w:cs="Times New Roman"/>
          <w:sz w:val="24"/>
          <w:szCs w:val="24"/>
        </w:rPr>
        <w:t xml:space="preserve"> el cual se aborda por medio de un plan de reducción de morosidad.</w:t>
      </w:r>
    </w:p>
    <w:p w14:paraId="0B6EC1F5" w14:textId="5BAA9FA7" w:rsidR="007D5C9B" w:rsidRDefault="007D5C9B" w:rsidP="006C38D2">
      <w:pPr>
        <w:spacing w:line="360" w:lineRule="auto"/>
        <w:rPr>
          <w:rFonts w:ascii="Times New Roman"/>
          <w:b/>
          <w:sz w:val="24"/>
        </w:rPr>
      </w:pPr>
      <w:r w:rsidRPr="006F4460">
        <w:rPr>
          <w:rFonts w:ascii="Times New Roman"/>
          <w:b/>
          <w:sz w:val="24"/>
        </w:rPr>
        <w:t>Palabras</w:t>
      </w:r>
      <w:r w:rsidRPr="006F4460">
        <w:rPr>
          <w:rFonts w:ascii="Times New Roman"/>
          <w:b/>
          <w:spacing w:val="-4"/>
          <w:sz w:val="24"/>
        </w:rPr>
        <w:t xml:space="preserve"> </w:t>
      </w:r>
      <w:r w:rsidRPr="006F4460">
        <w:rPr>
          <w:rFonts w:ascii="Times New Roman"/>
          <w:b/>
          <w:sz w:val="24"/>
        </w:rPr>
        <w:t>claves:</w:t>
      </w:r>
      <w:r>
        <w:rPr>
          <w:rFonts w:ascii="Times New Roman"/>
          <w:b/>
          <w:sz w:val="24"/>
        </w:rPr>
        <w:t xml:space="preserve"> (</w:t>
      </w:r>
      <w:r w:rsidR="006C38D2" w:rsidRPr="006C38D2">
        <w:rPr>
          <w:rFonts w:ascii="Times New Roman"/>
          <w:b/>
          <w:sz w:val="24"/>
        </w:rPr>
        <w:t>Endeudamiento</w:t>
      </w:r>
      <w:r w:rsidR="006C38D2">
        <w:rPr>
          <w:rFonts w:ascii="Times New Roman"/>
          <w:b/>
          <w:sz w:val="24"/>
        </w:rPr>
        <w:t xml:space="preserve">, </w:t>
      </w:r>
      <w:r w:rsidR="006C38D2" w:rsidRPr="006C38D2">
        <w:rPr>
          <w:rFonts w:ascii="Times New Roman"/>
          <w:b/>
          <w:sz w:val="24"/>
        </w:rPr>
        <w:t>Liquidez</w:t>
      </w:r>
      <w:r w:rsidR="006C38D2">
        <w:rPr>
          <w:rFonts w:ascii="Times New Roman"/>
          <w:b/>
          <w:sz w:val="24"/>
        </w:rPr>
        <w:t xml:space="preserve">, </w:t>
      </w:r>
      <w:r w:rsidR="006C38D2" w:rsidRPr="006C38D2">
        <w:rPr>
          <w:rFonts w:ascii="Times New Roman"/>
          <w:b/>
          <w:sz w:val="24"/>
        </w:rPr>
        <w:t>Microfinanzas</w:t>
      </w:r>
      <w:r w:rsidR="006C38D2">
        <w:rPr>
          <w:rFonts w:ascii="Times New Roman"/>
          <w:b/>
          <w:sz w:val="24"/>
        </w:rPr>
        <w:t xml:space="preserve">, </w:t>
      </w:r>
      <w:r w:rsidR="006C38D2" w:rsidRPr="006C38D2">
        <w:rPr>
          <w:rFonts w:ascii="Times New Roman"/>
          <w:b/>
          <w:sz w:val="24"/>
        </w:rPr>
        <w:t>Morosidad</w:t>
      </w:r>
      <w:r>
        <w:rPr>
          <w:rFonts w:ascii="Times New Roman"/>
          <w:b/>
          <w:sz w:val="24"/>
        </w:rPr>
        <w:t>)</w:t>
      </w:r>
    </w:p>
    <w:p w14:paraId="0DC874EF" w14:textId="77777777" w:rsidR="00C311D6" w:rsidRDefault="00C311D6" w:rsidP="006C38D2">
      <w:pPr>
        <w:spacing w:line="360" w:lineRule="auto"/>
        <w:rPr>
          <w:rFonts w:ascii="Times New Roman" w:eastAsia="Times New Roman" w:hAnsi="Times New Roman" w:cs="Times New Roman"/>
          <w:sz w:val="24"/>
          <w:szCs w:val="24"/>
        </w:rPr>
      </w:pPr>
    </w:p>
    <w:p w14:paraId="3FD4785C" w14:textId="77777777" w:rsidR="007D5C9B" w:rsidRPr="006F4460" w:rsidRDefault="007D5C9B" w:rsidP="007D5C9B">
      <w:pPr>
        <w:rPr>
          <w:rFonts w:ascii="Times New Roman" w:eastAsia="Times New Roman" w:hAnsi="Times New Roman" w:cs="Times New Roman"/>
          <w:sz w:val="20"/>
          <w:szCs w:val="20"/>
        </w:rPr>
      </w:pPr>
    </w:p>
    <w:p w14:paraId="551A3EC8" w14:textId="16982993" w:rsidR="007D5C9B" w:rsidRPr="006F4460" w:rsidRDefault="00957657" w:rsidP="00957657">
      <w:pPr>
        <w:spacing w:before="8"/>
        <w:jc w:val="center"/>
        <w:rPr>
          <w:rFonts w:ascii="Times New Roman" w:eastAsia="Times New Roman" w:hAnsi="Times New Roman" w:cs="Times New Roman"/>
          <w:sz w:val="10"/>
          <w:szCs w:val="10"/>
        </w:rPr>
      </w:pPr>
      <w:r>
        <w:rPr>
          <w:noProof/>
          <w:lang w:val="es-ES" w:eastAsia="es-ES"/>
        </w:rPr>
        <w:drawing>
          <wp:inline distT="0" distB="0" distL="0" distR="0" wp14:anchorId="5E92751E" wp14:editId="0CEA6101">
            <wp:extent cx="2017058" cy="457200"/>
            <wp:effectExtent l="0" t="0" r="2540" b="0"/>
            <wp:docPr id="4" name="Imagen 4" descr="UNITEC a 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UNITEC a color"/>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17058" cy="457200"/>
                    </a:xfrm>
                    <a:prstGeom prst="rect">
                      <a:avLst/>
                    </a:prstGeom>
                    <a:noFill/>
                    <a:ln>
                      <a:noFill/>
                    </a:ln>
                  </pic:spPr>
                </pic:pic>
              </a:graphicData>
            </a:graphic>
          </wp:inline>
        </w:drawing>
      </w:r>
    </w:p>
    <w:p w14:paraId="6AE764EE" w14:textId="77777777" w:rsidR="007D5C9B" w:rsidRPr="006F4460" w:rsidRDefault="007D5C9B" w:rsidP="007D5C9B">
      <w:pPr>
        <w:rPr>
          <w:rFonts w:ascii="Times New Roman" w:eastAsia="Times New Roman" w:hAnsi="Times New Roman" w:cs="Times New Roman"/>
          <w:sz w:val="24"/>
          <w:szCs w:val="24"/>
        </w:rPr>
      </w:pPr>
    </w:p>
    <w:p w14:paraId="4A17FC57" w14:textId="77777777" w:rsidR="007D5C9B" w:rsidRPr="00B32C31" w:rsidRDefault="007D5C9B" w:rsidP="00660E49">
      <w:pPr>
        <w:spacing w:before="7" w:line="360" w:lineRule="auto"/>
        <w:rPr>
          <w:rFonts w:ascii="Times New Roman" w:eastAsia="Times New Roman" w:hAnsi="Times New Roman" w:cs="Times New Roman"/>
          <w:sz w:val="2"/>
          <w:szCs w:val="2"/>
        </w:rPr>
      </w:pPr>
    </w:p>
    <w:p w14:paraId="31FE2FBE" w14:textId="2FEC59B1" w:rsidR="007D5C9B" w:rsidRPr="0083712C" w:rsidRDefault="007D5C9B" w:rsidP="00660E49">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center"/>
        <w:rPr>
          <w:rFonts w:ascii="Times New Roman" w:eastAsia="Times New Roman" w:hAnsi="Times New Roman" w:cs="Times New Roman"/>
          <w:b/>
          <w:sz w:val="32"/>
          <w:szCs w:val="32"/>
          <w:lang w:val="en-US" w:eastAsia="es-HN"/>
        </w:rPr>
      </w:pPr>
      <w:r w:rsidRPr="0083712C">
        <w:rPr>
          <w:rFonts w:ascii="Times New Roman" w:eastAsia="Times New Roman" w:hAnsi="Times New Roman" w:cs="Times New Roman"/>
          <w:b/>
          <w:sz w:val="32"/>
          <w:szCs w:val="32"/>
          <w:lang w:val="en-US" w:eastAsia="es-HN"/>
        </w:rPr>
        <w:t>GRADUATE SCHOOL</w:t>
      </w:r>
    </w:p>
    <w:p w14:paraId="55AA9A77" w14:textId="77777777" w:rsidR="00660E49" w:rsidRPr="0083712C" w:rsidRDefault="00660E49" w:rsidP="00660E49">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center"/>
        <w:rPr>
          <w:rFonts w:ascii="Times New Roman" w:eastAsia="Times New Roman" w:hAnsi="Times New Roman" w:cs="Times New Roman"/>
          <w:b/>
          <w:sz w:val="32"/>
          <w:szCs w:val="32"/>
          <w:lang w:val="en-US" w:eastAsia="es-HN"/>
        </w:rPr>
      </w:pPr>
    </w:p>
    <w:p w14:paraId="666568DF" w14:textId="150175ED" w:rsidR="004C4AFA" w:rsidRPr="00C311D6" w:rsidRDefault="00D2598A" w:rsidP="00660E49">
      <w:pPr>
        <w:spacing w:line="360" w:lineRule="auto"/>
        <w:jc w:val="center"/>
        <w:rPr>
          <w:rFonts w:ascii="Times New Roman" w:hAnsi="Times New Roman"/>
          <w:b/>
          <w:sz w:val="32"/>
          <w:szCs w:val="28"/>
          <w:lang w:val="en-US"/>
        </w:rPr>
      </w:pPr>
      <w:r w:rsidRPr="00C311D6">
        <w:rPr>
          <w:rFonts w:ascii="Times New Roman" w:hAnsi="Times New Roman"/>
          <w:b/>
          <w:sz w:val="32"/>
          <w:szCs w:val="28"/>
          <w:lang w:val="en-US"/>
        </w:rPr>
        <w:t xml:space="preserve">DELINQUENCY ANALYSIS OF THE LOAN PORTFOLIO OF MICROFINANCE INSTITUTION </w:t>
      </w:r>
      <w:r w:rsidR="00E5074B">
        <w:rPr>
          <w:rFonts w:ascii="Times New Roman" w:hAnsi="Times New Roman"/>
          <w:b/>
          <w:sz w:val="32"/>
          <w:szCs w:val="28"/>
          <w:lang w:val="en-US"/>
        </w:rPr>
        <w:t>“XYZ”</w:t>
      </w:r>
      <w:r w:rsidRPr="00C311D6">
        <w:rPr>
          <w:rFonts w:ascii="Times New Roman" w:hAnsi="Times New Roman"/>
          <w:b/>
          <w:sz w:val="32"/>
          <w:szCs w:val="28"/>
          <w:lang w:val="en-US"/>
        </w:rPr>
        <w:t xml:space="preserve"> IN HONDURAS, DURING THE PERIOD 2019 - 2023.</w:t>
      </w:r>
    </w:p>
    <w:p w14:paraId="2F137D81" w14:textId="77777777" w:rsidR="00D2598A" w:rsidRPr="00B32C31" w:rsidRDefault="00D2598A" w:rsidP="00660E49">
      <w:pPr>
        <w:spacing w:line="360" w:lineRule="auto"/>
        <w:jc w:val="center"/>
        <w:rPr>
          <w:rFonts w:ascii="Times New Roman" w:hAnsi="Times New Roman"/>
          <w:b/>
          <w:sz w:val="18"/>
          <w:szCs w:val="16"/>
          <w:lang w:val="en-US"/>
        </w:rPr>
      </w:pPr>
    </w:p>
    <w:p w14:paraId="5B752DD1" w14:textId="77777777" w:rsidR="004C4AFA" w:rsidRPr="00A527D4" w:rsidRDefault="004C4AFA" w:rsidP="00660E49">
      <w:pPr>
        <w:spacing w:line="360" w:lineRule="auto"/>
        <w:jc w:val="center"/>
        <w:rPr>
          <w:rFonts w:ascii="Times New Roman" w:hAnsi="Times New Roman"/>
          <w:b/>
          <w:sz w:val="32"/>
          <w:szCs w:val="28"/>
        </w:rPr>
      </w:pPr>
      <w:r w:rsidRPr="00A527D4">
        <w:rPr>
          <w:rFonts w:ascii="Times New Roman" w:hAnsi="Times New Roman"/>
          <w:b/>
          <w:sz w:val="32"/>
          <w:szCs w:val="28"/>
        </w:rPr>
        <w:t>DANIA ELOÍSA MARÍN ÁLVAREZ</w:t>
      </w:r>
    </w:p>
    <w:p w14:paraId="71DB899A" w14:textId="371D7825" w:rsidR="007D5C9B" w:rsidRDefault="004C4AFA" w:rsidP="00B32C31">
      <w:pPr>
        <w:spacing w:line="360" w:lineRule="auto"/>
        <w:jc w:val="center"/>
        <w:rPr>
          <w:rFonts w:ascii="Times New Roman" w:hAnsi="Times New Roman"/>
          <w:b/>
          <w:sz w:val="32"/>
          <w:szCs w:val="28"/>
        </w:rPr>
      </w:pPr>
      <w:r w:rsidRPr="00A527D4">
        <w:rPr>
          <w:rFonts w:ascii="Times New Roman" w:hAnsi="Times New Roman"/>
          <w:b/>
          <w:sz w:val="32"/>
          <w:szCs w:val="28"/>
        </w:rPr>
        <w:t>JIMMY ROSENDO SÁNCHEZ MEJÍA</w:t>
      </w:r>
    </w:p>
    <w:p w14:paraId="39B39985" w14:textId="77777777" w:rsidR="00B32C31" w:rsidRPr="00B32C31" w:rsidRDefault="00B32C31" w:rsidP="00B32C31">
      <w:pPr>
        <w:spacing w:line="360" w:lineRule="auto"/>
        <w:jc w:val="center"/>
        <w:rPr>
          <w:rFonts w:ascii="Times New Roman" w:hAnsi="Times New Roman"/>
          <w:b/>
          <w:sz w:val="18"/>
          <w:szCs w:val="16"/>
        </w:rPr>
      </w:pPr>
    </w:p>
    <w:p w14:paraId="0E3ADAF3" w14:textId="77777777" w:rsidR="007D5C9B" w:rsidRPr="00D2598A" w:rsidRDefault="007D5C9B" w:rsidP="00660E49">
      <w:pPr>
        <w:spacing w:after="120" w:line="360" w:lineRule="auto"/>
        <w:ind w:left="4360"/>
        <w:rPr>
          <w:rFonts w:ascii="Times New Roman" w:eastAsia="Times New Roman" w:hAnsi="Times New Roman" w:cs="Times New Roman"/>
          <w:sz w:val="24"/>
          <w:szCs w:val="24"/>
          <w:lang w:val="en-US"/>
        </w:rPr>
      </w:pPr>
      <w:r w:rsidRPr="00D2598A">
        <w:rPr>
          <w:rFonts w:ascii="Times New Roman"/>
          <w:b/>
          <w:sz w:val="24"/>
          <w:lang w:val="en-US"/>
        </w:rPr>
        <w:t>Abstract</w:t>
      </w:r>
    </w:p>
    <w:p w14:paraId="0FBDD603" w14:textId="77777777" w:rsidR="00B32C31" w:rsidRPr="00B32C31" w:rsidRDefault="00B32C31" w:rsidP="00B32C31">
      <w:pPr>
        <w:spacing w:line="360" w:lineRule="auto"/>
        <w:ind w:firstLine="720"/>
        <w:jc w:val="both"/>
        <w:rPr>
          <w:rFonts w:ascii="Times New Roman" w:hAnsi="Times New Roman" w:cs="Times New Roman"/>
          <w:sz w:val="24"/>
          <w:szCs w:val="24"/>
          <w:lang w:val="en-US"/>
        </w:rPr>
      </w:pPr>
      <w:r w:rsidRPr="00B32C31">
        <w:rPr>
          <w:rFonts w:ascii="Times New Roman" w:hAnsi="Times New Roman" w:cs="Times New Roman"/>
          <w:sz w:val="24"/>
          <w:szCs w:val="24"/>
          <w:lang w:val="en-US"/>
        </w:rPr>
        <w:t xml:space="preserve">This research analyzes the evolution of delinquency in the loan portfolio of the microfinance institution “XYZ” in Honduras during the period 2019-2023, </w:t>
      </w:r>
      <w:proofErr w:type="gramStart"/>
      <w:r w:rsidRPr="00B32C31">
        <w:rPr>
          <w:rFonts w:ascii="Times New Roman" w:hAnsi="Times New Roman" w:cs="Times New Roman"/>
          <w:sz w:val="24"/>
          <w:szCs w:val="24"/>
          <w:lang w:val="en-US"/>
        </w:rPr>
        <w:t>in order to</w:t>
      </w:r>
      <w:proofErr w:type="gramEnd"/>
      <w:r w:rsidRPr="00B32C31">
        <w:rPr>
          <w:rFonts w:ascii="Times New Roman" w:hAnsi="Times New Roman" w:cs="Times New Roman"/>
          <w:sz w:val="24"/>
          <w:szCs w:val="24"/>
          <w:lang w:val="en-US"/>
        </w:rPr>
        <w:t xml:space="preserve"> identify the variables that have affected delinquency levels. The study is conducted under a mixed approach, predominantly quantitative, under a non-experimental design with descriptive scope. Longitudinal and cross-sectional analyses are presented, using databases provided by the MFI, without manipulation of variables. In addition, the deductive method is applied, combining data analysis techniques with interviews to managers of key areas.</w:t>
      </w:r>
    </w:p>
    <w:p w14:paraId="00C7F774" w14:textId="77777777" w:rsidR="00B32C31" w:rsidRPr="00B32C31" w:rsidRDefault="00B32C31" w:rsidP="00B32C31">
      <w:pPr>
        <w:spacing w:line="360" w:lineRule="auto"/>
        <w:ind w:firstLine="720"/>
        <w:jc w:val="both"/>
        <w:rPr>
          <w:rFonts w:ascii="Times New Roman" w:hAnsi="Times New Roman" w:cs="Times New Roman"/>
          <w:sz w:val="24"/>
          <w:szCs w:val="24"/>
          <w:lang w:val="en-US"/>
        </w:rPr>
      </w:pPr>
      <w:r w:rsidRPr="00B32C31">
        <w:rPr>
          <w:rFonts w:ascii="Times New Roman" w:hAnsi="Times New Roman" w:cs="Times New Roman"/>
          <w:sz w:val="24"/>
          <w:szCs w:val="24"/>
          <w:lang w:val="en-US"/>
        </w:rPr>
        <w:t>The results reveal a significant increase in delinquency levels for the study period with an average delinquency rate of 28.10%, evidencing the influence of external economic factors and weaknesses in credit risk management. The interviews highlighted that the lack of effective loan recovery strategies and overly restrictive lending policies have contributed to the deterioration of the portfolio. These findings underscore the need to adopt corrective measures to improve the institution's financial stability and mitigate the risk associated with increasing delinquency, which is addressed through a delinquency reduction plan.</w:t>
      </w:r>
    </w:p>
    <w:p w14:paraId="52CC1EA1" w14:textId="33E19000" w:rsidR="007D5C9B" w:rsidRPr="00D2598A" w:rsidRDefault="007D5C9B" w:rsidP="00D2598A">
      <w:pPr>
        <w:spacing w:line="360" w:lineRule="auto"/>
        <w:rPr>
          <w:rFonts w:ascii="Times New Roman" w:eastAsia="Times New Roman" w:hAnsi="Times New Roman" w:cs="Times New Roman"/>
          <w:sz w:val="24"/>
          <w:szCs w:val="24"/>
          <w:lang w:val="en-US"/>
        </w:rPr>
      </w:pPr>
      <w:r w:rsidRPr="00D2598A">
        <w:rPr>
          <w:rFonts w:ascii="Times New Roman"/>
          <w:b/>
          <w:sz w:val="24"/>
          <w:lang w:val="en-US"/>
        </w:rPr>
        <w:t>Palabras</w:t>
      </w:r>
      <w:r w:rsidRPr="00D2598A">
        <w:rPr>
          <w:rFonts w:ascii="Times New Roman"/>
          <w:b/>
          <w:spacing w:val="-4"/>
          <w:sz w:val="24"/>
          <w:lang w:val="en-US"/>
        </w:rPr>
        <w:t xml:space="preserve"> </w:t>
      </w:r>
      <w:r w:rsidRPr="00D2598A">
        <w:rPr>
          <w:rFonts w:ascii="Times New Roman"/>
          <w:b/>
          <w:sz w:val="24"/>
          <w:lang w:val="en-US"/>
        </w:rPr>
        <w:t>claves: (</w:t>
      </w:r>
      <w:r w:rsidR="00D2598A" w:rsidRPr="00D2598A">
        <w:rPr>
          <w:rFonts w:ascii="Times New Roman"/>
          <w:b/>
          <w:sz w:val="24"/>
          <w:lang w:val="en-US"/>
        </w:rPr>
        <w:t>Indebtedness, Liquidity, Late payment, Microfinance</w:t>
      </w:r>
      <w:r w:rsidRPr="00D2598A">
        <w:rPr>
          <w:rFonts w:ascii="Times New Roman"/>
          <w:b/>
          <w:sz w:val="24"/>
          <w:lang w:val="en-US"/>
        </w:rPr>
        <w:t>)</w:t>
      </w:r>
    </w:p>
    <w:p w14:paraId="13C9F5BF" w14:textId="77777777" w:rsidR="002313B9" w:rsidRPr="00C311D6" w:rsidRDefault="002313B9">
      <w:pPr>
        <w:rPr>
          <w:lang w:val="en-US"/>
        </w:rPr>
        <w:sectPr w:rsidR="002313B9" w:rsidRPr="00C311D6" w:rsidSect="00342E08">
          <w:pgSz w:w="12240" w:h="15840" w:code="1"/>
          <w:pgMar w:top="1440" w:right="1440" w:bottom="1440" w:left="1440" w:header="709" w:footer="709" w:gutter="0"/>
          <w:cols w:space="708"/>
          <w:docGrid w:linePitch="360"/>
        </w:sectPr>
      </w:pPr>
    </w:p>
    <w:p w14:paraId="3CF1E433" w14:textId="26CC47BA" w:rsidR="00C52E7B" w:rsidRPr="00C52E7B" w:rsidRDefault="00C52E7B" w:rsidP="00ED6504">
      <w:pPr>
        <w:pStyle w:val="Ttulo1"/>
        <w:spacing w:before="0" w:after="120" w:line="360" w:lineRule="auto"/>
      </w:pPr>
      <w:bookmarkStart w:id="6" w:name="_Toc474331173"/>
      <w:bookmarkStart w:id="7" w:name="_Toc474331372"/>
      <w:bookmarkStart w:id="8" w:name="_Toc166705739"/>
      <w:bookmarkStart w:id="9" w:name="_Toc175171341"/>
      <w:r w:rsidRPr="00C52E7B">
        <w:lastRenderedPageBreak/>
        <w:t>DEDICATORIA</w:t>
      </w:r>
      <w:bookmarkEnd w:id="6"/>
      <w:bookmarkEnd w:id="7"/>
      <w:bookmarkEnd w:id="8"/>
      <w:bookmarkEnd w:id="9"/>
    </w:p>
    <w:p w14:paraId="2A0F1373" w14:textId="77777777" w:rsidR="00E409A4" w:rsidRPr="00E409A4" w:rsidRDefault="00E409A4" w:rsidP="00E409A4">
      <w:pPr>
        <w:spacing w:line="360" w:lineRule="auto"/>
        <w:ind w:firstLine="720"/>
        <w:jc w:val="both"/>
        <w:rPr>
          <w:rFonts w:ascii="Times New Roman" w:hAnsi="Times New Roman" w:cs="Times New Roman"/>
          <w:sz w:val="24"/>
          <w:szCs w:val="24"/>
        </w:rPr>
      </w:pPr>
      <w:r w:rsidRPr="00E409A4">
        <w:rPr>
          <w:rFonts w:ascii="Times New Roman" w:hAnsi="Times New Roman" w:cs="Times New Roman"/>
          <w:sz w:val="24"/>
          <w:szCs w:val="24"/>
        </w:rPr>
        <w:t>A mis padres, quienes siempre han creído en mí. Gracias por su amor, por sus sacrificios y por enseñarme a nunca rendirme ante los obstáculos de la vida.</w:t>
      </w:r>
    </w:p>
    <w:p w14:paraId="1F69E1B8" w14:textId="77777777" w:rsidR="00E409A4" w:rsidRDefault="00E409A4" w:rsidP="00E409A4">
      <w:pPr>
        <w:spacing w:line="360" w:lineRule="auto"/>
        <w:ind w:firstLine="720"/>
        <w:jc w:val="both"/>
        <w:rPr>
          <w:rFonts w:ascii="Times New Roman" w:hAnsi="Times New Roman" w:cs="Times New Roman"/>
          <w:sz w:val="24"/>
          <w:szCs w:val="24"/>
        </w:rPr>
      </w:pPr>
      <w:r w:rsidRPr="00E409A4">
        <w:rPr>
          <w:rFonts w:ascii="Times New Roman" w:hAnsi="Times New Roman" w:cs="Times New Roman"/>
          <w:sz w:val="24"/>
          <w:szCs w:val="24"/>
        </w:rPr>
        <w:t>Este logro es también suyo.</w:t>
      </w:r>
    </w:p>
    <w:p w14:paraId="5E850E10" w14:textId="0813B6E9" w:rsidR="00110714" w:rsidRDefault="00E409A4" w:rsidP="00E409A4">
      <w:pPr>
        <w:spacing w:line="360" w:lineRule="auto"/>
        <w:ind w:firstLine="720"/>
        <w:jc w:val="right"/>
        <w:rPr>
          <w:rFonts w:ascii="Times New Roman" w:hAnsi="Times New Roman" w:cs="Times New Roman"/>
          <w:sz w:val="24"/>
          <w:szCs w:val="24"/>
        </w:rPr>
      </w:pPr>
      <w:r>
        <w:rPr>
          <w:rFonts w:ascii="Times New Roman" w:hAnsi="Times New Roman" w:cs="Times New Roman"/>
          <w:sz w:val="24"/>
          <w:szCs w:val="24"/>
        </w:rPr>
        <w:t>Dania Eloísa Marín Álvarez</w:t>
      </w:r>
    </w:p>
    <w:p w14:paraId="3CA6B78E" w14:textId="77777777" w:rsidR="00E409A4" w:rsidRPr="00E409A4" w:rsidRDefault="00E409A4" w:rsidP="00E409A4">
      <w:pPr>
        <w:spacing w:line="360" w:lineRule="auto"/>
        <w:ind w:firstLine="720"/>
        <w:jc w:val="right"/>
        <w:rPr>
          <w:rFonts w:ascii="Times New Roman" w:hAnsi="Times New Roman" w:cs="Times New Roman"/>
        </w:rPr>
      </w:pPr>
    </w:p>
    <w:p w14:paraId="4B87F1F8" w14:textId="73109730" w:rsidR="00110714" w:rsidRDefault="00110714" w:rsidP="00A94B2A">
      <w:pPr>
        <w:pStyle w:val="TextoPrincipal"/>
        <w:spacing w:line="360" w:lineRule="auto"/>
      </w:pPr>
      <w:r w:rsidRPr="00110714">
        <w:t>Con infinito agradecimiento a Dios, fuente de sabiduría y guía constante, y a mi amada familia, cimiento inquebrantable de mi fortaleza, les dedico esta tesis de maestría en finanzas. Su amor, apoyo y sacrificio han sido el faro que iluminó mi camino en este arduo pero gratificante viaje académico. Que este logro sea un testimonio de nuestra fe, perseverancia y unidad. ¡Gracias por ser mi inspiración constante y mi razón para alcanzar mis sueños!</w:t>
      </w:r>
    </w:p>
    <w:p w14:paraId="4E3A4E83" w14:textId="5C4C700F" w:rsidR="00C52E7B" w:rsidRDefault="00110714" w:rsidP="00110714">
      <w:pPr>
        <w:pStyle w:val="TextoPrincipal"/>
        <w:spacing w:line="360" w:lineRule="auto"/>
        <w:jc w:val="right"/>
      </w:pPr>
      <w:r>
        <w:t>Jimmy Rosendo Sánchez Mejía</w:t>
      </w:r>
      <w:r w:rsidR="00C52E7B">
        <w:br w:type="page"/>
      </w:r>
    </w:p>
    <w:p w14:paraId="0D388F3B" w14:textId="1537167F" w:rsidR="00FC7C1D" w:rsidRDefault="00EA074F" w:rsidP="00E409A4">
      <w:pPr>
        <w:pStyle w:val="Ttulo1"/>
        <w:spacing w:before="0" w:after="120" w:line="360" w:lineRule="auto"/>
      </w:pPr>
      <w:r>
        <w:lastRenderedPageBreak/>
        <w:t xml:space="preserve"> </w:t>
      </w:r>
      <w:bookmarkStart w:id="10" w:name="_Toc474331174"/>
      <w:bookmarkStart w:id="11" w:name="_Toc474331373"/>
      <w:bookmarkStart w:id="12" w:name="_Toc166705740"/>
      <w:bookmarkStart w:id="13" w:name="_Toc175171342"/>
      <w:r w:rsidR="00737E89">
        <w:t>AGRADECIMIENTO</w:t>
      </w:r>
      <w:bookmarkEnd w:id="10"/>
      <w:bookmarkEnd w:id="11"/>
      <w:bookmarkEnd w:id="12"/>
      <w:bookmarkEnd w:id="13"/>
    </w:p>
    <w:p w14:paraId="01F13943" w14:textId="77777777" w:rsidR="00E409A4" w:rsidRPr="00E409A4" w:rsidRDefault="00E409A4" w:rsidP="00E409A4">
      <w:pPr>
        <w:spacing w:line="360" w:lineRule="auto"/>
        <w:ind w:firstLine="720"/>
        <w:jc w:val="both"/>
        <w:rPr>
          <w:rFonts w:ascii="Times New Roman" w:hAnsi="Times New Roman" w:cs="Times New Roman"/>
          <w:sz w:val="24"/>
          <w:szCs w:val="24"/>
        </w:rPr>
      </w:pPr>
      <w:r w:rsidRPr="00E409A4">
        <w:rPr>
          <w:rFonts w:ascii="Times New Roman" w:hAnsi="Times New Roman" w:cs="Times New Roman"/>
          <w:sz w:val="24"/>
          <w:szCs w:val="24"/>
        </w:rPr>
        <w:t>Agradezco primeramente a Dios, por darme la oportunidad y las fuerzas necesarias para lograr alcanzar esta meta tan importante de mi formación profesional. También agradezco a cada de una de las personas que fueron fuente de motivación e inspiración para seguir adelante.</w:t>
      </w:r>
    </w:p>
    <w:p w14:paraId="1E2E81E1" w14:textId="77777777" w:rsidR="00E409A4" w:rsidRPr="00E409A4" w:rsidRDefault="00E409A4" w:rsidP="00E409A4">
      <w:pPr>
        <w:spacing w:line="360" w:lineRule="auto"/>
        <w:ind w:firstLine="720"/>
        <w:jc w:val="both"/>
        <w:rPr>
          <w:rFonts w:ascii="Times New Roman" w:hAnsi="Times New Roman" w:cs="Times New Roman"/>
          <w:sz w:val="24"/>
          <w:szCs w:val="24"/>
        </w:rPr>
      </w:pPr>
      <w:r w:rsidRPr="00E409A4">
        <w:rPr>
          <w:rFonts w:ascii="Times New Roman" w:hAnsi="Times New Roman" w:cs="Times New Roman"/>
          <w:sz w:val="24"/>
          <w:szCs w:val="24"/>
        </w:rPr>
        <w:tab/>
        <w:t>Asimismo, agradezco sinceramente a mi compañero Jimmy Rosendo Sánchez Mejía por su colaboración, y paciencia para compartir conmigo este viaje académico. Sus ideas y debates enriquecieron mi proceso de aprendizaje y contribuyeron al desarrollo de este trabajo.</w:t>
      </w:r>
    </w:p>
    <w:p w14:paraId="5C5AA012" w14:textId="2F16E5B8" w:rsidR="00951FA0" w:rsidRDefault="00E409A4" w:rsidP="00E409A4">
      <w:pPr>
        <w:spacing w:line="360" w:lineRule="auto"/>
        <w:ind w:firstLine="720"/>
        <w:jc w:val="right"/>
        <w:rPr>
          <w:rFonts w:ascii="Times New Roman" w:hAnsi="Times New Roman" w:cs="Times New Roman"/>
          <w:sz w:val="24"/>
          <w:szCs w:val="24"/>
        </w:rPr>
      </w:pPr>
      <w:r>
        <w:rPr>
          <w:rFonts w:ascii="Times New Roman" w:hAnsi="Times New Roman" w:cs="Times New Roman"/>
          <w:sz w:val="24"/>
          <w:szCs w:val="24"/>
        </w:rPr>
        <w:t>Dania Eloísa Marín Álvarez</w:t>
      </w:r>
    </w:p>
    <w:p w14:paraId="2F5FC87F" w14:textId="77777777" w:rsidR="00E409A4" w:rsidRPr="00E409A4" w:rsidRDefault="00E409A4" w:rsidP="00E409A4">
      <w:pPr>
        <w:spacing w:line="360" w:lineRule="auto"/>
        <w:ind w:firstLine="720"/>
        <w:jc w:val="right"/>
        <w:rPr>
          <w:rFonts w:ascii="Times New Roman" w:hAnsi="Times New Roman" w:cs="Times New Roman"/>
          <w:sz w:val="24"/>
          <w:szCs w:val="24"/>
        </w:rPr>
      </w:pPr>
    </w:p>
    <w:p w14:paraId="7C92212F" w14:textId="238A7AD2" w:rsidR="00951FA0" w:rsidRDefault="00951FA0" w:rsidP="00951FA0">
      <w:pPr>
        <w:pStyle w:val="TextoPrincipal"/>
        <w:spacing w:line="360" w:lineRule="auto"/>
      </w:pPr>
      <w:r>
        <w:t xml:space="preserve">Quiero expresar mi más profundo agradecimiento a Dios, cuya guía y fortaleza me han sostenido durante este arduo camino hacia mi tesis de maestría en finanzas. También agradezco de todo corazón </w:t>
      </w:r>
      <w:r w:rsidRPr="00951FA0">
        <w:t>a mi amada familia por su inquebrantable apoyo, amor y comprensión a lo largo de mi trayecto en est</w:t>
      </w:r>
      <w:r>
        <w:t xml:space="preserve">a </w:t>
      </w:r>
      <w:r w:rsidRPr="00951FA0">
        <w:t>maestría en finanzas. Su aliento constante y sacrificio han sido el motor que me impulsó a superar desafíos y perseguir mis sueños académicos.</w:t>
      </w:r>
    </w:p>
    <w:p w14:paraId="380C80B8" w14:textId="2596A488" w:rsidR="00951FA0" w:rsidRDefault="00951FA0" w:rsidP="00951FA0">
      <w:pPr>
        <w:pStyle w:val="TextoPrincipal"/>
        <w:spacing w:line="360" w:lineRule="auto"/>
      </w:pPr>
      <w:r>
        <w:t>Asimismo, no puedo dejar de mencionar a mi compañera de tesis, Dania Eloísa Marín Álvarez, cuya colaboración, dedicación y trabajo en equipo fueron fundamentales para alcanzar este logro.</w:t>
      </w:r>
    </w:p>
    <w:p w14:paraId="7A59C029" w14:textId="62909340" w:rsidR="00951FA0" w:rsidRDefault="00951FA0" w:rsidP="00951FA0">
      <w:pPr>
        <w:pStyle w:val="TextoPrincipal"/>
        <w:spacing w:line="360" w:lineRule="auto"/>
        <w:jc w:val="right"/>
      </w:pPr>
      <w:r>
        <w:t>Jimmy Rosendo Sánchez Mejía</w:t>
      </w:r>
    </w:p>
    <w:p w14:paraId="0E0C9EDC" w14:textId="59753505" w:rsidR="00737E89" w:rsidRDefault="00737E89" w:rsidP="00951FA0">
      <w:pPr>
        <w:pStyle w:val="TextoPrincipal"/>
        <w:spacing w:line="360" w:lineRule="auto"/>
      </w:pPr>
      <w:r>
        <w:br w:type="page"/>
      </w:r>
    </w:p>
    <w:p w14:paraId="4087D355" w14:textId="2CA1CBA5" w:rsidR="00737E89" w:rsidRDefault="00737E89" w:rsidP="00ED6504">
      <w:pPr>
        <w:pStyle w:val="Ttulo1"/>
        <w:spacing w:before="0" w:after="120" w:line="360" w:lineRule="auto"/>
      </w:pPr>
      <w:bookmarkStart w:id="14" w:name="_Toc474331175"/>
      <w:bookmarkStart w:id="15" w:name="_Toc474331374"/>
      <w:bookmarkStart w:id="16" w:name="_Toc166705741"/>
      <w:bookmarkStart w:id="17" w:name="_Toc175171343"/>
      <w:r>
        <w:lastRenderedPageBreak/>
        <w:t>ÍNDICE</w:t>
      </w:r>
      <w:bookmarkEnd w:id="14"/>
      <w:bookmarkEnd w:id="15"/>
      <w:bookmarkEnd w:id="16"/>
      <w:bookmarkEnd w:id="17"/>
    </w:p>
    <w:p w14:paraId="4056A32E" w14:textId="36B4793E" w:rsidR="00451561" w:rsidRPr="00451561" w:rsidRDefault="00A300AA" w:rsidP="00451561">
      <w:pPr>
        <w:pStyle w:val="TDC1"/>
        <w:tabs>
          <w:tab w:val="right" w:leader="dot" w:pos="9350"/>
        </w:tabs>
        <w:jc w:val="both"/>
        <w:rPr>
          <w:rFonts w:eastAsiaTheme="minorEastAsia" w:cs="Times New Roman"/>
          <w:noProof/>
          <w:kern w:val="2"/>
          <w:szCs w:val="24"/>
          <w:lang w:eastAsia="es-HN"/>
          <w14:ligatures w14:val="standardContextual"/>
        </w:rPr>
      </w:pPr>
      <w:r w:rsidRPr="00451561">
        <w:rPr>
          <w:rFonts w:cs="Times New Roman"/>
          <w:szCs w:val="24"/>
        </w:rPr>
        <w:fldChar w:fldCharType="begin"/>
      </w:r>
      <w:r w:rsidRPr="00451561">
        <w:rPr>
          <w:rFonts w:cs="Times New Roman"/>
          <w:szCs w:val="24"/>
        </w:rPr>
        <w:instrText xml:space="preserve"> TOC \o \h \z \u </w:instrText>
      </w:r>
      <w:r w:rsidRPr="00451561">
        <w:rPr>
          <w:rFonts w:cs="Times New Roman"/>
          <w:szCs w:val="24"/>
        </w:rPr>
        <w:fldChar w:fldCharType="separate"/>
      </w:r>
      <w:hyperlink w:anchor="_Toc175171341" w:history="1">
        <w:r w:rsidR="00451561" w:rsidRPr="00451561">
          <w:rPr>
            <w:rStyle w:val="Hipervnculo"/>
            <w:rFonts w:cs="Times New Roman"/>
            <w:noProof/>
            <w:szCs w:val="24"/>
          </w:rPr>
          <w:t>DEDICATORIA</w:t>
        </w:r>
        <w:r w:rsidR="00451561" w:rsidRPr="00451561">
          <w:rPr>
            <w:rFonts w:cs="Times New Roman"/>
            <w:noProof/>
            <w:webHidden/>
            <w:szCs w:val="24"/>
          </w:rPr>
          <w:tab/>
        </w:r>
        <w:r w:rsidR="00451561" w:rsidRPr="00451561">
          <w:rPr>
            <w:rFonts w:cs="Times New Roman"/>
            <w:noProof/>
            <w:webHidden/>
            <w:szCs w:val="24"/>
          </w:rPr>
          <w:fldChar w:fldCharType="begin"/>
        </w:r>
        <w:r w:rsidR="00451561" w:rsidRPr="00451561">
          <w:rPr>
            <w:rFonts w:cs="Times New Roman"/>
            <w:noProof/>
            <w:webHidden/>
            <w:szCs w:val="24"/>
          </w:rPr>
          <w:instrText xml:space="preserve"> PAGEREF _Toc175171341 \h </w:instrText>
        </w:r>
        <w:r w:rsidR="00451561" w:rsidRPr="00451561">
          <w:rPr>
            <w:rFonts w:cs="Times New Roman"/>
            <w:noProof/>
            <w:webHidden/>
            <w:szCs w:val="24"/>
          </w:rPr>
        </w:r>
        <w:r w:rsidR="00451561" w:rsidRPr="00451561">
          <w:rPr>
            <w:rFonts w:cs="Times New Roman"/>
            <w:noProof/>
            <w:webHidden/>
            <w:szCs w:val="24"/>
          </w:rPr>
          <w:fldChar w:fldCharType="separate"/>
        </w:r>
        <w:r w:rsidR="00451561" w:rsidRPr="00451561">
          <w:rPr>
            <w:rFonts w:cs="Times New Roman"/>
            <w:noProof/>
            <w:webHidden/>
            <w:szCs w:val="24"/>
          </w:rPr>
          <w:t>ix</w:t>
        </w:r>
        <w:r w:rsidR="00451561" w:rsidRPr="00451561">
          <w:rPr>
            <w:rFonts w:cs="Times New Roman"/>
            <w:noProof/>
            <w:webHidden/>
            <w:szCs w:val="24"/>
          </w:rPr>
          <w:fldChar w:fldCharType="end"/>
        </w:r>
      </w:hyperlink>
    </w:p>
    <w:p w14:paraId="56BEF806" w14:textId="133F144C" w:rsidR="00451561" w:rsidRPr="00451561" w:rsidRDefault="00451561" w:rsidP="00451561">
      <w:pPr>
        <w:pStyle w:val="TDC1"/>
        <w:tabs>
          <w:tab w:val="right" w:leader="dot" w:pos="9350"/>
        </w:tabs>
        <w:jc w:val="both"/>
        <w:rPr>
          <w:rFonts w:eastAsiaTheme="minorEastAsia" w:cs="Times New Roman"/>
          <w:noProof/>
          <w:kern w:val="2"/>
          <w:szCs w:val="24"/>
          <w:lang w:eastAsia="es-HN"/>
          <w14:ligatures w14:val="standardContextual"/>
        </w:rPr>
      </w:pPr>
      <w:hyperlink w:anchor="_Toc175171342" w:history="1">
        <w:r w:rsidRPr="00451561">
          <w:rPr>
            <w:rStyle w:val="Hipervnculo"/>
            <w:rFonts w:cs="Times New Roman"/>
            <w:noProof/>
            <w:szCs w:val="24"/>
          </w:rPr>
          <w:t>AGRADECIMIENTO</w:t>
        </w:r>
        <w:r w:rsidRPr="00451561">
          <w:rPr>
            <w:rFonts w:cs="Times New Roman"/>
            <w:noProof/>
            <w:webHidden/>
            <w:szCs w:val="24"/>
          </w:rPr>
          <w:tab/>
        </w:r>
        <w:r w:rsidRPr="00451561">
          <w:rPr>
            <w:rFonts w:cs="Times New Roman"/>
            <w:noProof/>
            <w:webHidden/>
            <w:szCs w:val="24"/>
          </w:rPr>
          <w:fldChar w:fldCharType="begin"/>
        </w:r>
        <w:r w:rsidRPr="00451561">
          <w:rPr>
            <w:rFonts w:cs="Times New Roman"/>
            <w:noProof/>
            <w:webHidden/>
            <w:szCs w:val="24"/>
          </w:rPr>
          <w:instrText xml:space="preserve"> PAGEREF _Toc175171342 \h </w:instrText>
        </w:r>
        <w:r w:rsidRPr="00451561">
          <w:rPr>
            <w:rFonts w:cs="Times New Roman"/>
            <w:noProof/>
            <w:webHidden/>
            <w:szCs w:val="24"/>
          </w:rPr>
        </w:r>
        <w:r w:rsidRPr="00451561">
          <w:rPr>
            <w:rFonts w:cs="Times New Roman"/>
            <w:noProof/>
            <w:webHidden/>
            <w:szCs w:val="24"/>
          </w:rPr>
          <w:fldChar w:fldCharType="separate"/>
        </w:r>
        <w:r w:rsidRPr="00451561">
          <w:rPr>
            <w:rFonts w:cs="Times New Roman"/>
            <w:noProof/>
            <w:webHidden/>
            <w:szCs w:val="24"/>
          </w:rPr>
          <w:t>x</w:t>
        </w:r>
        <w:r w:rsidRPr="00451561">
          <w:rPr>
            <w:rFonts w:cs="Times New Roman"/>
            <w:noProof/>
            <w:webHidden/>
            <w:szCs w:val="24"/>
          </w:rPr>
          <w:fldChar w:fldCharType="end"/>
        </w:r>
      </w:hyperlink>
    </w:p>
    <w:p w14:paraId="773DCFA0" w14:textId="72CA8835" w:rsidR="00451561" w:rsidRPr="00451561" w:rsidRDefault="00451561" w:rsidP="00451561">
      <w:pPr>
        <w:pStyle w:val="TDC1"/>
        <w:tabs>
          <w:tab w:val="right" w:leader="dot" w:pos="9350"/>
        </w:tabs>
        <w:jc w:val="both"/>
        <w:rPr>
          <w:rFonts w:eastAsiaTheme="minorEastAsia" w:cs="Times New Roman"/>
          <w:noProof/>
          <w:kern w:val="2"/>
          <w:szCs w:val="24"/>
          <w:lang w:eastAsia="es-HN"/>
          <w14:ligatures w14:val="standardContextual"/>
        </w:rPr>
      </w:pPr>
      <w:hyperlink w:anchor="_Toc175171343" w:history="1">
        <w:r w:rsidRPr="00451561">
          <w:rPr>
            <w:rStyle w:val="Hipervnculo"/>
            <w:rFonts w:cs="Times New Roman"/>
            <w:noProof/>
            <w:szCs w:val="24"/>
          </w:rPr>
          <w:t>ÍNDICE</w:t>
        </w:r>
        <w:r w:rsidRPr="00451561">
          <w:rPr>
            <w:rFonts w:cs="Times New Roman"/>
            <w:noProof/>
            <w:webHidden/>
            <w:szCs w:val="24"/>
          </w:rPr>
          <w:tab/>
        </w:r>
        <w:r w:rsidRPr="00451561">
          <w:rPr>
            <w:rFonts w:cs="Times New Roman"/>
            <w:noProof/>
            <w:webHidden/>
            <w:szCs w:val="24"/>
          </w:rPr>
          <w:fldChar w:fldCharType="begin"/>
        </w:r>
        <w:r w:rsidRPr="00451561">
          <w:rPr>
            <w:rFonts w:cs="Times New Roman"/>
            <w:noProof/>
            <w:webHidden/>
            <w:szCs w:val="24"/>
          </w:rPr>
          <w:instrText xml:space="preserve"> PAGEREF _Toc175171343 \h </w:instrText>
        </w:r>
        <w:r w:rsidRPr="00451561">
          <w:rPr>
            <w:rFonts w:cs="Times New Roman"/>
            <w:noProof/>
            <w:webHidden/>
            <w:szCs w:val="24"/>
          </w:rPr>
        </w:r>
        <w:r w:rsidRPr="00451561">
          <w:rPr>
            <w:rFonts w:cs="Times New Roman"/>
            <w:noProof/>
            <w:webHidden/>
            <w:szCs w:val="24"/>
          </w:rPr>
          <w:fldChar w:fldCharType="separate"/>
        </w:r>
        <w:r w:rsidRPr="00451561">
          <w:rPr>
            <w:rFonts w:cs="Times New Roman"/>
            <w:noProof/>
            <w:webHidden/>
            <w:szCs w:val="24"/>
          </w:rPr>
          <w:t>xi</w:t>
        </w:r>
        <w:r w:rsidRPr="00451561">
          <w:rPr>
            <w:rFonts w:cs="Times New Roman"/>
            <w:noProof/>
            <w:webHidden/>
            <w:szCs w:val="24"/>
          </w:rPr>
          <w:fldChar w:fldCharType="end"/>
        </w:r>
      </w:hyperlink>
    </w:p>
    <w:p w14:paraId="195317FA" w14:textId="1ACFDA72" w:rsidR="00451561" w:rsidRPr="00451561" w:rsidRDefault="00451561" w:rsidP="00451561">
      <w:pPr>
        <w:pStyle w:val="TDC1"/>
        <w:tabs>
          <w:tab w:val="right" w:leader="dot" w:pos="9350"/>
        </w:tabs>
        <w:jc w:val="both"/>
        <w:rPr>
          <w:rFonts w:eastAsiaTheme="minorEastAsia" w:cs="Times New Roman"/>
          <w:noProof/>
          <w:kern w:val="2"/>
          <w:szCs w:val="24"/>
          <w:lang w:eastAsia="es-HN"/>
          <w14:ligatures w14:val="standardContextual"/>
        </w:rPr>
      </w:pPr>
      <w:hyperlink w:anchor="_Toc175171344" w:history="1">
        <w:r w:rsidRPr="00451561">
          <w:rPr>
            <w:rStyle w:val="Hipervnculo"/>
            <w:rFonts w:cs="Times New Roman"/>
            <w:noProof/>
            <w:szCs w:val="24"/>
          </w:rPr>
          <w:t>CAPÍTULO I. PLANTEAMIENTO DE LA INVESTIGACIÓN</w:t>
        </w:r>
        <w:r w:rsidRPr="00451561">
          <w:rPr>
            <w:rFonts w:cs="Times New Roman"/>
            <w:noProof/>
            <w:webHidden/>
            <w:szCs w:val="24"/>
          </w:rPr>
          <w:tab/>
        </w:r>
        <w:r w:rsidRPr="00451561">
          <w:rPr>
            <w:rFonts w:cs="Times New Roman"/>
            <w:noProof/>
            <w:webHidden/>
            <w:szCs w:val="24"/>
          </w:rPr>
          <w:fldChar w:fldCharType="begin"/>
        </w:r>
        <w:r w:rsidRPr="00451561">
          <w:rPr>
            <w:rFonts w:cs="Times New Roman"/>
            <w:noProof/>
            <w:webHidden/>
            <w:szCs w:val="24"/>
          </w:rPr>
          <w:instrText xml:space="preserve"> PAGEREF _Toc175171344 \h </w:instrText>
        </w:r>
        <w:r w:rsidRPr="00451561">
          <w:rPr>
            <w:rFonts w:cs="Times New Roman"/>
            <w:noProof/>
            <w:webHidden/>
            <w:szCs w:val="24"/>
          </w:rPr>
        </w:r>
        <w:r w:rsidRPr="00451561">
          <w:rPr>
            <w:rFonts w:cs="Times New Roman"/>
            <w:noProof/>
            <w:webHidden/>
            <w:szCs w:val="24"/>
          </w:rPr>
          <w:fldChar w:fldCharType="separate"/>
        </w:r>
        <w:r w:rsidRPr="00451561">
          <w:rPr>
            <w:rFonts w:cs="Times New Roman"/>
            <w:noProof/>
            <w:webHidden/>
            <w:szCs w:val="24"/>
          </w:rPr>
          <w:t>1</w:t>
        </w:r>
        <w:r w:rsidRPr="00451561">
          <w:rPr>
            <w:rFonts w:cs="Times New Roman"/>
            <w:noProof/>
            <w:webHidden/>
            <w:szCs w:val="24"/>
          </w:rPr>
          <w:fldChar w:fldCharType="end"/>
        </w:r>
      </w:hyperlink>
    </w:p>
    <w:p w14:paraId="23CB8632" w14:textId="00422F5C" w:rsidR="00451561" w:rsidRPr="00451561" w:rsidRDefault="00451561" w:rsidP="00451561">
      <w:pPr>
        <w:pStyle w:val="TDC2"/>
        <w:tabs>
          <w:tab w:val="left" w:pos="960"/>
          <w:tab w:val="right" w:leader="dot" w:pos="9350"/>
        </w:tabs>
        <w:jc w:val="both"/>
        <w:rPr>
          <w:rFonts w:eastAsiaTheme="minorEastAsia" w:cs="Times New Roman"/>
          <w:noProof/>
          <w:kern w:val="2"/>
          <w:szCs w:val="24"/>
          <w:lang w:eastAsia="es-HN"/>
          <w14:ligatures w14:val="standardContextual"/>
        </w:rPr>
      </w:pPr>
      <w:hyperlink w:anchor="_Toc175171345" w:history="1">
        <w:r w:rsidRPr="00451561">
          <w:rPr>
            <w:rStyle w:val="Hipervnculo"/>
            <w:rFonts w:cs="Times New Roman"/>
            <w:noProof/>
            <w:szCs w:val="24"/>
          </w:rPr>
          <w:t>1.1</w:t>
        </w:r>
        <w:r w:rsidRPr="00451561">
          <w:rPr>
            <w:rFonts w:eastAsiaTheme="minorEastAsia" w:cs="Times New Roman"/>
            <w:noProof/>
            <w:kern w:val="2"/>
            <w:szCs w:val="24"/>
            <w:lang w:eastAsia="es-HN"/>
            <w14:ligatures w14:val="standardContextual"/>
          </w:rPr>
          <w:tab/>
        </w:r>
        <w:r w:rsidRPr="00451561">
          <w:rPr>
            <w:rStyle w:val="Hipervnculo"/>
            <w:rFonts w:cs="Times New Roman"/>
            <w:noProof/>
            <w:szCs w:val="24"/>
          </w:rPr>
          <w:t>INTRODUCCIÓN</w:t>
        </w:r>
        <w:r w:rsidRPr="00451561">
          <w:rPr>
            <w:rFonts w:cs="Times New Roman"/>
            <w:noProof/>
            <w:webHidden/>
            <w:szCs w:val="24"/>
          </w:rPr>
          <w:tab/>
        </w:r>
        <w:r w:rsidRPr="00451561">
          <w:rPr>
            <w:rFonts w:cs="Times New Roman"/>
            <w:noProof/>
            <w:webHidden/>
            <w:szCs w:val="24"/>
          </w:rPr>
          <w:fldChar w:fldCharType="begin"/>
        </w:r>
        <w:r w:rsidRPr="00451561">
          <w:rPr>
            <w:rFonts w:cs="Times New Roman"/>
            <w:noProof/>
            <w:webHidden/>
            <w:szCs w:val="24"/>
          </w:rPr>
          <w:instrText xml:space="preserve"> PAGEREF _Toc175171345 \h </w:instrText>
        </w:r>
        <w:r w:rsidRPr="00451561">
          <w:rPr>
            <w:rFonts w:cs="Times New Roman"/>
            <w:noProof/>
            <w:webHidden/>
            <w:szCs w:val="24"/>
          </w:rPr>
        </w:r>
        <w:r w:rsidRPr="00451561">
          <w:rPr>
            <w:rFonts w:cs="Times New Roman"/>
            <w:noProof/>
            <w:webHidden/>
            <w:szCs w:val="24"/>
          </w:rPr>
          <w:fldChar w:fldCharType="separate"/>
        </w:r>
        <w:r w:rsidRPr="00451561">
          <w:rPr>
            <w:rFonts w:cs="Times New Roman"/>
            <w:noProof/>
            <w:webHidden/>
            <w:szCs w:val="24"/>
          </w:rPr>
          <w:t>1</w:t>
        </w:r>
        <w:r w:rsidRPr="00451561">
          <w:rPr>
            <w:rFonts w:cs="Times New Roman"/>
            <w:noProof/>
            <w:webHidden/>
            <w:szCs w:val="24"/>
          </w:rPr>
          <w:fldChar w:fldCharType="end"/>
        </w:r>
      </w:hyperlink>
    </w:p>
    <w:p w14:paraId="51E804BB" w14:textId="63E1A722" w:rsidR="00451561" w:rsidRPr="00451561" w:rsidRDefault="00451561" w:rsidP="00451561">
      <w:pPr>
        <w:pStyle w:val="TDC2"/>
        <w:tabs>
          <w:tab w:val="left" w:pos="960"/>
          <w:tab w:val="right" w:leader="dot" w:pos="9350"/>
        </w:tabs>
        <w:jc w:val="both"/>
        <w:rPr>
          <w:rFonts w:eastAsiaTheme="minorEastAsia" w:cs="Times New Roman"/>
          <w:noProof/>
          <w:kern w:val="2"/>
          <w:szCs w:val="24"/>
          <w:lang w:eastAsia="es-HN"/>
          <w14:ligatures w14:val="standardContextual"/>
        </w:rPr>
      </w:pPr>
      <w:hyperlink w:anchor="_Toc175171346" w:history="1">
        <w:r w:rsidRPr="00451561">
          <w:rPr>
            <w:rStyle w:val="Hipervnculo"/>
            <w:rFonts w:cs="Times New Roman"/>
            <w:noProof/>
            <w:szCs w:val="24"/>
          </w:rPr>
          <w:t>1.2</w:t>
        </w:r>
        <w:r w:rsidRPr="00451561">
          <w:rPr>
            <w:rFonts w:eastAsiaTheme="minorEastAsia" w:cs="Times New Roman"/>
            <w:noProof/>
            <w:kern w:val="2"/>
            <w:szCs w:val="24"/>
            <w:lang w:eastAsia="es-HN"/>
            <w14:ligatures w14:val="standardContextual"/>
          </w:rPr>
          <w:tab/>
        </w:r>
        <w:r w:rsidRPr="00451561">
          <w:rPr>
            <w:rStyle w:val="Hipervnculo"/>
            <w:rFonts w:cs="Times New Roman"/>
            <w:noProof/>
            <w:szCs w:val="24"/>
          </w:rPr>
          <w:t>ANTECEDENTES DEL PROBLEMA</w:t>
        </w:r>
        <w:r w:rsidRPr="00451561">
          <w:rPr>
            <w:rFonts w:cs="Times New Roman"/>
            <w:noProof/>
            <w:webHidden/>
            <w:szCs w:val="24"/>
          </w:rPr>
          <w:tab/>
        </w:r>
        <w:r w:rsidRPr="00451561">
          <w:rPr>
            <w:rFonts w:cs="Times New Roman"/>
            <w:noProof/>
            <w:webHidden/>
            <w:szCs w:val="24"/>
          </w:rPr>
          <w:fldChar w:fldCharType="begin"/>
        </w:r>
        <w:r w:rsidRPr="00451561">
          <w:rPr>
            <w:rFonts w:cs="Times New Roman"/>
            <w:noProof/>
            <w:webHidden/>
            <w:szCs w:val="24"/>
          </w:rPr>
          <w:instrText xml:space="preserve"> PAGEREF _Toc175171346 \h </w:instrText>
        </w:r>
        <w:r w:rsidRPr="00451561">
          <w:rPr>
            <w:rFonts w:cs="Times New Roman"/>
            <w:noProof/>
            <w:webHidden/>
            <w:szCs w:val="24"/>
          </w:rPr>
        </w:r>
        <w:r w:rsidRPr="00451561">
          <w:rPr>
            <w:rFonts w:cs="Times New Roman"/>
            <w:noProof/>
            <w:webHidden/>
            <w:szCs w:val="24"/>
          </w:rPr>
          <w:fldChar w:fldCharType="separate"/>
        </w:r>
        <w:r w:rsidRPr="00451561">
          <w:rPr>
            <w:rFonts w:cs="Times New Roman"/>
            <w:noProof/>
            <w:webHidden/>
            <w:szCs w:val="24"/>
          </w:rPr>
          <w:t>2</w:t>
        </w:r>
        <w:r w:rsidRPr="00451561">
          <w:rPr>
            <w:rFonts w:cs="Times New Roman"/>
            <w:noProof/>
            <w:webHidden/>
            <w:szCs w:val="24"/>
          </w:rPr>
          <w:fldChar w:fldCharType="end"/>
        </w:r>
      </w:hyperlink>
    </w:p>
    <w:p w14:paraId="4D0A483C" w14:textId="6DEFFDDB" w:rsidR="00451561" w:rsidRPr="00451561" w:rsidRDefault="00451561" w:rsidP="00451561">
      <w:pPr>
        <w:pStyle w:val="TDC2"/>
        <w:tabs>
          <w:tab w:val="right" w:leader="dot" w:pos="9350"/>
        </w:tabs>
        <w:jc w:val="both"/>
        <w:rPr>
          <w:rFonts w:eastAsiaTheme="minorEastAsia" w:cs="Times New Roman"/>
          <w:noProof/>
          <w:kern w:val="2"/>
          <w:szCs w:val="24"/>
          <w:lang w:eastAsia="es-HN"/>
          <w14:ligatures w14:val="standardContextual"/>
        </w:rPr>
      </w:pPr>
      <w:hyperlink w:anchor="_Toc175171347" w:history="1">
        <w:r w:rsidRPr="00451561">
          <w:rPr>
            <w:rStyle w:val="Hipervnculo"/>
            <w:rFonts w:cs="Times New Roman"/>
            <w:noProof/>
            <w:szCs w:val="24"/>
          </w:rPr>
          <w:t>1.3 DEFINICIÓN DEL PROBLEMA</w:t>
        </w:r>
        <w:r w:rsidRPr="00451561">
          <w:rPr>
            <w:rFonts w:cs="Times New Roman"/>
            <w:noProof/>
            <w:webHidden/>
            <w:szCs w:val="24"/>
          </w:rPr>
          <w:tab/>
        </w:r>
        <w:r w:rsidRPr="00451561">
          <w:rPr>
            <w:rFonts w:cs="Times New Roman"/>
            <w:noProof/>
            <w:webHidden/>
            <w:szCs w:val="24"/>
          </w:rPr>
          <w:fldChar w:fldCharType="begin"/>
        </w:r>
        <w:r w:rsidRPr="00451561">
          <w:rPr>
            <w:rFonts w:cs="Times New Roman"/>
            <w:noProof/>
            <w:webHidden/>
            <w:szCs w:val="24"/>
          </w:rPr>
          <w:instrText xml:space="preserve"> PAGEREF _Toc175171347 \h </w:instrText>
        </w:r>
        <w:r w:rsidRPr="00451561">
          <w:rPr>
            <w:rFonts w:cs="Times New Roman"/>
            <w:noProof/>
            <w:webHidden/>
            <w:szCs w:val="24"/>
          </w:rPr>
        </w:r>
        <w:r w:rsidRPr="00451561">
          <w:rPr>
            <w:rFonts w:cs="Times New Roman"/>
            <w:noProof/>
            <w:webHidden/>
            <w:szCs w:val="24"/>
          </w:rPr>
          <w:fldChar w:fldCharType="separate"/>
        </w:r>
        <w:r w:rsidRPr="00451561">
          <w:rPr>
            <w:rFonts w:cs="Times New Roman"/>
            <w:noProof/>
            <w:webHidden/>
            <w:szCs w:val="24"/>
          </w:rPr>
          <w:t>5</w:t>
        </w:r>
        <w:r w:rsidRPr="00451561">
          <w:rPr>
            <w:rFonts w:cs="Times New Roman"/>
            <w:noProof/>
            <w:webHidden/>
            <w:szCs w:val="24"/>
          </w:rPr>
          <w:fldChar w:fldCharType="end"/>
        </w:r>
      </w:hyperlink>
    </w:p>
    <w:p w14:paraId="1E81F885" w14:textId="5F881681" w:rsidR="00451561" w:rsidRPr="00451561" w:rsidRDefault="00451561" w:rsidP="00451561">
      <w:pPr>
        <w:pStyle w:val="TDC3"/>
        <w:tabs>
          <w:tab w:val="right" w:leader="dot" w:pos="9350"/>
        </w:tabs>
        <w:jc w:val="both"/>
        <w:rPr>
          <w:rFonts w:eastAsiaTheme="minorEastAsia" w:cs="Times New Roman"/>
          <w:noProof/>
          <w:kern w:val="2"/>
          <w:szCs w:val="24"/>
          <w:lang w:eastAsia="es-HN"/>
          <w14:ligatures w14:val="standardContextual"/>
        </w:rPr>
      </w:pPr>
      <w:hyperlink w:anchor="_Toc175171348" w:history="1">
        <w:r w:rsidRPr="00451561">
          <w:rPr>
            <w:rStyle w:val="Hipervnculo"/>
            <w:rFonts w:cs="Times New Roman"/>
            <w:noProof/>
            <w:szCs w:val="24"/>
          </w:rPr>
          <w:t>1.3.1. ENUNCIADO</w:t>
        </w:r>
        <w:r w:rsidRPr="00451561">
          <w:rPr>
            <w:rFonts w:cs="Times New Roman"/>
            <w:noProof/>
            <w:webHidden/>
            <w:szCs w:val="24"/>
          </w:rPr>
          <w:tab/>
        </w:r>
        <w:r w:rsidRPr="00451561">
          <w:rPr>
            <w:rFonts w:cs="Times New Roman"/>
            <w:noProof/>
            <w:webHidden/>
            <w:szCs w:val="24"/>
          </w:rPr>
          <w:fldChar w:fldCharType="begin"/>
        </w:r>
        <w:r w:rsidRPr="00451561">
          <w:rPr>
            <w:rFonts w:cs="Times New Roman"/>
            <w:noProof/>
            <w:webHidden/>
            <w:szCs w:val="24"/>
          </w:rPr>
          <w:instrText xml:space="preserve"> PAGEREF _Toc175171348 \h </w:instrText>
        </w:r>
        <w:r w:rsidRPr="00451561">
          <w:rPr>
            <w:rFonts w:cs="Times New Roman"/>
            <w:noProof/>
            <w:webHidden/>
            <w:szCs w:val="24"/>
          </w:rPr>
        </w:r>
        <w:r w:rsidRPr="00451561">
          <w:rPr>
            <w:rFonts w:cs="Times New Roman"/>
            <w:noProof/>
            <w:webHidden/>
            <w:szCs w:val="24"/>
          </w:rPr>
          <w:fldChar w:fldCharType="separate"/>
        </w:r>
        <w:r w:rsidRPr="00451561">
          <w:rPr>
            <w:rFonts w:cs="Times New Roman"/>
            <w:noProof/>
            <w:webHidden/>
            <w:szCs w:val="24"/>
          </w:rPr>
          <w:t>5</w:t>
        </w:r>
        <w:r w:rsidRPr="00451561">
          <w:rPr>
            <w:rFonts w:cs="Times New Roman"/>
            <w:noProof/>
            <w:webHidden/>
            <w:szCs w:val="24"/>
          </w:rPr>
          <w:fldChar w:fldCharType="end"/>
        </w:r>
      </w:hyperlink>
    </w:p>
    <w:p w14:paraId="7B27CE2B" w14:textId="172EFC2F" w:rsidR="00451561" w:rsidRPr="00451561" w:rsidRDefault="00451561" w:rsidP="00451561">
      <w:pPr>
        <w:pStyle w:val="TDC3"/>
        <w:tabs>
          <w:tab w:val="right" w:leader="dot" w:pos="9350"/>
        </w:tabs>
        <w:jc w:val="both"/>
        <w:rPr>
          <w:rFonts w:eastAsiaTheme="minorEastAsia" w:cs="Times New Roman"/>
          <w:noProof/>
          <w:kern w:val="2"/>
          <w:szCs w:val="24"/>
          <w:lang w:eastAsia="es-HN"/>
          <w14:ligatures w14:val="standardContextual"/>
        </w:rPr>
      </w:pPr>
      <w:hyperlink w:anchor="_Toc175171349" w:history="1">
        <w:r w:rsidRPr="00451561">
          <w:rPr>
            <w:rStyle w:val="Hipervnculo"/>
            <w:rFonts w:cs="Times New Roman"/>
            <w:noProof/>
            <w:szCs w:val="24"/>
          </w:rPr>
          <w:t>1.3.2. FORMULACION DEL PROBLEMA</w:t>
        </w:r>
        <w:r w:rsidRPr="00451561">
          <w:rPr>
            <w:rFonts w:cs="Times New Roman"/>
            <w:noProof/>
            <w:webHidden/>
            <w:szCs w:val="24"/>
          </w:rPr>
          <w:tab/>
        </w:r>
        <w:r w:rsidRPr="00451561">
          <w:rPr>
            <w:rFonts w:cs="Times New Roman"/>
            <w:noProof/>
            <w:webHidden/>
            <w:szCs w:val="24"/>
          </w:rPr>
          <w:fldChar w:fldCharType="begin"/>
        </w:r>
        <w:r w:rsidRPr="00451561">
          <w:rPr>
            <w:rFonts w:cs="Times New Roman"/>
            <w:noProof/>
            <w:webHidden/>
            <w:szCs w:val="24"/>
          </w:rPr>
          <w:instrText xml:space="preserve"> PAGEREF _Toc175171349 \h </w:instrText>
        </w:r>
        <w:r w:rsidRPr="00451561">
          <w:rPr>
            <w:rFonts w:cs="Times New Roman"/>
            <w:noProof/>
            <w:webHidden/>
            <w:szCs w:val="24"/>
          </w:rPr>
        </w:r>
        <w:r w:rsidRPr="00451561">
          <w:rPr>
            <w:rFonts w:cs="Times New Roman"/>
            <w:noProof/>
            <w:webHidden/>
            <w:szCs w:val="24"/>
          </w:rPr>
          <w:fldChar w:fldCharType="separate"/>
        </w:r>
        <w:r w:rsidRPr="00451561">
          <w:rPr>
            <w:rFonts w:cs="Times New Roman"/>
            <w:noProof/>
            <w:webHidden/>
            <w:szCs w:val="24"/>
          </w:rPr>
          <w:t>6</w:t>
        </w:r>
        <w:r w:rsidRPr="00451561">
          <w:rPr>
            <w:rFonts w:cs="Times New Roman"/>
            <w:noProof/>
            <w:webHidden/>
            <w:szCs w:val="24"/>
          </w:rPr>
          <w:fldChar w:fldCharType="end"/>
        </w:r>
      </w:hyperlink>
    </w:p>
    <w:p w14:paraId="411D4F3E" w14:textId="7078B7CF" w:rsidR="00451561" w:rsidRPr="00451561" w:rsidRDefault="00451561" w:rsidP="00451561">
      <w:pPr>
        <w:pStyle w:val="TDC3"/>
        <w:tabs>
          <w:tab w:val="right" w:leader="dot" w:pos="9350"/>
        </w:tabs>
        <w:jc w:val="both"/>
        <w:rPr>
          <w:rFonts w:eastAsiaTheme="minorEastAsia" w:cs="Times New Roman"/>
          <w:noProof/>
          <w:kern w:val="2"/>
          <w:szCs w:val="24"/>
          <w:lang w:eastAsia="es-HN"/>
          <w14:ligatures w14:val="standardContextual"/>
        </w:rPr>
      </w:pPr>
      <w:hyperlink w:anchor="_Toc175171350" w:history="1">
        <w:r w:rsidRPr="00451561">
          <w:rPr>
            <w:rStyle w:val="Hipervnculo"/>
            <w:rFonts w:cs="Times New Roman"/>
            <w:noProof/>
            <w:szCs w:val="24"/>
          </w:rPr>
          <w:t>1.3.2.1. PREGUNTAS DE INVESTIGACION</w:t>
        </w:r>
        <w:r w:rsidRPr="00451561">
          <w:rPr>
            <w:rFonts w:cs="Times New Roman"/>
            <w:noProof/>
            <w:webHidden/>
            <w:szCs w:val="24"/>
          </w:rPr>
          <w:tab/>
        </w:r>
        <w:r w:rsidRPr="00451561">
          <w:rPr>
            <w:rFonts w:cs="Times New Roman"/>
            <w:noProof/>
            <w:webHidden/>
            <w:szCs w:val="24"/>
          </w:rPr>
          <w:fldChar w:fldCharType="begin"/>
        </w:r>
        <w:r w:rsidRPr="00451561">
          <w:rPr>
            <w:rFonts w:cs="Times New Roman"/>
            <w:noProof/>
            <w:webHidden/>
            <w:szCs w:val="24"/>
          </w:rPr>
          <w:instrText xml:space="preserve"> PAGEREF _Toc175171350 \h </w:instrText>
        </w:r>
        <w:r w:rsidRPr="00451561">
          <w:rPr>
            <w:rFonts w:cs="Times New Roman"/>
            <w:noProof/>
            <w:webHidden/>
            <w:szCs w:val="24"/>
          </w:rPr>
        </w:r>
        <w:r w:rsidRPr="00451561">
          <w:rPr>
            <w:rFonts w:cs="Times New Roman"/>
            <w:noProof/>
            <w:webHidden/>
            <w:szCs w:val="24"/>
          </w:rPr>
          <w:fldChar w:fldCharType="separate"/>
        </w:r>
        <w:r w:rsidRPr="00451561">
          <w:rPr>
            <w:rFonts w:cs="Times New Roman"/>
            <w:noProof/>
            <w:webHidden/>
            <w:szCs w:val="24"/>
          </w:rPr>
          <w:t>6</w:t>
        </w:r>
        <w:r w:rsidRPr="00451561">
          <w:rPr>
            <w:rFonts w:cs="Times New Roman"/>
            <w:noProof/>
            <w:webHidden/>
            <w:szCs w:val="24"/>
          </w:rPr>
          <w:fldChar w:fldCharType="end"/>
        </w:r>
      </w:hyperlink>
    </w:p>
    <w:p w14:paraId="1C75CEAC" w14:textId="72DECAED" w:rsidR="00451561" w:rsidRPr="00451561" w:rsidRDefault="00451561" w:rsidP="00451561">
      <w:pPr>
        <w:pStyle w:val="TDC2"/>
        <w:tabs>
          <w:tab w:val="right" w:leader="dot" w:pos="9350"/>
        </w:tabs>
        <w:jc w:val="both"/>
        <w:rPr>
          <w:rFonts w:eastAsiaTheme="minorEastAsia" w:cs="Times New Roman"/>
          <w:noProof/>
          <w:kern w:val="2"/>
          <w:szCs w:val="24"/>
          <w:lang w:eastAsia="es-HN"/>
          <w14:ligatures w14:val="standardContextual"/>
        </w:rPr>
      </w:pPr>
      <w:hyperlink w:anchor="_Toc175171351" w:history="1">
        <w:r w:rsidRPr="00451561">
          <w:rPr>
            <w:rStyle w:val="Hipervnculo"/>
            <w:rFonts w:cs="Times New Roman"/>
            <w:noProof/>
            <w:szCs w:val="24"/>
          </w:rPr>
          <w:t>1.4 OBJETIVOS DEL PROYECTO</w:t>
        </w:r>
        <w:r w:rsidRPr="00451561">
          <w:rPr>
            <w:rFonts w:cs="Times New Roman"/>
            <w:noProof/>
            <w:webHidden/>
            <w:szCs w:val="24"/>
          </w:rPr>
          <w:tab/>
        </w:r>
        <w:r w:rsidRPr="00451561">
          <w:rPr>
            <w:rFonts w:cs="Times New Roman"/>
            <w:noProof/>
            <w:webHidden/>
            <w:szCs w:val="24"/>
          </w:rPr>
          <w:fldChar w:fldCharType="begin"/>
        </w:r>
        <w:r w:rsidRPr="00451561">
          <w:rPr>
            <w:rFonts w:cs="Times New Roman"/>
            <w:noProof/>
            <w:webHidden/>
            <w:szCs w:val="24"/>
          </w:rPr>
          <w:instrText xml:space="preserve"> PAGEREF _Toc175171351 \h </w:instrText>
        </w:r>
        <w:r w:rsidRPr="00451561">
          <w:rPr>
            <w:rFonts w:cs="Times New Roman"/>
            <w:noProof/>
            <w:webHidden/>
            <w:szCs w:val="24"/>
          </w:rPr>
        </w:r>
        <w:r w:rsidRPr="00451561">
          <w:rPr>
            <w:rFonts w:cs="Times New Roman"/>
            <w:noProof/>
            <w:webHidden/>
            <w:szCs w:val="24"/>
          </w:rPr>
          <w:fldChar w:fldCharType="separate"/>
        </w:r>
        <w:r w:rsidRPr="00451561">
          <w:rPr>
            <w:rFonts w:cs="Times New Roman"/>
            <w:noProof/>
            <w:webHidden/>
            <w:szCs w:val="24"/>
          </w:rPr>
          <w:t>6</w:t>
        </w:r>
        <w:r w:rsidRPr="00451561">
          <w:rPr>
            <w:rFonts w:cs="Times New Roman"/>
            <w:noProof/>
            <w:webHidden/>
            <w:szCs w:val="24"/>
          </w:rPr>
          <w:fldChar w:fldCharType="end"/>
        </w:r>
      </w:hyperlink>
    </w:p>
    <w:p w14:paraId="6E866B75" w14:textId="67869A84" w:rsidR="00451561" w:rsidRPr="00451561" w:rsidRDefault="00451561" w:rsidP="00451561">
      <w:pPr>
        <w:pStyle w:val="TDC3"/>
        <w:tabs>
          <w:tab w:val="right" w:leader="dot" w:pos="9350"/>
        </w:tabs>
        <w:jc w:val="both"/>
        <w:rPr>
          <w:rFonts w:eastAsiaTheme="minorEastAsia" w:cs="Times New Roman"/>
          <w:noProof/>
          <w:kern w:val="2"/>
          <w:szCs w:val="24"/>
          <w:lang w:eastAsia="es-HN"/>
          <w14:ligatures w14:val="standardContextual"/>
        </w:rPr>
      </w:pPr>
      <w:hyperlink w:anchor="_Toc175171352" w:history="1">
        <w:r w:rsidRPr="00451561">
          <w:rPr>
            <w:rStyle w:val="Hipervnculo"/>
            <w:rFonts w:cs="Times New Roman"/>
            <w:noProof/>
            <w:szCs w:val="24"/>
          </w:rPr>
          <w:t>1.4.1. OBJETIVO GENERAL</w:t>
        </w:r>
        <w:r w:rsidRPr="00451561">
          <w:rPr>
            <w:rFonts w:cs="Times New Roman"/>
            <w:noProof/>
            <w:webHidden/>
            <w:szCs w:val="24"/>
          </w:rPr>
          <w:tab/>
        </w:r>
        <w:r w:rsidRPr="00451561">
          <w:rPr>
            <w:rFonts w:cs="Times New Roman"/>
            <w:noProof/>
            <w:webHidden/>
            <w:szCs w:val="24"/>
          </w:rPr>
          <w:fldChar w:fldCharType="begin"/>
        </w:r>
        <w:r w:rsidRPr="00451561">
          <w:rPr>
            <w:rFonts w:cs="Times New Roman"/>
            <w:noProof/>
            <w:webHidden/>
            <w:szCs w:val="24"/>
          </w:rPr>
          <w:instrText xml:space="preserve"> PAGEREF _Toc175171352 \h </w:instrText>
        </w:r>
        <w:r w:rsidRPr="00451561">
          <w:rPr>
            <w:rFonts w:cs="Times New Roman"/>
            <w:noProof/>
            <w:webHidden/>
            <w:szCs w:val="24"/>
          </w:rPr>
        </w:r>
        <w:r w:rsidRPr="00451561">
          <w:rPr>
            <w:rFonts w:cs="Times New Roman"/>
            <w:noProof/>
            <w:webHidden/>
            <w:szCs w:val="24"/>
          </w:rPr>
          <w:fldChar w:fldCharType="separate"/>
        </w:r>
        <w:r w:rsidRPr="00451561">
          <w:rPr>
            <w:rFonts w:cs="Times New Roman"/>
            <w:noProof/>
            <w:webHidden/>
            <w:szCs w:val="24"/>
          </w:rPr>
          <w:t>6</w:t>
        </w:r>
        <w:r w:rsidRPr="00451561">
          <w:rPr>
            <w:rFonts w:cs="Times New Roman"/>
            <w:noProof/>
            <w:webHidden/>
            <w:szCs w:val="24"/>
          </w:rPr>
          <w:fldChar w:fldCharType="end"/>
        </w:r>
      </w:hyperlink>
    </w:p>
    <w:p w14:paraId="35D55294" w14:textId="0D0D24CC" w:rsidR="00451561" w:rsidRPr="00451561" w:rsidRDefault="00451561" w:rsidP="00451561">
      <w:pPr>
        <w:pStyle w:val="TDC3"/>
        <w:tabs>
          <w:tab w:val="right" w:leader="dot" w:pos="9350"/>
        </w:tabs>
        <w:jc w:val="both"/>
        <w:rPr>
          <w:rFonts w:eastAsiaTheme="minorEastAsia" w:cs="Times New Roman"/>
          <w:noProof/>
          <w:kern w:val="2"/>
          <w:szCs w:val="24"/>
          <w:lang w:eastAsia="es-HN"/>
          <w14:ligatures w14:val="standardContextual"/>
        </w:rPr>
      </w:pPr>
      <w:hyperlink w:anchor="_Toc175171353" w:history="1">
        <w:r w:rsidRPr="00451561">
          <w:rPr>
            <w:rStyle w:val="Hipervnculo"/>
            <w:rFonts w:cs="Times New Roman"/>
            <w:noProof/>
            <w:szCs w:val="24"/>
          </w:rPr>
          <w:t>1.4.2. OBJETIVOS ESPECIFICOS</w:t>
        </w:r>
        <w:r w:rsidRPr="00451561">
          <w:rPr>
            <w:rFonts w:cs="Times New Roman"/>
            <w:noProof/>
            <w:webHidden/>
            <w:szCs w:val="24"/>
          </w:rPr>
          <w:tab/>
        </w:r>
        <w:r w:rsidRPr="00451561">
          <w:rPr>
            <w:rFonts w:cs="Times New Roman"/>
            <w:noProof/>
            <w:webHidden/>
            <w:szCs w:val="24"/>
          </w:rPr>
          <w:fldChar w:fldCharType="begin"/>
        </w:r>
        <w:r w:rsidRPr="00451561">
          <w:rPr>
            <w:rFonts w:cs="Times New Roman"/>
            <w:noProof/>
            <w:webHidden/>
            <w:szCs w:val="24"/>
          </w:rPr>
          <w:instrText xml:space="preserve"> PAGEREF _Toc175171353 \h </w:instrText>
        </w:r>
        <w:r w:rsidRPr="00451561">
          <w:rPr>
            <w:rFonts w:cs="Times New Roman"/>
            <w:noProof/>
            <w:webHidden/>
            <w:szCs w:val="24"/>
          </w:rPr>
        </w:r>
        <w:r w:rsidRPr="00451561">
          <w:rPr>
            <w:rFonts w:cs="Times New Roman"/>
            <w:noProof/>
            <w:webHidden/>
            <w:szCs w:val="24"/>
          </w:rPr>
          <w:fldChar w:fldCharType="separate"/>
        </w:r>
        <w:r w:rsidRPr="00451561">
          <w:rPr>
            <w:rFonts w:cs="Times New Roman"/>
            <w:noProof/>
            <w:webHidden/>
            <w:szCs w:val="24"/>
          </w:rPr>
          <w:t>7</w:t>
        </w:r>
        <w:r w:rsidRPr="00451561">
          <w:rPr>
            <w:rFonts w:cs="Times New Roman"/>
            <w:noProof/>
            <w:webHidden/>
            <w:szCs w:val="24"/>
          </w:rPr>
          <w:fldChar w:fldCharType="end"/>
        </w:r>
      </w:hyperlink>
    </w:p>
    <w:p w14:paraId="53CDC0F8" w14:textId="139AED43" w:rsidR="00451561" w:rsidRPr="00451561" w:rsidRDefault="00451561" w:rsidP="00451561">
      <w:pPr>
        <w:pStyle w:val="TDC2"/>
        <w:tabs>
          <w:tab w:val="right" w:leader="dot" w:pos="9350"/>
        </w:tabs>
        <w:jc w:val="both"/>
        <w:rPr>
          <w:rFonts w:eastAsiaTheme="minorEastAsia" w:cs="Times New Roman"/>
          <w:noProof/>
          <w:kern w:val="2"/>
          <w:szCs w:val="24"/>
          <w:lang w:eastAsia="es-HN"/>
          <w14:ligatures w14:val="standardContextual"/>
        </w:rPr>
      </w:pPr>
      <w:hyperlink w:anchor="_Toc175171354" w:history="1">
        <w:r w:rsidRPr="00451561">
          <w:rPr>
            <w:rStyle w:val="Hipervnculo"/>
            <w:rFonts w:cs="Times New Roman"/>
            <w:noProof/>
            <w:szCs w:val="24"/>
          </w:rPr>
          <w:t>1.5 JUSTIFICACIÓN</w:t>
        </w:r>
        <w:r w:rsidRPr="00451561">
          <w:rPr>
            <w:rFonts w:cs="Times New Roman"/>
            <w:noProof/>
            <w:webHidden/>
            <w:szCs w:val="24"/>
          </w:rPr>
          <w:tab/>
        </w:r>
        <w:r w:rsidRPr="00451561">
          <w:rPr>
            <w:rFonts w:cs="Times New Roman"/>
            <w:noProof/>
            <w:webHidden/>
            <w:szCs w:val="24"/>
          </w:rPr>
          <w:fldChar w:fldCharType="begin"/>
        </w:r>
        <w:r w:rsidRPr="00451561">
          <w:rPr>
            <w:rFonts w:cs="Times New Roman"/>
            <w:noProof/>
            <w:webHidden/>
            <w:szCs w:val="24"/>
          </w:rPr>
          <w:instrText xml:space="preserve"> PAGEREF _Toc175171354 \h </w:instrText>
        </w:r>
        <w:r w:rsidRPr="00451561">
          <w:rPr>
            <w:rFonts w:cs="Times New Roman"/>
            <w:noProof/>
            <w:webHidden/>
            <w:szCs w:val="24"/>
          </w:rPr>
        </w:r>
        <w:r w:rsidRPr="00451561">
          <w:rPr>
            <w:rFonts w:cs="Times New Roman"/>
            <w:noProof/>
            <w:webHidden/>
            <w:szCs w:val="24"/>
          </w:rPr>
          <w:fldChar w:fldCharType="separate"/>
        </w:r>
        <w:r w:rsidRPr="00451561">
          <w:rPr>
            <w:rFonts w:cs="Times New Roman"/>
            <w:noProof/>
            <w:webHidden/>
            <w:szCs w:val="24"/>
          </w:rPr>
          <w:t>7</w:t>
        </w:r>
        <w:r w:rsidRPr="00451561">
          <w:rPr>
            <w:rFonts w:cs="Times New Roman"/>
            <w:noProof/>
            <w:webHidden/>
            <w:szCs w:val="24"/>
          </w:rPr>
          <w:fldChar w:fldCharType="end"/>
        </w:r>
      </w:hyperlink>
    </w:p>
    <w:p w14:paraId="1770D5B2" w14:textId="32F4E0FC" w:rsidR="00451561" w:rsidRPr="00451561" w:rsidRDefault="00451561" w:rsidP="00451561">
      <w:pPr>
        <w:pStyle w:val="TDC1"/>
        <w:tabs>
          <w:tab w:val="right" w:leader="dot" w:pos="9350"/>
        </w:tabs>
        <w:jc w:val="both"/>
        <w:rPr>
          <w:rFonts w:eastAsiaTheme="minorEastAsia" w:cs="Times New Roman"/>
          <w:noProof/>
          <w:kern w:val="2"/>
          <w:szCs w:val="24"/>
          <w:lang w:eastAsia="es-HN"/>
          <w14:ligatures w14:val="standardContextual"/>
        </w:rPr>
      </w:pPr>
      <w:hyperlink w:anchor="_Toc175171355" w:history="1">
        <w:r w:rsidRPr="00451561">
          <w:rPr>
            <w:rStyle w:val="Hipervnculo"/>
            <w:rFonts w:cs="Times New Roman"/>
            <w:noProof/>
            <w:szCs w:val="24"/>
          </w:rPr>
          <w:t>CAPÍTULO II. MARCO TEÓRICO</w:t>
        </w:r>
        <w:r w:rsidRPr="00451561">
          <w:rPr>
            <w:rFonts w:cs="Times New Roman"/>
            <w:noProof/>
            <w:webHidden/>
            <w:szCs w:val="24"/>
          </w:rPr>
          <w:tab/>
        </w:r>
        <w:r w:rsidRPr="00451561">
          <w:rPr>
            <w:rFonts w:cs="Times New Roman"/>
            <w:noProof/>
            <w:webHidden/>
            <w:szCs w:val="24"/>
          </w:rPr>
          <w:fldChar w:fldCharType="begin"/>
        </w:r>
        <w:r w:rsidRPr="00451561">
          <w:rPr>
            <w:rFonts w:cs="Times New Roman"/>
            <w:noProof/>
            <w:webHidden/>
            <w:szCs w:val="24"/>
          </w:rPr>
          <w:instrText xml:space="preserve"> PAGEREF _Toc175171355 \h </w:instrText>
        </w:r>
        <w:r w:rsidRPr="00451561">
          <w:rPr>
            <w:rFonts w:cs="Times New Roman"/>
            <w:noProof/>
            <w:webHidden/>
            <w:szCs w:val="24"/>
          </w:rPr>
        </w:r>
        <w:r w:rsidRPr="00451561">
          <w:rPr>
            <w:rFonts w:cs="Times New Roman"/>
            <w:noProof/>
            <w:webHidden/>
            <w:szCs w:val="24"/>
          </w:rPr>
          <w:fldChar w:fldCharType="separate"/>
        </w:r>
        <w:r w:rsidRPr="00451561">
          <w:rPr>
            <w:rFonts w:cs="Times New Roman"/>
            <w:noProof/>
            <w:webHidden/>
            <w:szCs w:val="24"/>
          </w:rPr>
          <w:t>9</w:t>
        </w:r>
        <w:r w:rsidRPr="00451561">
          <w:rPr>
            <w:rFonts w:cs="Times New Roman"/>
            <w:noProof/>
            <w:webHidden/>
            <w:szCs w:val="24"/>
          </w:rPr>
          <w:fldChar w:fldCharType="end"/>
        </w:r>
      </w:hyperlink>
    </w:p>
    <w:p w14:paraId="5EC2BAD8" w14:textId="13A85C73" w:rsidR="00451561" w:rsidRPr="00451561" w:rsidRDefault="00451561" w:rsidP="00451561">
      <w:pPr>
        <w:pStyle w:val="TDC2"/>
        <w:tabs>
          <w:tab w:val="left" w:pos="960"/>
          <w:tab w:val="right" w:leader="dot" w:pos="9350"/>
        </w:tabs>
        <w:jc w:val="both"/>
        <w:rPr>
          <w:rFonts w:eastAsiaTheme="minorEastAsia" w:cs="Times New Roman"/>
          <w:noProof/>
          <w:kern w:val="2"/>
          <w:szCs w:val="24"/>
          <w:lang w:eastAsia="es-HN"/>
          <w14:ligatures w14:val="standardContextual"/>
        </w:rPr>
      </w:pPr>
      <w:hyperlink w:anchor="_Toc175171356" w:history="1">
        <w:r w:rsidRPr="00451561">
          <w:rPr>
            <w:rStyle w:val="Hipervnculo"/>
            <w:rFonts w:cs="Times New Roman"/>
            <w:noProof/>
            <w:szCs w:val="24"/>
          </w:rPr>
          <w:t>2.1</w:t>
        </w:r>
        <w:r w:rsidRPr="00451561">
          <w:rPr>
            <w:rFonts w:eastAsiaTheme="minorEastAsia" w:cs="Times New Roman"/>
            <w:noProof/>
            <w:kern w:val="2"/>
            <w:szCs w:val="24"/>
            <w:lang w:eastAsia="es-HN"/>
            <w14:ligatures w14:val="standardContextual"/>
          </w:rPr>
          <w:tab/>
        </w:r>
        <w:r w:rsidRPr="00451561">
          <w:rPr>
            <w:rStyle w:val="Hipervnculo"/>
            <w:rFonts w:cs="Times New Roman"/>
            <w:noProof/>
            <w:szCs w:val="24"/>
          </w:rPr>
          <w:t>ANÁLISIS DE LA SITUACIÓN ACTUAL.</w:t>
        </w:r>
        <w:r w:rsidRPr="00451561">
          <w:rPr>
            <w:rFonts w:cs="Times New Roman"/>
            <w:noProof/>
            <w:webHidden/>
            <w:szCs w:val="24"/>
          </w:rPr>
          <w:tab/>
        </w:r>
        <w:r w:rsidRPr="00451561">
          <w:rPr>
            <w:rFonts w:cs="Times New Roman"/>
            <w:noProof/>
            <w:webHidden/>
            <w:szCs w:val="24"/>
          </w:rPr>
          <w:fldChar w:fldCharType="begin"/>
        </w:r>
        <w:r w:rsidRPr="00451561">
          <w:rPr>
            <w:rFonts w:cs="Times New Roman"/>
            <w:noProof/>
            <w:webHidden/>
            <w:szCs w:val="24"/>
          </w:rPr>
          <w:instrText xml:space="preserve"> PAGEREF _Toc175171356 \h </w:instrText>
        </w:r>
        <w:r w:rsidRPr="00451561">
          <w:rPr>
            <w:rFonts w:cs="Times New Roman"/>
            <w:noProof/>
            <w:webHidden/>
            <w:szCs w:val="24"/>
          </w:rPr>
        </w:r>
        <w:r w:rsidRPr="00451561">
          <w:rPr>
            <w:rFonts w:cs="Times New Roman"/>
            <w:noProof/>
            <w:webHidden/>
            <w:szCs w:val="24"/>
          </w:rPr>
          <w:fldChar w:fldCharType="separate"/>
        </w:r>
        <w:r w:rsidRPr="00451561">
          <w:rPr>
            <w:rFonts w:cs="Times New Roman"/>
            <w:noProof/>
            <w:webHidden/>
            <w:szCs w:val="24"/>
          </w:rPr>
          <w:t>9</w:t>
        </w:r>
        <w:r w:rsidRPr="00451561">
          <w:rPr>
            <w:rFonts w:cs="Times New Roman"/>
            <w:noProof/>
            <w:webHidden/>
            <w:szCs w:val="24"/>
          </w:rPr>
          <w:fldChar w:fldCharType="end"/>
        </w:r>
      </w:hyperlink>
    </w:p>
    <w:p w14:paraId="6F86DE9C" w14:textId="2F0CB814" w:rsidR="00451561" w:rsidRPr="00451561" w:rsidRDefault="00451561" w:rsidP="00451561">
      <w:pPr>
        <w:pStyle w:val="TDC3"/>
        <w:tabs>
          <w:tab w:val="right" w:leader="dot" w:pos="9350"/>
        </w:tabs>
        <w:jc w:val="both"/>
        <w:rPr>
          <w:rFonts w:eastAsiaTheme="minorEastAsia" w:cs="Times New Roman"/>
          <w:noProof/>
          <w:kern w:val="2"/>
          <w:szCs w:val="24"/>
          <w:lang w:eastAsia="es-HN"/>
          <w14:ligatures w14:val="standardContextual"/>
        </w:rPr>
      </w:pPr>
      <w:hyperlink w:anchor="_Toc175171357" w:history="1">
        <w:r w:rsidRPr="00451561">
          <w:rPr>
            <w:rStyle w:val="Hipervnculo"/>
            <w:rFonts w:cs="Times New Roman"/>
            <w:noProof/>
            <w:szCs w:val="24"/>
          </w:rPr>
          <w:t>2.1.1. MACROENTORNO</w:t>
        </w:r>
        <w:r w:rsidRPr="00451561">
          <w:rPr>
            <w:rFonts w:cs="Times New Roman"/>
            <w:noProof/>
            <w:webHidden/>
            <w:szCs w:val="24"/>
          </w:rPr>
          <w:tab/>
        </w:r>
        <w:r w:rsidRPr="00451561">
          <w:rPr>
            <w:rFonts w:cs="Times New Roman"/>
            <w:noProof/>
            <w:webHidden/>
            <w:szCs w:val="24"/>
          </w:rPr>
          <w:fldChar w:fldCharType="begin"/>
        </w:r>
        <w:r w:rsidRPr="00451561">
          <w:rPr>
            <w:rFonts w:cs="Times New Roman"/>
            <w:noProof/>
            <w:webHidden/>
            <w:szCs w:val="24"/>
          </w:rPr>
          <w:instrText xml:space="preserve"> PAGEREF _Toc175171357 \h </w:instrText>
        </w:r>
        <w:r w:rsidRPr="00451561">
          <w:rPr>
            <w:rFonts w:cs="Times New Roman"/>
            <w:noProof/>
            <w:webHidden/>
            <w:szCs w:val="24"/>
          </w:rPr>
        </w:r>
        <w:r w:rsidRPr="00451561">
          <w:rPr>
            <w:rFonts w:cs="Times New Roman"/>
            <w:noProof/>
            <w:webHidden/>
            <w:szCs w:val="24"/>
          </w:rPr>
          <w:fldChar w:fldCharType="separate"/>
        </w:r>
        <w:r w:rsidRPr="00451561">
          <w:rPr>
            <w:rFonts w:cs="Times New Roman"/>
            <w:noProof/>
            <w:webHidden/>
            <w:szCs w:val="24"/>
          </w:rPr>
          <w:t>10</w:t>
        </w:r>
        <w:r w:rsidRPr="00451561">
          <w:rPr>
            <w:rFonts w:cs="Times New Roman"/>
            <w:noProof/>
            <w:webHidden/>
            <w:szCs w:val="24"/>
          </w:rPr>
          <w:fldChar w:fldCharType="end"/>
        </w:r>
      </w:hyperlink>
    </w:p>
    <w:p w14:paraId="24170753" w14:textId="47FEDDE2" w:rsidR="00451561" w:rsidRPr="00451561" w:rsidRDefault="00451561" w:rsidP="00451561">
      <w:pPr>
        <w:pStyle w:val="TDC3"/>
        <w:tabs>
          <w:tab w:val="right" w:leader="dot" w:pos="9350"/>
        </w:tabs>
        <w:jc w:val="both"/>
        <w:rPr>
          <w:rFonts w:eastAsiaTheme="minorEastAsia" w:cs="Times New Roman"/>
          <w:noProof/>
          <w:kern w:val="2"/>
          <w:szCs w:val="24"/>
          <w:lang w:eastAsia="es-HN"/>
          <w14:ligatures w14:val="standardContextual"/>
        </w:rPr>
      </w:pPr>
      <w:hyperlink w:anchor="_Toc175171358" w:history="1">
        <w:r w:rsidRPr="00451561">
          <w:rPr>
            <w:rStyle w:val="Hipervnculo"/>
            <w:rFonts w:cs="Times New Roman"/>
            <w:noProof/>
            <w:szCs w:val="24"/>
          </w:rPr>
          <w:t>2.1.2. MICROENTORNO</w:t>
        </w:r>
        <w:r w:rsidRPr="00451561">
          <w:rPr>
            <w:rFonts w:cs="Times New Roman"/>
            <w:noProof/>
            <w:webHidden/>
            <w:szCs w:val="24"/>
          </w:rPr>
          <w:tab/>
        </w:r>
        <w:r w:rsidRPr="00451561">
          <w:rPr>
            <w:rFonts w:cs="Times New Roman"/>
            <w:noProof/>
            <w:webHidden/>
            <w:szCs w:val="24"/>
          </w:rPr>
          <w:fldChar w:fldCharType="begin"/>
        </w:r>
        <w:r w:rsidRPr="00451561">
          <w:rPr>
            <w:rFonts w:cs="Times New Roman"/>
            <w:noProof/>
            <w:webHidden/>
            <w:szCs w:val="24"/>
          </w:rPr>
          <w:instrText xml:space="preserve"> PAGEREF _Toc175171358 \h </w:instrText>
        </w:r>
        <w:r w:rsidRPr="00451561">
          <w:rPr>
            <w:rFonts w:cs="Times New Roman"/>
            <w:noProof/>
            <w:webHidden/>
            <w:szCs w:val="24"/>
          </w:rPr>
        </w:r>
        <w:r w:rsidRPr="00451561">
          <w:rPr>
            <w:rFonts w:cs="Times New Roman"/>
            <w:noProof/>
            <w:webHidden/>
            <w:szCs w:val="24"/>
          </w:rPr>
          <w:fldChar w:fldCharType="separate"/>
        </w:r>
        <w:r w:rsidRPr="00451561">
          <w:rPr>
            <w:rFonts w:cs="Times New Roman"/>
            <w:noProof/>
            <w:webHidden/>
            <w:szCs w:val="24"/>
          </w:rPr>
          <w:t>17</w:t>
        </w:r>
        <w:r w:rsidRPr="00451561">
          <w:rPr>
            <w:rFonts w:cs="Times New Roman"/>
            <w:noProof/>
            <w:webHidden/>
            <w:szCs w:val="24"/>
          </w:rPr>
          <w:fldChar w:fldCharType="end"/>
        </w:r>
      </w:hyperlink>
    </w:p>
    <w:p w14:paraId="2280D059" w14:textId="746B851A" w:rsidR="00451561" w:rsidRPr="00451561" w:rsidRDefault="00451561" w:rsidP="00451561">
      <w:pPr>
        <w:pStyle w:val="TDC3"/>
        <w:tabs>
          <w:tab w:val="right" w:leader="dot" w:pos="9350"/>
        </w:tabs>
        <w:jc w:val="both"/>
        <w:rPr>
          <w:rFonts w:eastAsiaTheme="minorEastAsia" w:cs="Times New Roman"/>
          <w:noProof/>
          <w:kern w:val="2"/>
          <w:szCs w:val="24"/>
          <w:lang w:eastAsia="es-HN"/>
          <w14:ligatures w14:val="standardContextual"/>
        </w:rPr>
      </w:pPr>
      <w:hyperlink w:anchor="_Toc175171359" w:history="1">
        <w:r w:rsidRPr="00451561">
          <w:rPr>
            <w:rStyle w:val="Hipervnculo"/>
            <w:rFonts w:cs="Times New Roman"/>
            <w:noProof/>
            <w:szCs w:val="24"/>
          </w:rPr>
          <w:t>2.1.3. ANÁLISIS INTERNO</w:t>
        </w:r>
        <w:r w:rsidRPr="00451561">
          <w:rPr>
            <w:rFonts w:cs="Times New Roman"/>
            <w:noProof/>
            <w:webHidden/>
            <w:szCs w:val="24"/>
          </w:rPr>
          <w:tab/>
        </w:r>
        <w:r w:rsidRPr="00451561">
          <w:rPr>
            <w:rFonts w:cs="Times New Roman"/>
            <w:noProof/>
            <w:webHidden/>
            <w:szCs w:val="24"/>
          </w:rPr>
          <w:fldChar w:fldCharType="begin"/>
        </w:r>
        <w:r w:rsidRPr="00451561">
          <w:rPr>
            <w:rFonts w:cs="Times New Roman"/>
            <w:noProof/>
            <w:webHidden/>
            <w:szCs w:val="24"/>
          </w:rPr>
          <w:instrText xml:space="preserve"> PAGEREF _Toc175171359 \h </w:instrText>
        </w:r>
        <w:r w:rsidRPr="00451561">
          <w:rPr>
            <w:rFonts w:cs="Times New Roman"/>
            <w:noProof/>
            <w:webHidden/>
            <w:szCs w:val="24"/>
          </w:rPr>
        </w:r>
        <w:r w:rsidRPr="00451561">
          <w:rPr>
            <w:rFonts w:cs="Times New Roman"/>
            <w:noProof/>
            <w:webHidden/>
            <w:szCs w:val="24"/>
          </w:rPr>
          <w:fldChar w:fldCharType="separate"/>
        </w:r>
        <w:r w:rsidRPr="00451561">
          <w:rPr>
            <w:rFonts w:cs="Times New Roman"/>
            <w:noProof/>
            <w:webHidden/>
            <w:szCs w:val="24"/>
          </w:rPr>
          <w:t>19</w:t>
        </w:r>
        <w:r w:rsidRPr="00451561">
          <w:rPr>
            <w:rFonts w:cs="Times New Roman"/>
            <w:noProof/>
            <w:webHidden/>
            <w:szCs w:val="24"/>
          </w:rPr>
          <w:fldChar w:fldCharType="end"/>
        </w:r>
      </w:hyperlink>
    </w:p>
    <w:p w14:paraId="42C5ADF7" w14:textId="1568AFE5" w:rsidR="00451561" w:rsidRPr="00451561" w:rsidRDefault="00451561" w:rsidP="00451561">
      <w:pPr>
        <w:pStyle w:val="TDC4"/>
        <w:jc w:val="both"/>
        <w:rPr>
          <w:rFonts w:eastAsiaTheme="minorEastAsia"/>
          <w:iCs w:val="0"/>
          <w:kern w:val="2"/>
          <w:szCs w:val="24"/>
          <w:lang w:eastAsia="es-HN"/>
          <w14:ligatures w14:val="standardContextual"/>
        </w:rPr>
      </w:pPr>
      <w:hyperlink w:anchor="_Toc175171360" w:history="1">
        <w:r w:rsidRPr="00451561">
          <w:rPr>
            <w:rStyle w:val="Hipervnculo"/>
            <w:szCs w:val="24"/>
          </w:rPr>
          <w:t>2.1.3.1. VISIÓN</w:t>
        </w:r>
        <w:r w:rsidRPr="00451561">
          <w:rPr>
            <w:webHidden/>
            <w:szCs w:val="24"/>
          </w:rPr>
          <w:tab/>
        </w:r>
        <w:r w:rsidRPr="00451561">
          <w:rPr>
            <w:webHidden/>
            <w:szCs w:val="24"/>
          </w:rPr>
          <w:fldChar w:fldCharType="begin"/>
        </w:r>
        <w:r w:rsidRPr="00451561">
          <w:rPr>
            <w:webHidden/>
            <w:szCs w:val="24"/>
          </w:rPr>
          <w:instrText xml:space="preserve"> PAGEREF _Toc175171360 \h </w:instrText>
        </w:r>
        <w:r w:rsidRPr="00451561">
          <w:rPr>
            <w:webHidden/>
            <w:szCs w:val="24"/>
          </w:rPr>
        </w:r>
        <w:r w:rsidRPr="00451561">
          <w:rPr>
            <w:webHidden/>
            <w:szCs w:val="24"/>
          </w:rPr>
          <w:fldChar w:fldCharType="separate"/>
        </w:r>
        <w:r w:rsidRPr="00451561">
          <w:rPr>
            <w:webHidden/>
            <w:szCs w:val="24"/>
          </w:rPr>
          <w:t>20</w:t>
        </w:r>
        <w:r w:rsidRPr="00451561">
          <w:rPr>
            <w:webHidden/>
            <w:szCs w:val="24"/>
          </w:rPr>
          <w:fldChar w:fldCharType="end"/>
        </w:r>
      </w:hyperlink>
    </w:p>
    <w:p w14:paraId="34AFA915" w14:textId="56A4A01A" w:rsidR="00451561" w:rsidRPr="00451561" w:rsidRDefault="00451561" w:rsidP="00451561">
      <w:pPr>
        <w:pStyle w:val="TDC4"/>
        <w:jc w:val="both"/>
        <w:rPr>
          <w:rFonts w:eastAsiaTheme="minorEastAsia"/>
          <w:iCs w:val="0"/>
          <w:kern w:val="2"/>
          <w:szCs w:val="24"/>
          <w:lang w:eastAsia="es-HN"/>
          <w14:ligatures w14:val="standardContextual"/>
        </w:rPr>
      </w:pPr>
      <w:hyperlink w:anchor="_Toc175171361" w:history="1">
        <w:r w:rsidRPr="00451561">
          <w:rPr>
            <w:rStyle w:val="Hipervnculo"/>
            <w:szCs w:val="24"/>
          </w:rPr>
          <w:t>2.1.3.2. MISIÓN</w:t>
        </w:r>
        <w:r w:rsidRPr="00451561">
          <w:rPr>
            <w:webHidden/>
            <w:szCs w:val="24"/>
          </w:rPr>
          <w:tab/>
        </w:r>
        <w:r w:rsidRPr="00451561">
          <w:rPr>
            <w:webHidden/>
            <w:szCs w:val="24"/>
          </w:rPr>
          <w:fldChar w:fldCharType="begin"/>
        </w:r>
        <w:r w:rsidRPr="00451561">
          <w:rPr>
            <w:webHidden/>
            <w:szCs w:val="24"/>
          </w:rPr>
          <w:instrText xml:space="preserve"> PAGEREF _Toc175171361 \h </w:instrText>
        </w:r>
        <w:r w:rsidRPr="00451561">
          <w:rPr>
            <w:webHidden/>
            <w:szCs w:val="24"/>
          </w:rPr>
        </w:r>
        <w:r w:rsidRPr="00451561">
          <w:rPr>
            <w:webHidden/>
            <w:szCs w:val="24"/>
          </w:rPr>
          <w:fldChar w:fldCharType="separate"/>
        </w:r>
        <w:r w:rsidRPr="00451561">
          <w:rPr>
            <w:webHidden/>
            <w:szCs w:val="24"/>
          </w:rPr>
          <w:t>20</w:t>
        </w:r>
        <w:r w:rsidRPr="00451561">
          <w:rPr>
            <w:webHidden/>
            <w:szCs w:val="24"/>
          </w:rPr>
          <w:fldChar w:fldCharType="end"/>
        </w:r>
      </w:hyperlink>
    </w:p>
    <w:p w14:paraId="51F667FD" w14:textId="7F1A86DB" w:rsidR="00451561" w:rsidRPr="00451561" w:rsidRDefault="00451561" w:rsidP="00451561">
      <w:pPr>
        <w:pStyle w:val="TDC4"/>
        <w:jc w:val="both"/>
        <w:rPr>
          <w:rFonts w:eastAsiaTheme="minorEastAsia"/>
          <w:iCs w:val="0"/>
          <w:kern w:val="2"/>
          <w:szCs w:val="24"/>
          <w:lang w:eastAsia="es-HN"/>
          <w14:ligatures w14:val="standardContextual"/>
        </w:rPr>
      </w:pPr>
      <w:hyperlink w:anchor="_Toc175171362" w:history="1">
        <w:r w:rsidRPr="00451561">
          <w:rPr>
            <w:rStyle w:val="Hipervnculo"/>
            <w:szCs w:val="24"/>
          </w:rPr>
          <w:t>2.1.3.3. VALORES</w:t>
        </w:r>
        <w:r w:rsidRPr="00451561">
          <w:rPr>
            <w:webHidden/>
            <w:szCs w:val="24"/>
          </w:rPr>
          <w:tab/>
        </w:r>
        <w:r w:rsidRPr="00451561">
          <w:rPr>
            <w:webHidden/>
            <w:szCs w:val="24"/>
          </w:rPr>
          <w:fldChar w:fldCharType="begin"/>
        </w:r>
        <w:r w:rsidRPr="00451561">
          <w:rPr>
            <w:webHidden/>
            <w:szCs w:val="24"/>
          </w:rPr>
          <w:instrText xml:space="preserve"> PAGEREF _Toc175171362 \h </w:instrText>
        </w:r>
        <w:r w:rsidRPr="00451561">
          <w:rPr>
            <w:webHidden/>
            <w:szCs w:val="24"/>
          </w:rPr>
        </w:r>
        <w:r w:rsidRPr="00451561">
          <w:rPr>
            <w:webHidden/>
            <w:szCs w:val="24"/>
          </w:rPr>
          <w:fldChar w:fldCharType="separate"/>
        </w:r>
        <w:r w:rsidRPr="00451561">
          <w:rPr>
            <w:webHidden/>
            <w:szCs w:val="24"/>
          </w:rPr>
          <w:t>20</w:t>
        </w:r>
        <w:r w:rsidRPr="00451561">
          <w:rPr>
            <w:webHidden/>
            <w:szCs w:val="24"/>
          </w:rPr>
          <w:fldChar w:fldCharType="end"/>
        </w:r>
      </w:hyperlink>
    </w:p>
    <w:p w14:paraId="75003B2F" w14:textId="5CAD362A" w:rsidR="00451561" w:rsidRPr="00451561" w:rsidRDefault="00451561" w:rsidP="00451561">
      <w:pPr>
        <w:pStyle w:val="TDC4"/>
        <w:jc w:val="both"/>
        <w:rPr>
          <w:rFonts w:eastAsiaTheme="minorEastAsia"/>
          <w:iCs w:val="0"/>
          <w:kern w:val="2"/>
          <w:szCs w:val="24"/>
          <w:lang w:eastAsia="es-HN"/>
          <w14:ligatures w14:val="standardContextual"/>
        </w:rPr>
      </w:pPr>
      <w:hyperlink w:anchor="_Toc175171363" w:history="1">
        <w:r w:rsidRPr="00451561">
          <w:rPr>
            <w:rStyle w:val="Hipervnculo"/>
            <w:szCs w:val="24"/>
          </w:rPr>
          <w:t>2.1.3.4. SERVICIOS OFERTADOS</w:t>
        </w:r>
        <w:r w:rsidRPr="00451561">
          <w:rPr>
            <w:webHidden/>
            <w:szCs w:val="24"/>
          </w:rPr>
          <w:tab/>
        </w:r>
        <w:r w:rsidRPr="00451561">
          <w:rPr>
            <w:webHidden/>
            <w:szCs w:val="24"/>
          </w:rPr>
          <w:fldChar w:fldCharType="begin"/>
        </w:r>
        <w:r w:rsidRPr="00451561">
          <w:rPr>
            <w:webHidden/>
            <w:szCs w:val="24"/>
          </w:rPr>
          <w:instrText xml:space="preserve"> PAGEREF _Toc175171363 \h </w:instrText>
        </w:r>
        <w:r w:rsidRPr="00451561">
          <w:rPr>
            <w:webHidden/>
            <w:szCs w:val="24"/>
          </w:rPr>
        </w:r>
        <w:r w:rsidRPr="00451561">
          <w:rPr>
            <w:webHidden/>
            <w:szCs w:val="24"/>
          </w:rPr>
          <w:fldChar w:fldCharType="separate"/>
        </w:r>
        <w:r w:rsidRPr="00451561">
          <w:rPr>
            <w:webHidden/>
            <w:szCs w:val="24"/>
          </w:rPr>
          <w:t>1</w:t>
        </w:r>
        <w:r w:rsidRPr="00451561">
          <w:rPr>
            <w:webHidden/>
            <w:szCs w:val="24"/>
          </w:rPr>
          <w:fldChar w:fldCharType="end"/>
        </w:r>
      </w:hyperlink>
    </w:p>
    <w:p w14:paraId="24EB77F5" w14:textId="1239DF0A" w:rsidR="00451561" w:rsidRPr="00451561" w:rsidRDefault="00451561" w:rsidP="00451561">
      <w:pPr>
        <w:pStyle w:val="TDC4"/>
        <w:jc w:val="both"/>
        <w:rPr>
          <w:rFonts w:eastAsiaTheme="minorEastAsia"/>
          <w:iCs w:val="0"/>
          <w:kern w:val="2"/>
          <w:szCs w:val="24"/>
          <w:lang w:eastAsia="es-HN"/>
          <w14:ligatures w14:val="standardContextual"/>
        </w:rPr>
      </w:pPr>
      <w:hyperlink w:anchor="_Toc175171364" w:history="1">
        <w:r w:rsidRPr="00451561">
          <w:rPr>
            <w:rStyle w:val="Hipervnculo"/>
            <w:szCs w:val="24"/>
          </w:rPr>
          <w:t>2.1.3.5. UBICACIÓN</w:t>
        </w:r>
        <w:r w:rsidRPr="00451561">
          <w:rPr>
            <w:webHidden/>
            <w:szCs w:val="24"/>
          </w:rPr>
          <w:tab/>
        </w:r>
        <w:r w:rsidRPr="00451561">
          <w:rPr>
            <w:webHidden/>
            <w:szCs w:val="24"/>
          </w:rPr>
          <w:fldChar w:fldCharType="begin"/>
        </w:r>
        <w:r w:rsidRPr="00451561">
          <w:rPr>
            <w:webHidden/>
            <w:szCs w:val="24"/>
          </w:rPr>
          <w:instrText xml:space="preserve"> PAGEREF _Toc175171364 \h </w:instrText>
        </w:r>
        <w:r w:rsidRPr="00451561">
          <w:rPr>
            <w:webHidden/>
            <w:szCs w:val="24"/>
          </w:rPr>
        </w:r>
        <w:r w:rsidRPr="00451561">
          <w:rPr>
            <w:webHidden/>
            <w:szCs w:val="24"/>
          </w:rPr>
          <w:fldChar w:fldCharType="separate"/>
        </w:r>
        <w:r w:rsidRPr="00451561">
          <w:rPr>
            <w:webHidden/>
            <w:szCs w:val="24"/>
          </w:rPr>
          <w:t>2</w:t>
        </w:r>
        <w:r w:rsidRPr="00451561">
          <w:rPr>
            <w:webHidden/>
            <w:szCs w:val="24"/>
          </w:rPr>
          <w:fldChar w:fldCharType="end"/>
        </w:r>
      </w:hyperlink>
    </w:p>
    <w:p w14:paraId="7865AB79" w14:textId="0815007A" w:rsidR="00451561" w:rsidRPr="00451561" w:rsidRDefault="00451561" w:rsidP="00451561">
      <w:pPr>
        <w:pStyle w:val="TDC4"/>
        <w:jc w:val="both"/>
        <w:rPr>
          <w:rFonts w:eastAsiaTheme="minorEastAsia"/>
          <w:iCs w:val="0"/>
          <w:kern w:val="2"/>
          <w:szCs w:val="24"/>
          <w:lang w:eastAsia="es-HN"/>
          <w14:ligatures w14:val="standardContextual"/>
        </w:rPr>
      </w:pPr>
      <w:hyperlink w:anchor="_Toc175171365" w:history="1">
        <w:r w:rsidRPr="00451561">
          <w:rPr>
            <w:rStyle w:val="Hipervnculo"/>
            <w:szCs w:val="24"/>
          </w:rPr>
          <w:t>2.1.3.6. RADIO DE ACCIÓN</w:t>
        </w:r>
        <w:r w:rsidRPr="00451561">
          <w:rPr>
            <w:webHidden/>
            <w:szCs w:val="24"/>
          </w:rPr>
          <w:tab/>
        </w:r>
        <w:r w:rsidRPr="00451561">
          <w:rPr>
            <w:webHidden/>
            <w:szCs w:val="24"/>
          </w:rPr>
          <w:fldChar w:fldCharType="begin"/>
        </w:r>
        <w:r w:rsidRPr="00451561">
          <w:rPr>
            <w:webHidden/>
            <w:szCs w:val="24"/>
          </w:rPr>
          <w:instrText xml:space="preserve"> PAGEREF _Toc175171365 \h </w:instrText>
        </w:r>
        <w:r w:rsidRPr="00451561">
          <w:rPr>
            <w:webHidden/>
            <w:szCs w:val="24"/>
          </w:rPr>
        </w:r>
        <w:r w:rsidRPr="00451561">
          <w:rPr>
            <w:webHidden/>
            <w:szCs w:val="24"/>
          </w:rPr>
          <w:fldChar w:fldCharType="separate"/>
        </w:r>
        <w:r w:rsidRPr="00451561">
          <w:rPr>
            <w:webHidden/>
            <w:szCs w:val="24"/>
          </w:rPr>
          <w:t>2</w:t>
        </w:r>
        <w:r w:rsidRPr="00451561">
          <w:rPr>
            <w:webHidden/>
            <w:szCs w:val="24"/>
          </w:rPr>
          <w:fldChar w:fldCharType="end"/>
        </w:r>
      </w:hyperlink>
    </w:p>
    <w:p w14:paraId="6F702702" w14:textId="35DB710A" w:rsidR="00451561" w:rsidRPr="00451561" w:rsidRDefault="00451561" w:rsidP="00451561">
      <w:pPr>
        <w:pStyle w:val="TDC4"/>
        <w:jc w:val="both"/>
        <w:rPr>
          <w:rFonts w:eastAsiaTheme="minorEastAsia"/>
          <w:iCs w:val="0"/>
          <w:kern w:val="2"/>
          <w:szCs w:val="24"/>
          <w:lang w:eastAsia="es-HN"/>
          <w14:ligatures w14:val="standardContextual"/>
        </w:rPr>
      </w:pPr>
      <w:hyperlink w:anchor="_Toc175171366" w:history="1">
        <w:r w:rsidRPr="00451561">
          <w:rPr>
            <w:rStyle w:val="Hipervnculo"/>
            <w:szCs w:val="24"/>
          </w:rPr>
          <w:t>2.1.3.7. COLABORADORES</w:t>
        </w:r>
        <w:r w:rsidRPr="00451561">
          <w:rPr>
            <w:webHidden/>
            <w:szCs w:val="24"/>
          </w:rPr>
          <w:tab/>
        </w:r>
        <w:r w:rsidRPr="00451561">
          <w:rPr>
            <w:webHidden/>
            <w:szCs w:val="24"/>
          </w:rPr>
          <w:fldChar w:fldCharType="begin"/>
        </w:r>
        <w:r w:rsidRPr="00451561">
          <w:rPr>
            <w:webHidden/>
            <w:szCs w:val="24"/>
          </w:rPr>
          <w:instrText xml:space="preserve"> PAGEREF _Toc175171366 \h </w:instrText>
        </w:r>
        <w:r w:rsidRPr="00451561">
          <w:rPr>
            <w:webHidden/>
            <w:szCs w:val="24"/>
          </w:rPr>
        </w:r>
        <w:r w:rsidRPr="00451561">
          <w:rPr>
            <w:webHidden/>
            <w:szCs w:val="24"/>
          </w:rPr>
          <w:fldChar w:fldCharType="separate"/>
        </w:r>
        <w:r w:rsidRPr="00451561">
          <w:rPr>
            <w:webHidden/>
            <w:szCs w:val="24"/>
          </w:rPr>
          <w:t>2</w:t>
        </w:r>
        <w:r w:rsidRPr="00451561">
          <w:rPr>
            <w:webHidden/>
            <w:szCs w:val="24"/>
          </w:rPr>
          <w:fldChar w:fldCharType="end"/>
        </w:r>
      </w:hyperlink>
    </w:p>
    <w:p w14:paraId="3C9560DA" w14:textId="37F7B2D4" w:rsidR="00451561" w:rsidRPr="00451561" w:rsidRDefault="00451561" w:rsidP="00451561">
      <w:pPr>
        <w:pStyle w:val="TDC4"/>
        <w:jc w:val="both"/>
        <w:rPr>
          <w:rFonts w:eastAsiaTheme="minorEastAsia"/>
          <w:iCs w:val="0"/>
          <w:kern w:val="2"/>
          <w:szCs w:val="24"/>
          <w:lang w:eastAsia="es-HN"/>
          <w14:ligatures w14:val="standardContextual"/>
        </w:rPr>
      </w:pPr>
      <w:hyperlink w:anchor="_Toc175171367" w:history="1">
        <w:r w:rsidRPr="00451561">
          <w:rPr>
            <w:rStyle w:val="Hipervnculo"/>
            <w:szCs w:val="24"/>
          </w:rPr>
          <w:t>2.1.3.8. ORGANIGRAMA INSTITUCIONAL</w:t>
        </w:r>
        <w:r w:rsidRPr="00451561">
          <w:rPr>
            <w:webHidden/>
            <w:szCs w:val="24"/>
          </w:rPr>
          <w:tab/>
        </w:r>
        <w:r w:rsidRPr="00451561">
          <w:rPr>
            <w:webHidden/>
            <w:szCs w:val="24"/>
          </w:rPr>
          <w:fldChar w:fldCharType="begin"/>
        </w:r>
        <w:r w:rsidRPr="00451561">
          <w:rPr>
            <w:webHidden/>
            <w:szCs w:val="24"/>
          </w:rPr>
          <w:instrText xml:space="preserve"> PAGEREF _Toc175171367 \h </w:instrText>
        </w:r>
        <w:r w:rsidRPr="00451561">
          <w:rPr>
            <w:webHidden/>
            <w:szCs w:val="24"/>
          </w:rPr>
        </w:r>
        <w:r w:rsidRPr="00451561">
          <w:rPr>
            <w:webHidden/>
            <w:szCs w:val="24"/>
          </w:rPr>
          <w:fldChar w:fldCharType="separate"/>
        </w:r>
        <w:r w:rsidRPr="00451561">
          <w:rPr>
            <w:webHidden/>
            <w:szCs w:val="24"/>
          </w:rPr>
          <w:t>19</w:t>
        </w:r>
        <w:r w:rsidRPr="00451561">
          <w:rPr>
            <w:webHidden/>
            <w:szCs w:val="24"/>
          </w:rPr>
          <w:fldChar w:fldCharType="end"/>
        </w:r>
      </w:hyperlink>
    </w:p>
    <w:p w14:paraId="49B15F0A" w14:textId="037BE68B" w:rsidR="00451561" w:rsidRPr="00451561" w:rsidRDefault="00451561" w:rsidP="00451561">
      <w:pPr>
        <w:pStyle w:val="TDC2"/>
        <w:tabs>
          <w:tab w:val="left" w:pos="960"/>
          <w:tab w:val="right" w:leader="dot" w:pos="9350"/>
        </w:tabs>
        <w:jc w:val="both"/>
        <w:rPr>
          <w:rFonts w:eastAsiaTheme="minorEastAsia" w:cs="Times New Roman"/>
          <w:noProof/>
          <w:kern w:val="2"/>
          <w:szCs w:val="24"/>
          <w:lang w:eastAsia="es-HN"/>
          <w14:ligatures w14:val="standardContextual"/>
        </w:rPr>
      </w:pPr>
      <w:hyperlink w:anchor="_Toc175171368" w:history="1">
        <w:r w:rsidRPr="00451561">
          <w:rPr>
            <w:rStyle w:val="Hipervnculo"/>
            <w:rFonts w:cs="Times New Roman"/>
            <w:noProof/>
            <w:szCs w:val="24"/>
          </w:rPr>
          <w:t>2.2</w:t>
        </w:r>
        <w:r w:rsidRPr="00451561">
          <w:rPr>
            <w:rFonts w:eastAsiaTheme="minorEastAsia" w:cs="Times New Roman"/>
            <w:noProof/>
            <w:kern w:val="2"/>
            <w:szCs w:val="24"/>
            <w:lang w:eastAsia="es-HN"/>
            <w14:ligatures w14:val="standardContextual"/>
          </w:rPr>
          <w:tab/>
        </w:r>
        <w:r w:rsidRPr="00451561">
          <w:rPr>
            <w:rStyle w:val="Hipervnculo"/>
            <w:rFonts w:cs="Times New Roman"/>
            <w:noProof/>
            <w:szCs w:val="24"/>
          </w:rPr>
          <w:t>CONCEPTUALIZACIÓN</w:t>
        </w:r>
        <w:r w:rsidRPr="00451561">
          <w:rPr>
            <w:rFonts w:cs="Times New Roman"/>
            <w:noProof/>
            <w:webHidden/>
            <w:szCs w:val="24"/>
          </w:rPr>
          <w:tab/>
        </w:r>
        <w:r w:rsidRPr="00451561">
          <w:rPr>
            <w:rFonts w:cs="Times New Roman"/>
            <w:noProof/>
            <w:webHidden/>
            <w:szCs w:val="24"/>
          </w:rPr>
          <w:fldChar w:fldCharType="begin"/>
        </w:r>
        <w:r w:rsidRPr="00451561">
          <w:rPr>
            <w:rFonts w:cs="Times New Roman"/>
            <w:noProof/>
            <w:webHidden/>
            <w:szCs w:val="24"/>
          </w:rPr>
          <w:instrText xml:space="preserve"> PAGEREF _Toc175171368 \h </w:instrText>
        </w:r>
        <w:r w:rsidRPr="00451561">
          <w:rPr>
            <w:rFonts w:cs="Times New Roman"/>
            <w:noProof/>
            <w:webHidden/>
            <w:szCs w:val="24"/>
          </w:rPr>
        </w:r>
        <w:r w:rsidRPr="00451561">
          <w:rPr>
            <w:rFonts w:cs="Times New Roman"/>
            <w:noProof/>
            <w:webHidden/>
            <w:szCs w:val="24"/>
          </w:rPr>
          <w:fldChar w:fldCharType="separate"/>
        </w:r>
        <w:r w:rsidRPr="00451561">
          <w:rPr>
            <w:rFonts w:cs="Times New Roman"/>
            <w:noProof/>
            <w:webHidden/>
            <w:szCs w:val="24"/>
          </w:rPr>
          <w:t>20</w:t>
        </w:r>
        <w:r w:rsidRPr="00451561">
          <w:rPr>
            <w:rFonts w:cs="Times New Roman"/>
            <w:noProof/>
            <w:webHidden/>
            <w:szCs w:val="24"/>
          </w:rPr>
          <w:fldChar w:fldCharType="end"/>
        </w:r>
      </w:hyperlink>
    </w:p>
    <w:p w14:paraId="3497E64A" w14:textId="58D89EEB" w:rsidR="00451561" w:rsidRPr="00451561" w:rsidRDefault="00451561" w:rsidP="00451561">
      <w:pPr>
        <w:pStyle w:val="TDC3"/>
        <w:tabs>
          <w:tab w:val="right" w:leader="dot" w:pos="9350"/>
        </w:tabs>
        <w:jc w:val="both"/>
        <w:rPr>
          <w:rFonts w:eastAsiaTheme="minorEastAsia" w:cs="Times New Roman"/>
          <w:noProof/>
          <w:kern w:val="2"/>
          <w:szCs w:val="24"/>
          <w:lang w:eastAsia="es-HN"/>
          <w14:ligatures w14:val="standardContextual"/>
        </w:rPr>
      </w:pPr>
      <w:hyperlink w:anchor="_Toc175171369" w:history="1">
        <w:r w:rsidRPr="00451561">
          <w:rPr>
            <w:rStyle w:val="Hipervnculo"/>
            <w:rFonts w:cs="Times New Roman"/>
            <w:noProof/>
            <w:szCs w:val="24"/>
          </w:rPr>
          <w:t>2.2.1. CAPACIDAD DE PAGO</w:t>
        </w:r>
        <w:r w:rsidRPr="00451561">
          <w:rPr>
            <w:rFonts w:cs="Times New Roman"/>
            <w:noProof/>
            <w:webHidden/>
            <w:szCs w:val="24"/>
          </w:rPr>
          <w:tab/>
        </w:r>
        <w:r w:rsidRPr="00451561">
          <w:rPr>
            <w:rFonts w:cs="Times New Roman"/>
            <w:noProof/>
            <w:webHidden/>
            <w:szCs w:val="24"/>
          </w:rPr>
          <w:fldChar w:fldCharType="begin"/>
        </w:r>
        <w:r w:rsidRPr="00451561">
          <w:rPr>
            <w:rFonts w:cs="Times New Roman"/>
            <w:noProof/>
            <w:webHidden/>
            <w:szCs w:val="24"/>
          </w:rPr>
          <w:instrText xml:space="preserve"> PAGEREF _Toc175171369 \h </w:instrText>
        </w:r>
        <w:r w:rsidRPr="00451561">
          <w:rPr>
            <w:rFonts w:cs="Times New Roman"/>
            <w:noProof/>
            <w:webHidden/>
            <w:szCs w:val="24"/>
          </w:rPr>
        </w:r>
        <w:r w:rsidRPr="00451561">
          <w:rPr>
            <w:rFonts w:cs="Times New Roman"/>
            <w:noProof/>
            <w:webHidden/>
            <w:szCs w:val="24"/>
          </w:rPr>
          <w:fldChar w:fldCharType="separate"/>
        </w:r>
        <w:r w:rsidRPr="00451561">
          <w:rPr>
            <w:rFonts w:cs="Times New Roman"/>
            <w:noProof/>
            <w:webHidden/>
            <w:szCs w:val="24"/>
          </w:rPr>
          <w:t>20</w:t>
        </w:r>
        <w:r w:rsidRPr="00451561">
          <w:rPr>
            <w:rFonts w:cs="Times New Roman"/>
            <w:noProof/>
            <w:webHidden/>
            <w:szCs w:val="24"/>
          </w:rPr>
          <w:fldChar w:fldCharType="end"/>
        </w:r>
      </w:hyperlink>
    </w:p>
    <w:p w14:paraId="426A6EB0" w14:textId="225865F8" w:rsidR="00451561" w:rsidRPr="00451561" w:rsidRDefault="00451561" w:rsidP="00451561">
      <w:pPr>
        <w:pStyle w:val="TDC3"/>
        <w:tabs>
          <w:tab w:val="right" w:leader="dot" w:pos="9350"/>
        </w:tabs>
        <w:jc w:val="both"/>
        <w:rPr>
          <w:rFonts w:eastAsiaTheme="minorEastAsia" w:cs="Times New Roman"/>
          <w:noProof/>
          <w:kern w:val="2"/>
          <w:szCs w:val="24"/>
          <w:lang w:eastAsia="es-HN"/>
          <w14:ligatures w14:val="standardContextual"/>
        </w:rPr>
      </w:pPr>
      <w:hyperlink w:anchor="_Toc175171370" w:history="1">
        <w:r w:rsidRPr="00451561">
          <w:rPr>
            <w:rStyle w:val="Hipervnculo"/>
            <w:rFonts w:cs="Times New Roman"/>
            <w:noProof/>
            <w:szCs w:val="24"/>
          </w:rPr>
          <w:t>2.2.2. CUOTA</w:t>
        </w:r>
        <w:r w:rsidRPr="00451561">
          <w:rPr>
            <w:rFonts w:cs="Times New Roman"/>
            <w:noProof/>
            <w:webHidden/>
            <w:szCs w:val="24"/>
          </w:rPr>
          <w:tab/>
        </w:r>
        <w:r w:rsidRPr="00451561">
          <w:rPr>
            <w:rFonts w:cs="Times New Roman"/>
            <w:noProof/>
            <w:webHidden/>
            <w:szCs w:val="24"/>
          </w:rPr>
          <w:fldChar w:fldCharType="begin"/>
        </w:r>
        <w:r w:rsidRPr="00451561">
          <w:rPr>
            <w:rFonts w:cs="Times New Roman"/>
            <w:noProof/>
            <w:webHidden/>
            <w:szCs w:val="24"/>
          </w:rPr>
          <w:instrText xml:space="preserve"> PAGEREF _Toc175171370 \h </w:instrText>
        </w:r>
        <w:r w:rsidRPr="00451561">
          <w:rPr>
            <w:rFonts w:cs="Times New Roman"/>
            <w:noProof/>
            <w:webHidden/>
            <w:szCs w:val="24"/>
          </w:rPr>
        </w:r>
        <w:r w:rsidRPr="00451561">
          <w:rPr>
            <w:rFonts w:cs="Times New Roman"/>
            <w:noProof/>
            <w:webHidden/>
            <w:szCs w:val="24"/>
          </w:rPr>
          <w:fldChar w:fldCharType="separate"/>
        </w:r>
        <w:r w:rsidRPr="00451561">
          <w:rPr>
            <w:rFonts w:cs="Times New Roman"/>
            <w:noProof/>
            <w:webHidden/>
            <w:szCs w:val="24"/>
          </w:rPr>
          <w:t>20</w:t>
        </w:r>
        <w:r w:rsidRPr="00451561">
          <w:rPr>
            <w:rFonts w:cs="Times New Roman"/>
            <w:noProof/>
            <w:webHidden/>
            <w:szCs w:val="24"/>
          </w:rPr>
          <w:fldChar w:fldCharType="end"/>
        </w:r>
      </w:hyperlink>
    </w:p>
    <w:p w14:paraId="08252C8F" w14:textId="33384AE9" w:rsidR="00451561" w:rsidRPr="00451561" w:rsidRDefault="00451561" w:rsidP="00451561">
      <w:pPr>
        <w:pStyle w:val="TDC3"/>
        <w:tabs>
          <w:tab w:val="right" w:leader="dot" w:pos="9350"/>
        </w:tabs>
        <w:jc w:val="both"/>
        <w:rPr>
          <w:rFonts w:eastAsiaTheme="minorEastAsia" w:cs="Times New Roman"/>
          <w:noProof/>
          <w:kern w:val="2"/>
          <w:szCs w:val="24"/>
          <w:lang w:eastAsia="es-HN"/>
          <w14:ligatures w14:val="standardContextual"/>
        </w:rPr>
      </w:pPr>
      <w:hyperlink w:anchor="_Toc175171371" w:history="1">
        <w:r w:rsidRPr="00451561">
          <w:rPr>
            <w:rStyle w:val="Hipervnculo"/>
            <w:rFonts w:cs="Times New Roman"/>
            <w:noProof/>
            <w:szCs w:val="24"/>
          </w:rPr>
          <w:t>2.2.3. ENDEUDAMIENTO</w:t>
        </w:r>
        <w:r w:rsidRPr="00451561">
          <w:rPr>
            <w:rFonts w:cs="Times New Roman"/>
            <w:noProof/>
            <w:webHidden/>
            <w:szCs w:val="24"/>
          </w:rPr>
          <w:tab/>
        </w:r>
        <w:r w:rsidRPr="00451561">
          <w:rPr>
            <w:rFonts w:cs="Times New Roman"/>
            <w:noProof/>
            <w:webHidden/>
            <w:szCs w:val="24"/>
          </w:rPr>
          <w:fldChar w:fldCharType="begin"/>
        </w:r>
        <w:r w:rsidRPr="00451561">
          <w:rPr>
            <w:rFonts w:cs="Times New Roman"/>
            <w:noProof/>
            <w:webHidden/>
            <w:szCs w:val="24"/>
          </w:rPr>
          <w:instrText xml:space="preserve"> PAGEREF _Toc175171371 \h </w:instrText>
        </w:r>
        <w:r w:rsidRPr="00451561">
          <w:rPr>
            <w:rFonts w:cs="Times New Roman"/>
            <w:noProof/>
            <w:webHidden/>
            <w:szCs w:val="24"/>
          </w:rPr>
        </w:r>
        <w:r w:rsidRPr="00451561">
          <w:rPr>
            <w:rFonts w:cs="Times New Roman"/>
            <w:noProof/>
            <w:webHidden/>
            <w:szCs w:val="24"/>
          </w:rPr>
          <w:fldChar w:fldCharType="separate"/>
        </w:r>
        <w:r w:rsidRPr="00451561">
          <w:rPr>
            <w:rFonts w:cs="Times New Roman"/>
            <w:noProof/>
            <w:webHidden/>
            <w:szCs w:val="24"/>
          </w:rPr>
          <w:t>20</w:t>
        </w:r>
        <w:r w:rsidRPr="00451561">
          <w:rPr>
            <w:rFonts w:cs="Times New Roman"/>
            <w:noProof/>
            <w:webHidden/>
            <w:szCs w:val="24"/>
          </w:rPr>
          <w:fldChar w:fldCharType="end"/>
        </w:r>
      </w:hyperlink>
    </w:p>
    <w:p w14:paraId="152B1C87" w14:textId="2BBA3FED" w:rsidR="00451561" w:rsidRPr="00451561" w:rsidRDefault="00451561" w:rsidP="00451561">
      <w:pPr>
        <w:pStyle w:val="TDC3"/>
        <w:tabs>
          <w:tab w:val="right" w:leader="dot" w:pos="9350"/>
        </w:tabs>
        <w:jc w:val="both"/>
        <w:rPr>
          <w:rFonts w:eastAsiaTheme="minorEastAsia" w:cs="Times New Roman"/>
          <w:noProof/>
          <w:kern w:val="2"/>
          <w:szCs w:val="24"/>
          <w:lang w:eastAsia="es-HN"/>
          <w14:ligatures w14:val="standardContextual"/>
        </w:rPr>
      </w:pPr>
      <w:hyperlink w:anchor="_Toc175171372" w:history="1">
        <w:r w:rsidRPr="00451561">
          <w:rPr>
            <w:rStyle w:val="Hipervnculo"/>
            <w:rFonts w:cs="Times New Roman"/>
            <w:noProof/>
            <w:szCs w:val="24"/>
          </w:rPr>
          <w:t>2.2.4. FINANZAS</w:t>
        </w:r>
        <w:r w:rsidRPr="00451561">
          <w:rPr>
            <w:rFonts w:cs="Times New Roman"/>
            <w:noProof/>
            <w:webHidden/>
            <w:szCs w:val="24"/>
          </w:rPr>
          <w:tab/>
        </w:r>
        <w:r w:rsidRPr="00451561">
          <w:rPr>
            <w:rFonts w:cs="Times New Roman"/>
            <w:noProof/>
            <w:webHidden/>
            <w:szCs w:val="24"/>
          </w:rPr>
          <w:fldChar w:fldCharType="begin"/>
        </w:r>
        <w:r w:rsidRPr="00451561">
          <w:rPr>
            <w:rFonts w:cs="Times New Roman"/>
            <w:noProof/>
            <w:webHidden/>
            <w:szCs w:val="24"/>
          </w:rPr>
          <w:instrText xml:space="preserve"> PAGEREF _Toc175171372 \h </w:instrText>
        </w:r>
        <w:r w:rsidRPr="00451561">
          <w:rPr>
            <w:rFonts w:cs="Times New Roman"/>
            <w:noProof/>
            <w:webHidden/>
            <w:szCs w:val="24"/>
          </w:rPr>
        </w:r>
        <w:r w:rsidRPr="00451561">
          <w:rPr>
            <w:rFonts w:cs="Times New Roman"/>
            <w:noProof/>
            <w:webHidden/>
            <w:szCs w:val="24"/>
          </w:rPr>
          <w:fldChar w:fldCharType="separate"/>
        </w:r>
        <w:r w:rsidRPr="00451561">
          <w:rPr>
            <w:rFonts w:cs="Times New Roman"/>
            <w:noProof/>
            <w:webHidden/>
            <w:szCs w:val="24"/>
          </w:rPr>
          <w:t>20</w:t>
        </w:r>
        <w:r w:rsidRPr="00451561">
          <w:rPr>
            <w:rFonts w:cs="Times New Roman"/>
            <w:noProof/>
            <w:webHidden/>
            <w:szCs w:val="24"/>
          </w:rPr>
          <w:fldChar w:fldCharType="end"/>
        </w:r>
      </w:hyperlink>
    </w:p>
    <w:p w14:paraId="31F231D3" w14:textId="522302B1" w:rsidR="00451561" w:rsidRPr="00451561" w:rsidRDefault="00451561" w:rsidP="00451561">
      <w:pPr>
        <w:pStyle w:val="TDC3"/>
        <w:tabs>
          <w:tab w:val="right" w:leader="dot" w:pos="9350"/>
        </w:tabs>
        <w:jc w:val="both"/>
        <w:rPr>
          <w:rFonts w:eastAsiaTheme="minorEastAsia" w:cs="Times New Roman"/>
          <w:noProof/>
          <w:kern w:val="2"/>
          <w:szCs w:val="24"/>
          <w:lang w:eastAsia="es-HN"/>
          <w14:ligatures w14:val="standardContextual"/>
        </w:rPr>
      </w:pPr>
      <w:hyperlink w:anchor="_Toc175171373" w:history="1">
        <w:r w:rsidRPr="00451561">
          <w:rPr>
            <w:rStyle w:val="Hipervnculo"/>
            <w:rFonts w:cs="Times New Roman"/>
            <w:noProof/>
            <w:szCs w:val="24"/>
          </w:rPr>
          <w:t>2.2.5. INTERÉS MORATORIO</w:t>
        </w:r>
        <w:r w:rsidRPr="00451561">
          <w:rPr>
            <w:rFonts w:cs="Times New Roman"/>
            <w:noProof/>
            <w:webHidden/>
            <w:szCs w:val="24"/>
          </w:rPr>
          <w:tab/>
        </w:r>
        <w:r w:rsidRPr="00451561">
          <w:rPr>
            <w:rFonts w:cs="Times New Roman"/>
            <w:noProof/>
            <w:webHidden/>
            <w:szCs w:val="24"/>
          </w:rPr>
          <w:fldChar w:fldCharType="begin"/>
        </w:r>
        <w:r w:rsidRPr="00451561">
          <w:rPr>
            <w:rFonts w:cs="Times New Roman"/>
            <w:noProof/>
            <w:webHidden/>
            <w:szCs w:val="24"/>
          </w:rPr>
          <w:instrText xml:space="preserve"> PAGEREF _Toc175171373 \h </w:instrText>
        </w:r>
        <w:r w:rsidRPr="00451561">
          <w:rPr>
            <w:rFonts w:cs="Times New Roman"/>
            <w:noProof/>
            <w:webHidden/>
            <w:szCs w:val="24"/>
          </w:rPr>
        </w:r>
        <w:r w:rsidRPr="00451561">
          <w:rPr>
            <w:rFonts w:cs="Times New Roman"/>
            <w:noProof/>
            <w:webHidden/>
            <w:szCs w:val="24"/>
          </w:rPr>
          <w:fldChar w:fldCharType="separate"/>
        </w:r>
        <w:r w:rsidRPr="00451561">
          <w:rPr>
            <w:rFonts w:cs="Times New Roman"/>
            <w:noProof/>
            <w:webHidden/>
            <w:szCs w:val="24"/>
          </w:rPr>
          <w:t>21</w:t>
        </w:r>
        <w:r w:rsidRPr="00451561">
          <w:rPr>
            <w:rFonts w:cs="Times New Roman"/>
            <w:noProof/>
            <w:webHidden/>
            <w:szCs w:val="24"/>
          </w:rPr>
          <w:fldChar w:fldCharType="end"/>
        </w:r>
      </w:hyperlink>
    </w:p>
    <w:p w14:paraId="336E29C5" w14:textId="5C8724D3" w:rsidR="00451561" w:rsidRPr="00451561" w:rsidRDefault="00451561" w:rsidP="00451561">
      <w:pPr>
        <w:pStyle w:val="TDC3"/>
        <w:tabs>
          <w:tab w:val="right" w:leader="dot" w:pos="9350"/>
        </w:tabs>
        <w:jc w:val="both"/>
        <w:rPr>
          <w:rFonts w:eastAsiaTheme="minorEastAsia" w:cs="Times New Roman"/>
          <w:noProof/>
          <w:kern w:val="2"/>
          <w:szCs w:val="24"/>
          <w:lang w:eastAsia="es-HN"/>
          <w14:ligatures w14:val="standardContextual"/>
        </w:rPr>
      </w:pPr>
      <w:hyperlink w:anchor="_Toc175171374" w:history="1">
        <w:r w:rsidRPr="00451561">
          <w:rPr>
            <w:rStyle w:val="Hipervnculo"/>
            <w:rFonts w:cs="Times New Roman"/>
            <w:noProof/>
            <w:szCs w:val="24"/>
          </w:rPr>
          <w:t>2.2.6. LIQUIDEZ</w:t>
        </w:r>
        <w:r w:rsidRPr="00451561">
          <w:rPr>
            <w:rFonts w:cs="Times New Roman"/>
            <w:noProof/>
            <w:webHidden/>
            <w:szCs w:val="24"/>
          </w:rPr>
          <w:tab/>
        </w:r>
        <w:r w:rsidRPr="00451561">
          <w:rPr>
            <w:rFonts w:cs="Times New Roman"/>
            <w:noProof/>
            <w:webHidden/>
            <w:szCs w:val="24"/>
          </w:rPr>
          <w:fldChar w:fldCharType="begin"/>
        </w:r>
        <w:r w:rsidRPr="00451561">
          <w:rPr>
            <w:rFonts w:cs="Times New Roman"/>
            <w:noProof/>
            <w:webHidden/>
            <w:szCs w:val="24"/>
          </w:rPr>
          <w:instrText xml:space="preserve"> PAGEREF _Toc175171374 \h </w:instrText>
        </w:r>
        <w:r w:rsidRPr="00451561">
          <w:rPr>
            <w:rFonts w:cs="Times New Roman"/>
            <w:noProof/>
            <w:webHidden/>
            <w:szCs w:val="24"/>
          </w:rPr>
        </w:r>
        <w:r w:rsidRPr="00451561">
          <w:rPr>
            <w:rFonts w:cs="Times New Roman"/>
            <w:noProof/>
            <w:webHidden/>
            <w:szCs w:val="24"/>
          </w:rPr>
          <w:fldChar w:fldCharType="separate"/>
        </w:r>
        <w:r w:rsidRPr="00451561">
          <w:rPr>
            <w:rFonts w:cs="Times New Roman"/>
            <w:noProof/>
            <w:webHidden/>
            <w:szCs w:val="24"/>
          </w:rPr>
          <w:t>21</w:t>
        </w:r>
        <w:r w:rsidRPr="00451561">
          <w:rPr>
            <w:rFonts w:cs="Times New Roman"/>
            <w:noProof/>
            <w:webHidden/>
            <w:szCs w:val="24"/>
          </w:rPr>
          <w:fldChar w:fldCharType="end"/>
        </w:r>
      </w:hyperlink>
    </w:p>
    <w:p w14:paraId="2445344C" w14:textId="34280133" w:rsidR="00451561" w:rsidRPr="00451561" w:rsidRDefault="00451561" w:rsidP="00451561">
      <w:pPr>
        <w:pStyle w:val="TDC3"/>
        <w:tabs>
          <w:tab w:val="right" w:leader="dot" w:pos="9350"/>
        </w:tabs>
        <w:jc w:val="both"/>
        <w:rPr>
          <w:rFonts w:eastAsiaTheme="minorEastAsia" w:cs="Times New Roman"/>
          <w:noProof/>
          <w:kern w:val="2"/>
          <w:szCs w:val="24"/>
          <w:lang w:eastAsia="es-HN"/>
          <w14:ligatures w14:val="standardContextual"/>
        </w:rPr>
      </w:pPr>
      <w:hyperlink w:anchor="_Toc175171375" w:history="1">
        <w:r w:rsidRPr="00451561">
          <w:rPr>
            <w:rStyle w:val="Hipervnculo"/>
            <w:rFonts w:cs="Times New Roman"/>
            <w:noProof/>
            <w:szCs w:val="24"/>
          </w:rPr>
          <w:t>2.2.7. MICROCRÉDITOS</w:t>
        </w:r>
        <w:r w:rsidRPr="00451561">
          <w:rPr>
            <w:rFonts w:cs="Times New Roman"/>
            <w:noProof/>
            <w:webHidden/>
            <w:szCs w:val="24"/>
          </w:rPr>
          <w:tab/>
        </w:r>
        <w:r w:rsidRPr="00451561">
          <w:rPr>
            <w:rFonts w:cs="Times New Roman"/>
            <w:noProof/>
            <w:webHidden/>
            <w:szCs w:val="24"/>
          </w:rPr>
          <w:fldChar w:fldCharType="begin"/>
        </w:r>
        <w:r w:rsidRPr="00451561">
          <w:rPr>
            <w:rFonts w:cs="Times New Roman"/>
            <w:noProof/>
            <w:webHidden/>
            <w:szCs w:val="24"/>
          </w:rPr>
          <w:instrText xml:space="preserve"> PAGEREF _Toc175171375 \h </w:instrText>
        </w:r>
        <w:r w:rsidRPr="00451561">
          <w:rPr>
            <w:rFonts w:cs="Times New Roman"/>
            <w:noProof/>
            <w:webHidden/>
            <w:szCs w:val="24"/>
          </w:rPr>
        </w:r>
        <w:r w:rsidRPr="00451561">
          <w:rPr>
            <w:rFonts w:cs="Times New Roman"/>
            <w:noProof/>
            <w:webHidden/>
            <w:szCs w:val="24"/>
          </w:rPr>
          <w:fldChar w:fldCharType="separate"/>
        </w:r>
        <w:r w:rsidRPr="00451561">
          <w:rPr>
            <w:rFonts w:cs="Times New Roman"/>
            <w:noProof/>
            <w:webHidden/>
            <w:szCs w:val="24"/>
          </w:rPr>
          <w:t>21</w:t>
        </w:r>
        <w:r w:rsidRPr="00451561">
          <w:rPr>
            <w:rFonts w:cs="Times New Roman"/>
            <w:noProof/>
            <w:webHidden/>
            <w:szCs w:val="24"/>
          </w:rPr>
          <w:fldChar w:fldCharType="end"/>
        </w:r>
      </w:hyperlink>
    </w:p>
    <w:p w14:paraId="0DF41743" w14:textId="0AD9E795" w:rsidR="00451561" w:rsidRPr="00451561" w:rsidRDefault="00451561" w:rsidP="00451561">
      <w:pPr>
        <w:pStyle w:val="TDC3"/>
        <w:tabs>
          <w:tab w:val="right" w:leader="dot" w:pos="9350"/>
        </w:tabs>
        <w:jc w:val="both"/>
        <w:rPr>
          <w:rFonts w:eastAsiaTheme="minorEastAsia" w:cs="Times New Roman"/>
          <w:noProof/>
          <w:kern w:val="2"/>
          <w:szCs w:val="24"/>
          <w:lang w:eastAsia="es-HN"/>
          <w14:ligatures w14:val="standardContextual"/>
        </w:rPr>
      </w:pPr>
      <w:hyperlink w:anchor="_Toc175171376" w:history="1">
        <w:r w:rsidRPr="00451561">
          <w:rPr>
            <w:rStyle w:val="Hipervnculo"/>
            <w:rFonts w:cs="Times New Roman"/>
            <w:noProof/>
            <w:szCs w:val="24"/>
          </w:rPr>
          <w:t>2.2.8. MICROFINANZAS</w:t>
        </w:r>
        <w:r w:rsidRPr="00451561">
          <w:rPr>
            <w:rFonts w:cs="Times New Roman"/>
            <w:noProof/>
            <w:webHidden/>
            <w:szCs w:val="24"/>
          </w:rPr>
          <w:tab/>
        </w:r>
        <w:r w:rsidRPr="00451561">
          <w:rPr>
            <w:rFonts w:cs="Times New Roman"/>
            <w:noProof/>
            <w:webHidden/>
            <w:szCs w:val="24"/>
          </w:rPr>
          <w:fldChar w:fldCharType="begin"/>
        </w:r>
        <w:r w:rsidRPr="00451561">
          <w:rPr>
            <w:rFonts w:cs="Times New Roman"/>
            <w:noProof/>
            <w:webHidden/>
            <w:szCs w:val="24"/>
          </w:rPr>
          <w:instrText xml:space="preserve"> PAGEREF _Toc175171376 \h </w:instrText>
        </w:r>
        <w:r w:rsidRPr="00451561">
          <w:rPr>
            <w:rFonts w:cs="Times New Roman"/>
            <w:noProof/>
            <w:webHidden/>
            <w:szCs w:val="24"/>
          </w:rPr>
        </w:r>
        <w:r w:rsidRPr="00451561">
          <w:rPr>
            <w:rFonts w:cs="Times New Roman"/>
            <w:noProof/>
            <w:webHidden/>
            <w:szCs w:val="24"/>
          </w:rPr>
          <w:fldChar w:fldCharType="separate"/>
        </w:r>
        <w:r w:rsidRPr="00451561">
          <w:rPr>
            <w:rFonts w:cs="Times New Roman"/>
            <w:noProof/>
            <w:webHidden/>
            <w:szCs w:val="24"/>
          </w:rPr>
          <w:t>22</w:t>
        </w:r>
        <w:r w:rsidRPr="00451561">
          <w:rPr>
            <w:rFonts w:cs="Times New Roman"/>
            <w:noProof/>
            <w:webHidden/>
            <w:szCs w:val="24"/>
          </w:rPr>
          <w:fldChar w:fldCharType="end"/>
        </w:r>
      </w:hyperlink>
    </w:p>
    <w:p w14:paraId="682D1C09" w14:textId="630A820E" w:rsidR="00451561" w:rsidRPr="00451561" w:rsidRDefault="00451561" w:rsidP="00451561">
      <w:pPr>
        <w:pStyle w:val="TDC3"/>
        <w:tabs>
          <w:tab w:val="right" w:leader="dot" w:pos="9350"/>
        </w:tabs>
        <w:jc w:val="both"/>
        <w:rPr>
          <w:rFonts w:eastAsiaTheme="minorEastAsia" w:cs="Times New Roman"/>
          <w:noProof/>
          <w:kern w:val="2"/>
          <w:szCs w:val="24"/>
          <w:lang w:eastAsia="es-HN"/>
          <w14:ligatures w14:val="standardContextual"/>
        </w:rPr>
      </w:pPr>
      <w:hyperlink w:anchor="_Toc175171377" w:history="1">
        <w:r w:rsidRPr="00451561">
          <w:rPr>
            <w:rStyle w:val="Hipervnculo"/>
            <w:rFonts w:cs="Times New Roman"/>
            <w:noProof/>
            <w:szCs w:val="24"/>
          </w:rPr>
          <w:t>2.2.9. MOROSIDAD</w:t>
        </w:r>
        <w:r w:rsidRPr="00451561">
          <w:rPr>
            <w:rFonts w:cs="Times New Roman"/>
            <w:noProof/>
            <w:webHidden/>
            <w:szCs w:val="24"/>
          </w:rPr>
          <w:tab/>
        </w:r>
        <w:r w:rsidRPr="00451561">
          <w:rPr>
            <w:rFonts w:cs="Times New Roman"/>
            <w:noProof/>
            <w:webHidden/>
            <w:szCs w:val="24"/>
          </w:rPr>
          <w:fldChar w:fldCharType="begin"/>
        </w:r>
        <w:r w:rsidRPr="00451561">
          <w:rPr>
            <w:rFonts w:cs="Times New Roman"/>
            <w:noProof/>
            <w:webHidden/>
            <w:szCs w:val="24"/>
          </w:rPr>
          <w:instrText xml:space="preserve"> PAGEREF _Toc175171377 \h </w:instrText>
        </w:r>
        <w:r w:rsidRPr="00451561">
          <w:rPr>
            <w:rFonts w:cs="Times New Roman"/>
            <w:noProof/>
            <w:webHidden/>
            <w:szCs w:val="24"/>
          </w:rPr>
        </w:r>
        <w:r w:rsidRPr="00451561">
          <w:rPr>
            <w:rFonts w:cs="Times New Roman"/>
            <w:noProof/>
            <w:webHidden/>
            <w:szCs w:val="24"/>
          </w:rPr>
          <w:fldChar w:fldCharType="separate"/>
        </w:r>
        <w:r w:rsidRPr="00451561">
          <w:rPr>
            <w:rFonts w:cs="Times New Roman"/>
            <w:noProof/>
            <w:webHidden/>
            <w:szCs w:val="24"/>
          </w:rPr>
          <w:t>22</w:t>
        </w:r>
        <w:r w:rsidRPr="00451561">
          <w:rPr>
            <w:rFonts w:cs="Times New Roman"/>
            <w:noProof/>
            <w:webHidden/>
            <w:szCs w:val="24"/>
          </w:rPr>
          <w:fldChar w:fldCharType="end"/>
        </w:r>
      </w:hyperlink>
    </w:p>
    <w:p w14:paraId="2599760A" w14:textId="4250AB56" w:rsidR="00451561" w:rsidRPr="00451561" w:rsidRDefault="00451561" w:rsidP="00451561">
      <w:pPr>
        <w:pStyle w:val="TDC3"/>
        <w:tabs>
          <w:tab w:val="right" w:leader="dot" w:pos="9350"/>
        </w:tabs>
        <w:jc w:val="both"/>
        <w:rPr>
          <w:rFonts w:eastAsiaTheme="minorEastAsia" w:cs="Times New Roman"/>
          <w:noProof/>
          <w:kern w:val="2"/>
          <w:szCs w:val="24"/>
          <w:lang w:eastAsia="es-HN"/>
          <w14:ligatures w14:val="standardContextual"/>
        </w:rPr>
      </w:pPr>
      <w:hyperlink w:anchor="_Toc175171378" w:history="1">
        <w:r w:rsidRPr="00451561">
          <w:rPr>
            <w:rStyle w:val="Hipervnculo"/>
            <w:rFonts w:cs="Times New Roman"/>
            <w:noProof/>
            <w:szCs w:val="24"/>
          </w:rPr>
          <w:t>2.2.10. PLAZO</w:t>
        </w:r>
        <w:r w:rsidRPr="00451561">
          <w:rPr>
            <w:rFonts w:cs="Times New Roman"/>
            <w:noProof/>
            <w:webHidden/>
            <w:szCs w:val="24"/>
          </w:rPr>
          <w:tab/>
        </w:r>
        <w:r w:rsidRPr="00451561">
          <w:rPr>
            <w:rFonts w:cs="Times New Roman"/>
            <w:noProof/>
            <w:webHidden/>
            <w:szCs w:val="24"/>
          </w:rPr>
          <w:fldChar w:fldCharType="begin"/>
        </w:r>
        <w:r w:rsidRPr="00451561">
          <w:rPr>
            <w:rFonts w:cs="Times New Roman"/>
            <w:noProof/>
            <w:webHidden/>
            <w:szCs w:val="24"/>
          </w:rPr>
          <w:instrText xml:space="preserve"> PAGEREF _Toc175171378 \h </w:instrText>
        </w:r>
        <w:r w:rsidRPr="00451561">
          <w:rPr>
            <w:rFonts w:cs="Times New Roman"/>
            <w:noProof/>
            <w:webHidden/>
            <w:szCs w:val="24"/>
          </w:rPr>
        </w:r>
        <w:r w:rsidRPr="00451561">
          <w:rPr>
            <w:rFonts w:cs="Times New Roman"/>
            <w:noProof/>
            <w:webHidden/>
            <w:szCs w:val="24"/>
          </w:rPr>
          <w:fldChar w:fldCharType="separate"/>
        </w:r>
        <w:r w:rsidRPr="00451561">
          <w:rPr>
            <w:rFonts w:cs="Times New Roman"/>
            <w:noProof/>
            <w:webHidden/>
            <w:szCs w:val="24"/>
          </w:rPr>
          <w:t>22</w:t>
        </w:r>
        <w:r w:rsidRPr="00451561">
          <w:rPr>
            <w:rFonts w:cs="Times New Roman"/>
            <w:noProof/>
            <w:webHidden/>
            <w:szCs w:val="24"/>
          </w:rPr>
          <w:fldChar w:fldCharType="end"/>
        </w:r>
      </w:hyperlink>
    </w:p>
    <w:p w14:paraId="0B521F46" w14:textId="6B0D5231" w:rsidR="00451561" w:rsidRPr="00451561" w:rsidRDefault="00451561" w:rsidP="00451561">
      <w:pPr>
        <w:pStyle w:val="TDC3"/>
        <w:tabs>
          <w:tab w:val="right" w:leader="dot" w:pos="9350"/>
        </w:tabs>
        <w:jc w:val="both"/>
        <w:rPr>
          <w:rFonts w:eastAsiaTheme="minorEastAsia" w:cs="Times New Roman"/>
          <w:noProof/>
          <w:kern w:val="2"/>
          <w:szCs w:val="24"/>
          <w:lang w:eastAsia="es-HN"/>
          <w14:ligatures w14:val="standardContextual"/>
        </w:rPr>
      </w:pPr>
      <w:hyperlink w:anchor="_Toc175171379" w:history="1">
        <w:r w:rsidRPr="00451561">
          <w:rPr>
            <w:rStyle w:val="Hipervnculo"/>
            <w:rFonts w:cs="Times New Roman"/>
            <w:noProof/>
            <w:szCs w:val="24"/>
          </w:rPr>
          <w:t>2.2.11. POLÍTICAS DE CRÉDITO</w:t>
        </w:r>
        <w:r w:rsidRPr="00451561">
          <w:rPr>
            <w:rFonts w:cs="Times New Roman"/>
            <w:noProof/>
            <w:webHidden/>
            <w:szCs w:val="24"/>
          </w:rPr>
          <w:tab/>
        </w:r>
        <w:r w:rsidRPr="00451561">
          <w:rPr>
            <w:rFonts w:cs="Times New Roman"/>
            <w:noProof/>
            <w:webHidden/>
            <w:szCs w:val="24"/>
          </w:rPr>
          <w:fldChar w:fldCharType="begin"/>
        </w:r>
        <w:r w:rsidRPr="00451561">
          <w:rPr>
            <w:rFonts w:cs="Times New Roman"/>
            <w:noProof/>
            <w:webHidden/>
            <w:szCs w:val="24"/>
          </w:rPr>
          <w:instrText xml:space="preserve"> PAGEREF _Toc175171379 \h </w:instrText>
        </w:r>
        <w:r w:rsidRPr="00451561">
          <w:rPr>
            <w:rFonts w:cs="Times New Roman"/>
            <w:noProof/>
            <w:webHidden/>
            <w:szCs w:val="24"/>
          </w:rPr>
        </w:r>
        <w:r w:rsidRPr="00451561">
          <w:rPr>
            <w:rFonts w:cs="Times New Roman"/>
            <w:noProof/>
            <w:webHidden/>
            <w:szCs w:val="24"/>
          </w:rPr>
          <w:fldChar w:fldCharType="separate"/>
        </w:r>
        <w:r w:rsidRPr="00451561">
          <w:rPr>
            <w:rFonts w:cs="Times New Roman"/>
            <w:noProof/>
            <w:webHidden/>
            <w:szCs w:val="24"/>
          </w:rPr>
          <w:t>22</w:t>
        </w:r>
        <w:r w:rsidRPr="00451561">
          <w:rPr>
            <w:rFonts w:cs="Times New Roman"/>
            <w:noProof/>
            <w:webHidden/>
            <w:szCs w:val="24"/>
          </w:rPr>
          <w:fldChar w:fldCharType="end"/>
        </w:r>
      </w:hyperlink>
    </w:p>
    <w:p w14:paraId="68867866" w14:textId="39D82279" w:rsidR="00451561" w:rsidRPr="00451561" w:rsidRDefault="00451561" w:rsidP="00451561">
      <w:pPr>
        <w:pStyle w:val="TDC3"/>
        <w:tabs>
          <w:tab w:val="right" w:leader="dot" w:pos="9350"/>
        </w:tabs>
        <w:jc w:val="both"/>
        <w:rPr>
          <w:rFonts w:eastAsiaTheme="minorEastAsia" w:cs="Times New Roman"/>
          <w:noProof/>
          <w:kern w:val="2"/>
          <w:szCs w:val="24"/>
          <w:lang w:eastAsia="es-HN"/>
          <w14:ligatures w14:val="standardContextual"/>
        </w:rPr>
      </w:pPr>
      <w:hyperlink w:anchor="_Toc175171380" w:history="1">
        <w:r w:rsidRPr="00451561">
          <w:rPr>
            <w:rStyle w:val="Hipervnculo"/>
            <w:rFonts w:cs="Times New Roman"/>
            <w:noProof/>
            <w:szCs w:val="24"/>
          </w:rPr>
          <w:t>2.2.12. RENTABILIDAD</w:t>
        </w:r>
        <w:r w:rsidRPr="00451561">
          <w:rPr>
            <w:rFonts w:cs="Times New Roman"/>
            <w:noProof/>
            <w:webHidden/>
            <w:szCs w:val="24"/>
          </w:rPr>
          <w:tab/>
        </w:r>
        <w:r w:rsidRPr="00451561">
          <w:rPr>
            <w:rFonts w:cs="Times New Roman"/>
            <w:noProof/>
            <w:webHidden/>
            <w:szCs w:val="24"/>
          </w:rPr>
          <w:fldChar w:fldCharType="begin"/>
        </w:r>
        <w:r w:rsidRPr="00451561">
          <w:rPr>
            <w:rFonts w:cs="Times New Roman"/>
            <w:noProof/>
            <w:webHidden/>
            <w:szCs w:val="24"/>
          </w:rPr>
          <w:instrText xml:space="preserve"> PAGEREF _Toc175171380 \h </w:instrText>
        </w:r>
        <w:r w:rsidRPr="00451561">
          <w:rPr>
            <w:rFonts w:cs="Times New Roman"/>
            <w:noProof/>
            <w:webHidden/>
            <w:szCs w:val="24"/>
          </w:rPr>
        </w:r>
        <w:r w:rsidRPr="00451561">
          <w:rPr>
            <w:rFonts w:cs="Times New Roman"/>
            <w:noProof/>
            <w:webHidden/>
            <w:szCs w:val="24"/>
          </w:rPr>
          <w:fldChar w:fldCharType="separate"/>
        </w:r>
        <w:r w:rsidRPr="00451561">
          <w:rPr>
            <w:rFonts w:cs="Times New Roman"/>
            <w:noProof/>
            <w:webHidden/>
            <w:szCs w:val="24"/>
          </w:rPr>
          <w:t>23</w:t>
        </w:r>
        <w:r w:rsidRPr="00451561">
          <w:rPr>
            <w:rFonts w:cs="Times New Roman"/>
            <w:noProof/>
            <w:webHidden/>
            <w:szCs w:val="24"/>
          </w:rPr>
          <w:fldChar w:fldCharType="end"/>
        </w:r>
      </w:hyperlink>
    </w:p>
    <w:p w14:paraId="09C5D532" w14:textId="4C760E37" w:rsidR="00451561" w:rsidRPr="00451561" w:rsidRDefault="00451561" w:rsidP="00451561">
      <w:pPr>
        <w:pStyle w:val="TDC3"/>
        <w:tabs>
          <w:tab w:val="right" w:leader="dot" w:pos="9350"/>
        </w:tabs>
        <w:jc w:val="both"/>
        <w:rPr>
          <w:rFonts w:eastAsiaTheme="minorEastAsia" w:cs="Times New Roman"/>
          <w:noProof/>
          <w:kern w:val="2"/>
          <w:szCs w:val="24"/>
          <w:lang w:eastAsia="es-HN"/>
          <w14:ligatures w14:val="standardContextual"/>
        </w:rPr>
      </w:pPr>
      <w:hyperlink w:anchor="_Toc175171381" w:history="1">
        <w:r w:rsidRPr="00451561">
          <w:rPr>
            <w:rStyle w:val="Hipervnculo"/>
            <w:rFonts w:cs="Times New Roman"/>
            <w:noProof/>
            <w:szCs w:val="24"/>
          </w:rPr>
          <w:t>2.2.13. RIESGO</w:t>
        </w:r>
        <w:r w:rsidRPr="00451561">
          <w:rPr>
            <w:rFonts w:cs="Times New Roman"/>
            <w:noProof/>
            <w:webHidden/>
            <w:szCs w:val="24"/>
          </w:rPr>
          <w:tab/>
        </w:r>
        <w:r w:rsidRPr="00451561">
          <w:rPr>
            <w:rFonts w:cs="Times New Roman"/>
            <w:noProof/>
            <w:webHidden/>
            <w:szCs w:val="24"/>
          </w:rPr>
          <w:fldChar w:fldCharType="begin"/>
        </w:r>
        <w:r w:rsidRPr="00451561">
          <w:rPr>
            <w:rFonts w:cs="Times New Roman"/>
            <w:noProof/>
            <w:webHidden/>
            <w:szCs w:val="24"/>
          </w:rPr>
          <w:instrText xml:space="preserve"> PAGEREF _Toc175171381 \h </w:instrText>
        </w:r>
        <w:r w:rsidRPr="00451561">
          <w:rPr>
            <w:rFonts w:cs="Times New Roman"/>
            <w:noProof/>
            <w:webHidden/>
            <w:szCs w:val="24"/>
          </w:rPr>
        </w:r>
        <w:r w:rsidRPr="00451561">
          <w:rPr>
            <w:rFonts w:cs="Times New Roman"/>
            <w:noProof/>
            <w:webHidden/>
            <w:szCs w:val="24"/>
          </w:rPr>
          <w:fldChar w:fldCharType="separate"/>
        </w:r>
        <w:r w:rsidRPr="00451561">
          <w:rPr>
            <w:rFonts w:cs="Times New Roman"/>
            <w:noProof/>
            <w:webHidden/>
            <w:szCs w:val="24"/>
          </w:rPr>
          <w:t>23</w:t>
        </w:r>
        <w:r w:rsidRPr="00451561">
          <w:rPr>
            <w:rFonts w:cs="Times New Roman"/>
            <w:noProof/>
            <w:webHidden/>
            <w:szCs w:val="24"/>
          </w:rPr>
          <w:fldChar w:fldCharType="end"/>
        </w:r>
      </w:hyperlink>
    </w:p>
    <w:p w14:paraId="0590A779" w14:textId="4931E491" w:rsidR="00451561" w:rsidRPr="00451561" w:rsidRDefault="00451561" w:rsidP="00451561">
      <w:pPr>
        <w:pStyle w:val="TDC3"/>
        <w:tabs>
          <w:tab w:val="right" w:leader="dot" w:pos="9350"/>
        </w:tabs>
        <w:jc w:val="both"/>
        <w:rPr>
          <w:rFonts w:eastAsiaTheme="minorEastAsia" w:cs="Times New Roman"/>
          <w:noProof/>
          <w:kern w:val="2"/>
          <w:szCs w:val="24"/>
          <w:lang w:eastAsia="es-HN"/>
          <w14:ligatures w14:val="standardContextual"/>
        </w:rPr>
      </w:pPr>
      <w:hyperlink w:anchor="_Toc175171382" w:history="1">
        <w:r w:rsidRPr="00451561">
          <w:rPr>
            <w:rStyle w:val="Hipervnculo"/>
            <w:rFonts w:cs="Times New Roman"/>
            <w:noProof/>
            <w:szCs w:val="24"/>
          </w:rPr>
          <w:t>2.2.14. RIESGO DE CRÉDITO</w:t>
        </w:r>
        <w:r w:rsidRPr="00451561">
          <w:rPr>
            <w:rFonts w:cs="Times New Roman"/>
            <w:noProof/>
            <w:webHidden/>
            <w:szCs w:val="24"/>
          </w:rPr>
          <w:tab/>
        </w:r>
        <w:r w:rsidRPr="00451561">
          <w:rPr>
            <w:rFonts w:cs="Times New Roman"/>
            <w:noProof/>
            <w:webHidden/>
            <w:szCs w:val="24"/>
          </w:rPr>
          <w:fldChar w:fldCharType="begin"/>
        </w:r>
        <w:r w:rsidRPr="00451561">
          <w:rPr>
            <w:rFonts w:cs="Times New Roman"/>
            <w:noProof/>
            <w:webHidden/>
            <w:szCs w:val="24"/>
          </w:rPr>
          <w:instrText xml:space="preserve"> PAGEREF _Toc175171382 \h </w:instrText>
        </w:r>
        <w:r w:rsidRPr="00451561">
          <w:rPr>
            <w:rFonts w:cs="Times New Roman"/>
            <w:noProof/>
            <w:webHidden/>
            <w:szCs w:val="24"/>
          </w:rPr>
        </w:r>
        <w:r w:rsidRPr="00451561">
          <w:rPr>
            <w:rFonts w:cs="Times New Roman"/>
            <w:noProof/>
            <w:webHidden/>
            <w:szCs w:val="24"/>
          </w:rPr>
          <w:fldChar w:fldCharType="separate"/>
        </w:r>
        <w:r w:rsidRPr="00451561">
          <w:rPr>
            <w:rFonts w:cs="Times New Roman"/>
            <w:noProof/>
            <w:webHidden/>
            <w:szCs w:val="24"/>
          </w:rPr>
          <w:t>23</w:t>
        </w:r>
        <w:r w:rsidRPr="00451561">
          <w:rPr>
            <w:rFonts w:cs="Times New Roman"/>
            <w:noProof/>
            <w:webHidden/>
            <w:szCs w:val="24"/>
          </w:rPr>
          <w:fldChar w:fldCharType="end"/>
        </w:r>
      </w:hyperlink>
    </w:p>
    <w:p w14:paraId="19758B4D" w14:textId="0DE05E87" w:rsidR="00451561" w:rsidRPr="00451561" w:rsidRDefault="00451561" w:rsidP="00451561">
      <w:pPr>
        <w:pStyle w:val="TDC3"/>
        <w:tabs>
          <w:tab w:val="right" w:leader="dot" w:pos="9350"/>
        </w:tabs>
        <w:jc w:val="both"/>
        <w:rPr>
          <w:rFonts w:eastAsiaTheme="minorEastAsia" w:cs="Times New Roman"/>
          <w:noProof/>
          <w:kern w:val="2"/>
          <w:szCs w:val="24"/>
          <w:lang w:eastAsia="es-HN"/>
          <w14:ligatures w14:val="standardContextual"/>
        </w:rPr>
      </w:pPr>
      <w:hyperlink w:anchor="_Toc175171383" w:history="1">
        <w:r w:rsidRPr="00451561">
          <w:rPr>
            <w:rStyle w:val="Hipervnculo"/>
            <w:rFonts w:cs="Times New Roman"/>
            <w:noProof/>
            <w:szCs w:val="24"/>
          </w:rPr>
          <w:t>2.2.15. TASA DE INTERÉS</w:t>
        </w:r>
        <w:r w:rsidRPr="00451561">
          <w:rPr>
            <w:rFonts w:cs="Times New Roman"/>
            <w:noProof/>
            <w:webHidden/>
            <w:szCs w:val="24"/>
          </w:rPr>
          <w:tab/>
        </w:r>
        <w:r w:rsidRPr="00451561">
          <w:rPr>
            <w:rFonts w:cs="Times New Roman"/>
            <w:noProof/>
            <w:webHidden/>
            <w:szCs w:val="24"/>
          </w:rPr>
          <w:fldChar w:fldCharType="begin"/>
        </w:r>
        <w:r w:rsidRPr="00451561">
          <w:rPr>
            <w:rFonts w:cs="Times New Roman"/>
            <w:noProof/>
            <w:webHidden/>
            <w:szCs w:val="24"/>
          </w:rPr>
          <w:instrText xml:space="preserve"> PAGEREF _Toc175171383 \h </w:instrText>
        </w:r>
        <w:r w:rsidRPr="00451561">
          <w:rPr>
            <w:rFonts w:cs="Times New Roman"/>
            <w:noProof/>
            <w:webHidden/>
            <w:szCs w:val="24"/>
          </w:rPr>
        </w:r>
        <w:r w:rsidRPr="00451561">
          <w:rPr>
            <w:rFonts w:cs="Times New Roman"/>
            <w:noProof/>
            <w:webHidden/>
            <w:szCs w:val="24"/>
          </w:rPr>
          <w:fldChar w:fldCharType="separate"/>
        </w:r>
        <w:r w:rsidRPr="00451561">
          <w:rPr>
            <w:rFonts w:cs="Times New Roman"/>
            <w:noProof/>
            <w:webHidden/>
            <w:szCs w:val="24"/>
          </w:rPr>
          <w:t>24</w:t>
        </w:r>
        <w:r w:rsidRPr="00451561">
          <w:rPr>
            <w:rFonts w:cs="Times New Roman"/>
            <w:noProof/>
            <w:webHidden/>
            <w:szCs w:val="24"/>
          </w:rPr>
          <w:fldChar w:fldCharType="end"/>
        </w:r>
      </w:hyperlink>
    </w:p>
    <w:p w14:paraId="4D6DC13E" w14:textId="3B5502A0" w:rsidR="00451561" w:rsidRPr="00451561" w:rsidRDefault="00451561" w:rsidP="00451561">
      <w:pPr>
        <w:pStyle w:val="TDC3"/>
        <w:tabs>
          <w:tab w:val="right" w:leader="dot" w:pos="9350"/>
        </w:tabs>
        <w:jc w:val="both"/>
        <w:rPr>
          <w:rFonts w:eastAsiaTheme="minorEastAsia" w:cs="Times New Roman"/>
          <w:noProof/>
          <w:kern w:val="2"/>
          <w:szCs w:val="24"/>
          <w:lang w:eastAsia="es-HN"/>
          <w14:ligatures w14:val="standardContextual"/>
        </w:rPr>
      </w:pPr>
      <w:hyperlink w:anchor="_Toc175171384" w:history="1">
        <w:r w:rsidRPr="00451561">
          <w:rPr>
            <w:rStyle w:val="Hipervnculo"/>
            <w:rFonts w:cs="Times New Roman"/>
            <w:noProof/>
            <w:szCs w:val="24"/>
          </w:rPr>
          <w:t>2.3. TEORÍAS DE SUSTENTO</w:t>
        </w:r>
        <w:r w:rsidRPr="00451561">
          <w:rPr>
            <w:rFonts w:cs="Times New Roman"/>
            <w:noProof/>
            <w:webHidden/>
            <w:szCs w:val="24"/>
          </w:rPr>
          <w:tab/>
        </w:r>
        <w:r w:rsidRPr="00451561">
          <w:rPr>
            <w:rFonts w:cs="Times New Roman"/>
            <w:noProof/>
            <w:webHidden/>
            <w:szCs w:val="24"/>
          </w:rPr>
          <w:fldChar w:fldCharType="begin"/>
        </w:r>
        <w:r w:rsidRPr="00451561">
          <w:rPr>
            <w:rFonts w:cs="Times New Roman"/>
            <w:noProof/>
            <w:webHidden/>
            <w:szCs w:val="24"/>
          </w:rPr>
          <w:instrText xml:space="preserve"> PAGEREF _Toc175171384 \h </w:instrText>
        </w:r>
        <w:r w:rsidRPr="00451561">
          <w:rPr>
            <w:rFonts w:cs="Times New Roman"/>
            <w:noProof/>
            <w:webHidden/>
            <w:szCs w:val="24"/>
          </w:rPr>
        </w:r>
        <w:r w:rsidRPr="00451561">
          <w:rPr>
            <w:rFonts w:cs="Times New Roman"/>
            <w:noProof/>
            <w:webHidden/>
            <w:szCs w:val="24"/>
          </w:rPr>
          <w:fldChar w:fldCharType="separate"/>
        </w:r>
        <w:r w:rsidRPr="00451561">
          <w:rPr>
            <w:rFonts w:cs="Times New Roman"/>
            <w:noProof/>
            <w:webHidden/>
            <w:szCs w:val="24"/>
          </w:rPr>
          <w:t>24</w:t>
        </w:r>
        <w:r w:rsidRPr="00451561">
          <w:rPr>
            <w:rFonts w:cs="Times New Roman"/>
            <w:noProof/>
            <w:webHidden/>
            <w:szCs w:val="24"/>
          </w:rPr>
          <w:fldChar w:fldCharType="end"/>
        </w:r>
      </w:hyperlink>
    </w:p>
    <w:p w14:paraId="069B512D" w14:textId="636A4FB2" w:rsidR="00451561" w:rsidRPr="00451561" w:rsidRDefault="00451561" w:rsidP="00451561">
      <w:pPr>
        <w:pStyle w:val="TDC3"/>
        <w:tabs>
          <w:tab w:val="right" w:leader="dot" w:pos="9350"/>
        </w:tabs>
        <w:jc w:val="both"/>
        <w:rPr>
          <w:rFonts w:eastAsiaTheme="minorEastAsia" w:cs="Times New Roman"/>
          <w:noProof/>
          <w:kern w:val="2"/>
          <w:szCs w:val="24"/>
          <w:lang w:eastAsia="es-HN"/>
          <w14:ligatures w14:val="standardContextual"/>
        </w:rPr>
      </w:pPr>
      <w:hyperlink w:anchor="_Toc175171385" w:history="1">
        <w:r w:rsidRPr="00451561">
          <w:rPr>
            <w:rStyle w:val="Hipervnculo"/>
            <w:rFonts w:cs="Times New Roman"/>
            <w:noProof/>
            <w:szCs w:val="24"/>
          </w:rPr>
          <w:t>2.3.1. BASES TEÓRICAS</w:t>
        </w:r>
        <w:r w:rsidRPr="00451561">
          <w:rPr>
            <w:rFonts w:cs="Times New Roman"/>
            <w:noProof/>
            <w:webHidden/>
            <w:szCs w:val="24"/>
          </w:rPr>
          <w:tab/>
        </w:r>
        <w:r w:rsidRPr="00451561">
          <w:rPr>
            <w:rFonts w:cs="Times New Roman"/>
            <w:noProof/>
            <w:webHidden/>
            <w:szCs w:val="24"/>
          </w:rPr>
          <w:fldChar w:fldCharType="begin"/>
        </w:r>
        <w:r w:rsidRPr="00451561">
          <w:rPr>
            <w:rFonts w:cs="Times New Roman"/>
            <w:noProof/>
            <w:webHidden/>
            <w:szCs w:val="24"/>
          </w:rPr>
          <w:instrText xml:space="preserve"> PAGEREF _Toc175171385 \h </w:instrText>
        </w:r>
        <w:r w:rsidRPr="00451561">
          <w:rPr>
            <w:rFonts w:cs="Times New Roman"/>
            <w:noProof/>
            <w:webHidden/>
            <w:szCs w:val="24"/>
          </w:rPr>
        </w:r>
        <w:r w:rsidRPr="00451561">
          <w:rPr>
            <w:rFonts w:cs="Times New Roman"/>
            <w:noProof/>
            <w:webHidden/>
            <w:szCs w:val="24"/>
          </w:rPr>
          <w:fldChar w:fldCharType="separate"/>
        </w:r>
        <w:r w:rsidRPr="00451561">
          <w:rPr>
            <w:rFonts w:cs="Times New Roman"/>
            <w:noProof/>
            <w:webHidden/>
            <w:szCs w:val="24"/>
          </w:rPr>
          <w:t>24</w:t>
        </w:r>
        <w:r w:rsidRPr="00451561">
          <w:rPr>
            <w:rFonts w:cs="Times New Roman"/>
            <w:noProof/>
            <w:webHidden/>
            <w:szCs w:val="24"/>
          </w:rPr>
          <w:fldChar w:fldCharType="end"/>
        </w:r>
      </w:hyperlink>
    </w:p>
    <w:p w14:paraId="0F85E32C" w14:textId="68C24F91" w:rsidR="00451561" w:rsidRPr="00451561" w:rsidRDefault="00451561" w:rsidP="00451561">
      <w:pPr>
        <w:pStyle w:val="TDC4"/>
        <w:jc w:val="both"/>
        <w:rPr>
          <w:rFonts w:eastAsiaTheme="minorEastAsia"/>
          <w:iCs w:val="0"/>
          <w:kern w:val="2"/>
          <w:szCs w:val="24"/>
          <w:lang w:eastAsia="es-HN"/>
          <w14:ligatures w14:val="standardContextual"/>
        </w:rPr>
      </w:pPr>
      <w:hyperlink w:anchor="_Toc175171386" w:history="1">
        <w:r w:rsidRPr="00451561">
          <w:rPr>
            <w:rStyle w:val="Hipervnculo"/>
            <w:szCs w:val="24"/>
          </w:rPr>
          <w:t>2.3.1.1. TEORÍA FINANCIERA</w:t>
        </w:r>
        <w:r w:rsidRPr="00451561">
          <w:rPr>
            <w:webHidden/>
            <w:szCs w:val="24"/>
          </w:rPr>
          <w:tab/>
        </w:r>
        <w:r w:rsidRPr="00451561">
          <w:rPr>
            <w:webHidden/>
            <w:szCs w:val="24"/>
          </w:rPr>
          <w:fldChar w:fldCharType="begin"/>
        </w:r>
        <w:r w:rsidRPr="00451561">
          <w:rPr>
            <w:webHidden/>
            <w:szCs w:val="24"/>
          </w:rPr>
          <w:instrText xml:space="preserve"> PAGEREF _Toc175171386 \h </w:instrText>
        </w:r>
        <w:r w:rsidRPr="00451561">
          <w:rPr>
            <w:webHidden/>
            <w:szCs w:val="24"/>
          </w:rPr>
        </w:r>
        <w:r w:rsidRPr="00451561">
          <w:rPr>
            <w:webHidden/>
            <w:szCs w:val="24"/>
          </w:rPr>
          <w:fldChar w:fldCharType="separate"/>
        </w:r>
        <w:r w:rsidRPr="00451561">
          <w:rPr>
            <w:webHidden/>
            <w:szCs w:val="24"/>
          </w:rPr>
          <w:t>24</w:t>
        </w:r>
        <w:r w:rsidRPr="00451561">
          <w:rPr>
            <w:webHidden/>
            <w:szCs w:val="24"/>
          </w:rPr>
          <w:fldChar w:fldCharType="end"/>
        </w:r>
      </w:hyperlink>
    </w:p>
    <w:p w14:paraId="1E68CED3" w14:textId="1DD630C7" w:rsidR="00451561" w:rsidRPr="00451561" w:rsidRDefault="00451561" w:rsidP="00451561">
      <w:pPr>
        <w:pStyle w:val="TDC4"/>
        <w:jc w:val="both"/>
        <w:rPr>
          <w:rFonts w:eastAsiaTheme="minorEastAsia"/>
          <w:iCs w:val="0"/>
          <w:kern w:val="2"/>
          <w:szCs w:val="24"/>
          <w:lang w:eastAsia="es-HN"/>
          <w14:ligatures w14:val="standardContextual"/>
        </w:rPr>
      </w:pPr>
      <w:hyperlink w:anchor="_Toc175171387" w:history="1">
        <w:r w:rsidRPr="00451561">
          <w:rPr>
            <w:rStyle w:val="Hipervnculo"/>
            <w:szCs w:val="24"/>
          </w:rPr>
          <w:t>2.3.1.2 TEORÍA CONTABLE</w:t>
        </w:r>
        <w:r w:rsidRPr="00451561">
          <w:rPr>
            <w:webHidden/>
            <w:szCs w:val="24"/>
          </w:rPr>
          <w:tab/>
        </w:r>
        <w:r w:rsidRPr="00451561">
          <w:rPr>
            <w:webHidden/>
            <w:szCs w:val="24"/>
          </w:rPr>
          <w:fldChar w:fldCharType="begin"/>
        </w:r>
        <w:r w:rsidRPr="00451561">
          <w:rPr>
            <w:webHidden/>
            <w:szCs w:val="24"/>
          </w:rPr>
          <w:instrText xml:space="preserve"> PAGEREF _Toc175171387 \h </w:instrText>
        </w:r>
        <w:r w:rsidRPr="00451561">
          <w:rPr>
            <w:webHidden/>
            <w:szCs w:val="24"/>
          </w:rPr>
        </w:r>
        <w:r w:rsidRPr="00451561">
          <w:rPr>
            <w:webHidden/>
            <w:szCs w:val="24"/>
          </w:rPr>
          <w:fldChar w:fldCharType="separate"/>
        </w:r>
        <w:r w:rsidRPr="00451561">
          <w:rPr>
            <w:webHidden/>
            <w:szCs w:val="24"/>
          </w:rPr>
          <w:t>26</w:t>
        </w:r>
        <w:r w:rsidRPr="00451561">
          <w:rPr>
            <w:webHidden/>
            <w:szCs w:val="24"/>
          </w:rPr>
          <w:fldChar w:fldCharType="end"/>
        </w:r>
      </w:hyperlink>
    </w:p>
    <w:p w14:paraId="35D34534" w14:textId="387DC005" w:rsidR="00451561" w:rsidRPr="00451561" w:rsidRDefault="00451561" w:rsidP="00451561">
      <w:pPr>
        <w:pStyle w:val="TDC4"/>
        <w:jc w:val="both"/>
        <w:rPr>
          <w:rFonts w:eastAsiaTheme="minorEastAsia"/>
          <w:iCs w:val="0"/>
          <w:kern w:val="2"/>
          <w:szCs w:val="24"/>
          <w:lang w:eastAsia="es-HN"/>
          <w14:ligatures w14:val="standardContextual"/>
        </w:rPr>
      </w:pPr>
      <w:hyperlink w:anchor="_Toc175171388" w:history="1">
        <w:r w:rsidRPr="00451561">
          <w:rPr>
            <w:rStyle w:val="Hipervnculo"/>
            <w:szCs w:val="24"/>
          </w:rPr>
          <w:t>2.3.1.3 TEORIA DEL CICLO DEL CRÉDITO</w:t>
        </w:r>
        <w:r w:rsidRPr="00451561">
          <w:rPr>
            <w:webHidden/>
            <w:szCs w:val="24"/>
          </w:rPr>
          <w:tab/>
        </w:r>
        <w:r w:rsidRPr="00451561">
          <w:rPr>
            <w:webHidden/>
            <w:szCs w:val="24"/>
          </w:rPr>
          <w:fldChar w:fldCharType="begin"/>
        </w:r>
        <w:r w:rsidRPr="00451561">
          <w:rPr>
            <w:webHidden/>
            <w:szCs w:val="24"/>
          </w:rPr>
          <w:instrText xml:space="preserve"> PAGEREF _Toc175171388 \h </w:instrText>
        </w:r>
        <w:r w:rsidRPr="00451561">
          <w:rPr>
            <w:webHidden/>
            <w:szCs w:val="24"/>
          </w:rPr>
        </w:r>
        <w:r w:rsidRPr="00451561">
          <w:rPr>
            <w:webHidden/>
            <w:szCs w:val="24"/>
          </w:rPr>
          <w:fldChar w:fldCharType="separate"/>
        </w:r>
        <w:r w:rsidRPr="00451561">
          <w:rPr>
            <w:webHidden/>
            <w:szCs w:val="24"/>
          </w:rPr>
          <w:t>28</w:t>
        </w:r>
        <w:r w:rsidRPr="00451561">
          <w:rPr>
            <w:webHidden/>
            <w:szCs w:val="24"/>
          </w:rPr>
          <w:fldChar w:fldCharType="end"/>
        </w:r>
      </w:hyperlink>
    </w:p>
    <w:p w14:paraId="0512997C" w14:textId="055ED114" w:rsidR="00451561" w:rsidRPr="00451561" w:rsidRDefault="00451561" w:rsidP="00451561">
      <w:pPr>
        <w:pStyle w:val="TDC4"/>
        <w:jc w:val="both"/>
        <w:rPr>
          <w:rFonts w:eastAsiaTheme="minorEastAsia"/>
          <w:iCs w:val="0"/>
          <w:kern w:val="2"/>
          <w:szCs w:val="24"/>
          <w:lang w:eastAsia="es-HN"/>
          <w14:ligatures w14:val="standardContextual"/>
        </w:rPr>
      </w:pPr>
      <w:hyperlink w:anchor="_Toc175171389" w:history="1">
        <w:r w:rsidRPr="00451561">
          <w:rPr>
            <w:rStyle w:val="Hipervnculo"/>
            <w:szCs w:val="24"/>
          </w:rPr>
          <w:t>2.3.1.4 TEORÍA DE LA TASA DE INTERÉS</w:t>
        </w:r>
        <w:r w:rsidRPr="00451561">
          <w:rPr>
            <w:webHidden/>
            <w:szCs w:val="24"/>
          </w:rPr>
          <w:tab/>
        </w:r>
        <w:r w:rsidRPr="00451561">
          <w:rPr>
            <w:webHidden/>
            <w:szCs w:val="24"/>
          </w:rPr>
          <w:fldChar w:fldCharType="begin"/>
        </w:r>
        <w:r w:rsidRPr="00451561">
          <w:rPr>
            <w:webHidden/>
            <w:szCs w:val="24"/>
          </w:rPr>
          <w:instrText xml:space="preserve"> PAGEREF _Toc175171389 \h </w:instrText>
        </w:r>
        <w:r w:rsidRPr="00451561">
          <w:rPr>
            <w:webHidden/>
            <w:szCs w:val="24"/>
          </w:rPr>
        </w:r>
        <w:r w:rsidRPr="00451561">
          <w:rPr>
            <w:webHidden/>
            <w:szCs w:val="24"/>
          </w:rPr>
          <w:fldChar w:fldCharType="separate"/>
        </w:r>
        <w:r w:rsidRPr="00451561">
          <w:rPr>
            <w:webHidden/>
            <w:szCs w:val="24"/>
          </w:rPr>
          <w:t>30</w:t>
        </w:r>
        <w:r w:rsidRPr="00451561">
          <w:rPr>
            <w:webHidden/>
            <w:szCs w:val="24"/>
          </w:rPr>
          <w:fldChar w:fldCharType="end"/>
        </w:r>
      </w:hyperlink>
    </w:p>
    <w:p w14:paraId="3596E95D" w14:textId="644E1E7D" w:rsidR="00451561" w:rsidRPr="00451561" w:rsidRDefault="00451561" w:rsidP="00451561">
      <w:pPr>
        <w:pStyle w:val="TDC3"/>
        <w:tabs>
          <w:tab w:val="right" w:leader="dot" w:pos="9350"/>
        </w:tabs>
        <w:jc w:val="both"/>
        <w:rPr>
          <w:rFonts w:eastAsiaTheme="minorEastAsia" w:cs="Times New Roman"/>
          <w:noProof/>
          <w:kern w:val="2"/>
          <w:szCs w:val="24"/>
          <w:lang w:eastAsia="es-HN"/>
          <w14:ligatures w14:val="standardContextual"/>
        </w:rPr>
      </w:pPr>
      <w:hyperlink w:anchor="_Toc175171390" w:history="1">
        <w:r w:rsidRPr="00451561">
          <w:rPr>
            <w:rStyle w:val="Hipervnculo"/>
            <w:rFonts w:cs="Times New Roman"/>
            <w:noProof/>
            <w:szCs w:val="24"/>
          </w:rPr>
          <w:t>2.3.2. METODOLOGÍAS DESARROLLADAS</w:t>
        </w:r>
        <w:r w:rsidRPr="00451561">
          <w:rPr>
            <w:rFonts w:cs="Times New Roman"/>
            <w:noProof/>
            <w:webHidden/>
            <w:szCs w:val="24"/>
          </w:rPr>
          <w:tab/>
        </w:r>
        <w:r w:rsidRPr="00451561">
          <w:rPr>
            <w:rFonts w:cs="Times New Roman"/>
            <w:noProof/>
            <w:webHidden/>
            <w:szCs w:val="24"/>
          </w:rPr>
          <w:fldChar w:fldCharType="begin"/>
        </w:r>
        <w:r w:rsidRPr="00451561">
          <w:rPr>
            <w:rFonts w:cs="Times New Roman"/>
            <w:noProof/>
            <w:webHidden/>
            <w:szCs w:val="24"/>
          </w:rPr>
          <w:instrText xml:space="preserve"> PAGEREF _Toc175171390 \h </w:instrText>
        </w:r>
        <w:r w:rsidRPr="00451561">
          <w:rPr>
            <w:rFonts w:cs="Times New Roman"/>
            <w:noProof/>
            <w:webHidden/>
            <w:szCs w:val="24"/>
          </w:rPr>
        </w:r>
        <w:r w:rsidRPr="00451561">
          <w:rPr>
            <w:rFonts w:cs="Times New Roman"/>
            <w:noProof/>
            <w:webHidden/>
            <w:szCs w:val="24"/>
          </w:rPr>
          <w:fldChar w:fldCharType="separate"/>
        </w:r>
        <w:r w:rsidRPr="00451561">
          <w:rPr>
            <w:rFonts w:cs="Times New Roman"/>
            <w:noProof/>
            <w:webHidden/>
            <w:szCs w:val="24"/>
          </w:rPr>
          <w:t>32</w:t>
        </w:r>
        <w:r w:rsidRPr="00451561">
          <w:rPr>
            <w:rFonts w:cs="Times New Roman"/>
            <w:noProof/>
            <w:webHidden/>
            <w:szCs w:val="24"/>
          </w:rPr>
          <w:fldChar w:fldCharType="end"/>
        </w:r>
      </w:hyperlink>
    </w:p>
    <w:p w14:paraId="79835AEA" w14:textId="17349A45" w:rsidR="00451561" w:rsidRPr="00451561" w:rsidRDefault="00451561" w:rsidP="00451561">
      <w:pPr>
        <w:pStyle w:val="TDC4"/>
        <w:jc w:val="both"/>
        <w:rPr>
          <w:rFonts w:eastAsiaTheme="minorEastAsia"/>
          <w:iCs w:val="0"/>
          <w:kern w:val="2"/>
          <w:szCs w:val="24"/>
          <w:lang w:eastAsia="es-HN"/>
          <w14:ligatures w14:val="standardContextual"/>
        </w:rPr>
      </w:pPr>
      <w:hyperlink w:anchor="_Toc175171391" w:history="1">
        <w:r w:rsidRPr="00451561">
          <w:rPr>
            <w:rStyle w:val="Hipervnculo"/>
            <w:szCs w:val="24"/>
          </w:rPr>
          <w:t>2.3.2.1 CONTROL Y SEGUIMIENTO DE LA CARTERA DE CRÉDITOS DE BAT HONDURAS DEL PERIODO 2018-2022</w:t>
        </w:r>
        <w:r w:rsidRPr="00451561">
          <w:rPr>
            <w:webHidden/>
            <w:szCs w:val="24"/>
          </w:rPr>
          <w:tab/>
        </w:r>
        <w:r w:rsidRPr="00451561">
          <w:rPr>
            <w:webHidden/>
            <w:szCs w:val="24"/>
          </w:rPr>
          <w:fldChar w:fldCharType="begin"/>
        </w:r>
        <w:r w:rsidRPr="00451561">
          <w:rPr>
            <w:webHidden/>
            <w:szCs w:val="24"/>
          </w:rPr>
          <w:instrText xml:space="preserve"> PAGEREF _Toc175171391 \h </w:instrText>
        </w:r>
        <w:r w:rsidRPr="00451561">
          <w:rPr>
            <w:webHidden/>
            <w:szCs w:val="24"/>
          </w:rPr>
        </w:r>
        <w:r w:rsidRPr="00451561">
          <w:rPr>
            <w:webHidden/>
            <w:szCs w:val="24"/>
          </w:rPr>
          <w:fldChar w:fldCharType="separate"/>
        </w:r>
        <w:r w:rsidRPr="00451561">
          <w:rPr>
            <w:webHidden/>
            <w:szCs w:val="24"/>
          </w:rPr>
          <w:t>32</w:t>
        </w:r>
        <w:r w:rsidRPr="00451561">
          <w:rPr>
            <w:webHidden/>
            <w:szCs w:val="24"/>
          </w:rPr>
          <w:fldChar w:fldCharType="end"/>
        </w:r>
      </w:hyperlink>
    </w:p>
    <w:p w14:paraId="3F43C3CF" w14:textId="620C5472" w:rsidR="00451561" w:rsidRPr="00451561" w:rsidRDefault="00451561" w:rsidP="00451561">
      <w:pPr>
        <w:pStyle w:val="TDC4"/>
        <w:jc w:val="both"/>
        <w:rPr>
          <w:rFonts w:eastAsiaTheme="minorEastAsia"/>
          <w:iCs w:val="0"/>
          <w:kern w:val="2"/>
          <w:szCs w:val="24"/>
          <w:lang w:eastAsia="es-HN"/>
          <w14:ligatures w14:val="standardContextual"/>
        </w:rPr>
      </w:pPr>
      <w:hyperlink w:anchor="_Toc175171392" w:history="1">
        <w:r w:rsidRPr="00451561">
          <w:rPr>
            <w:rStyle w:val="Hipervnculo"/>
            <w:szCs w:val="24"/>
          </w:rPr>
          <w:t>2.3.2.2 DETERMINANTES DE LA MOROSIDAD EN LAS MICROEMPRESAS EN ECUADOR: ANÁLISIS Y ESTUDIO BANCO CENTRAL</w:t>
        </w:r>
        <w:r w:rsidRPr="00451561">
          <w:rPr>
            <w:webHidden/>
            <w:szCs w:val="24"/>
          </w:rPr>
          <w:tab/>
        </w:r>
        <w:r w:rsidRPr="00451561">
          <w:rPr>
            <w:webHidden/>
            <w:szCs w:val="24"/>
          </w:rPr>
          <w:fldChar w:fldCharType="begin"/>
        </w:r>
        <w:r w:rsidRPr="00451561">
          <w:rPr>
            <w:webHidden/>
            <w:szCs w:val="24"/>
          </w:rPr>
          <w:instrText xml:space="preserve"> PAGEREF _Toc175171392 \h </w:instrText>
        </w:r>
        <w:r w:rsidRPr="00451561">
          <w:rPr>
            <w:webHidden/>
            <w:szCs w:val="24"/>
          </w:rPr>
        </w:r>
        <w:r w:rsidRPr="00451561">
          <w:rPr>
            <w:webHidden/>
            <w:szCs w:val="24"/>
          </w:rPr>
          <w:fldChar w:fldCharType="separate"/>
        </w:r>
        <w:r w:rsidRPr="00451561">
          <w:rPr>
            <w:webHidden/>
            <w:szCs w:val="24"/>
          </w:rPr>
          <w:t>33</w:t>
        </w:r>
        <w:r w:rsidRPr="00451561">
          <w:rPr>
            <w:webHidden/>
            <w:szCs w:val="24"/>
          </w:rPr>
          <w:fldChar w:fldCharType="end"/>
        </w:r>
      </w:hyperlink>
    </w:p>
    <w:p w14:paraId="25BBBF55" w14:textId="1B02100E" w:rsidR="00451561" w:rsidRPr="00451561" w:rsidRDefault="00451561" w:rsidP="00451561">
      <w:pPr>
        <w:pStyle w:val="TDC4"/>
        <w:jc w:val="both"/>
        <w:rPr>
          <w:rFonts w:eastAsiaTheme="minorEastAsia"/>
          <w:iCs w:val="0"/>
          <w:kern w:val="2"/>
          <w:szCs w:val="24"/>
          <w:lang w:eastAsia="es-HN"/>
          <w14:ligatures w14:val="standardContextual"/>
        </w:rPr>
      </w:pPr>
      <w:hyperlink w:anchor="_Toc175171393" w:history="1">
        <w:r w:rsidRPr="00451561">
          <w:rPr>
            <w:rStyle w:val="Hipervnculo"/>
            <w:szCs w:val="24"/>
          </w:rPr>
          <w:t>2.3.2.3 ANÁLISIS DE LA MOROSIDAD DE LOS INQUILINOS DE LA INMOBILIARIA SANTA FÉ S. A. DE C.V. DURANTE EL PERIODO 2019-2022</w:t>
        </w:r>
        <w:r w:rsidRPr="00451561">
          <w:rPr>
            <w:webHidden/>
            <w:szCs w:val="24"/>
          </w:rPr>
          <w:tab/>
        </w:r>
        <w:r w:rsidRPr="00451561">
          <w:rPr>
            <w:webHidden/>
            <w:szCs w:val="24"/>
          </w:rPr>
          <w:fldChar w:fldCharType="begin"/>
        </w:r>
        <w:r w:rsidRPr="00451561">
          <w:rPr>
            <w:webHidden/>
            <w:szCs w:val="24"/>
          </w:rPr>
          <w:instrText xml:space="preserve"> PAGEREF _Toc175171393 \h </w:instrText>
        </w:r>
        <w:r w:rsidRPr="00451561">
          <w:rPr>
            <w:webHidden/>
            <w:szCs w:val="24"/>
          </w:rPr>
        </w:r>
        <w:r w:rsidRPr="00451561">
          <w:rPr>
            <w:webHidden/>
            <w:szCs w:val="24"/>
          </w:rPr>
          <w:fldChar w:fldCharType="separate"/>
        </w:r>
        <w:r w:rsidRPr="00451561">
          <w:rPr>
            <w:webHidden/>
            <w:szCs w:val="24"/>
          </w:rPr>
          <w:t>34</w:t>
        </w:r>
        <w:r w:rsidRPr="00451561">
          <w:rPr>
            <w:webHidden/>
            <w:szCs w:val="24"/>
          </w:rPr>
          <w:fldChar w:fldCharType="end"/>
        </w:r>
      </w:hyperlink>
    </w:p>
    <w:p w14:paraId="2EA7DF45" w14:textId="1D32D598" w:rsidR="00451561" w:rsidRPr="00451561" w:rsidRDefault="00451561" w:rsidP="00451561">
      <w:pPr>
        <w:pStyle w:val="TDC2"/>
        <w:tabs>
          <w:tab w:val="left" w:pos="960"/>
          <w:tab w:val="right" w:leader="dot" w:pos="9350"/>
        </w:tabs>
        <w:jc w:val="both"/>
        <w:rPr>
          <w:rFonts w:eastAsiaTheme="minorEastAsia" w:cs="Times New Roman"/>
          <w:noProof/>
          <w:kern w:val="2"/>
          <w:szCs w:val="24"/>
          <w:lang w:eastAsia="es-HN"/>
          <w14:ligatures w14:val="standardContextual"/>
        </w:rPr>
      </w:pPr>
      <w:hyperlink w:anchor="_Toc175171394" w:history="1">
        <w:r w:rsidRPr="00451561">
          <w:rPr>
            <w:rStyle w:val="Hipervnculo"/>
            <w:rFonts w:cs="Times New Roman"/>
            <w:noProof/>
            <w:szCs w:val="24"/>
          </w:rPr>
          <w:t>2.3</w:t>
        </w:r>
        <w:r w:rsidRPr="00451561">
          <w:rPr>
            <w:rFonts w:eastAsiaTheme="minorEastAsia" w:cs="Times New Roman"/>
            <w:noProof/>
            <w:kern w:val="2"/>
            <w:szCs w:val="24"/>
            <w:lang w:eastAsia="es-HN"/>
            <w14:ligatures w14:val="standardContextual"/>
          </w:rPr>
          <w:tab/>
        </w:r>
        <w:r w:rsidRPr="00451561">
          <w:rPr>
            <w:rStyle w:val="Hipervnculo"/>
            <w:rFonts w:cs="Times New Roman"/>
            <w:noProof/>
            <w:szCs w:val="24"/>
          </w:rPr>
          <w:t>MARCO LEGAL</w:t>
        </w:r>
        <w:r w:rsidRPr="00451561">
          <w:rPr>
            <w:rFonts w:cs="Times New Roman"/>
            <w:noProof/>
            <w:webHidden/>
            <w:szCs w:val="24"/>
          </w:rPr>
          <w:tab/>
        </w:r>
        <w:r w:rsidRPr="00451561">
          <w:rPr>
            <w:rFonts w:cs="Times New Roman"/>
            <w:noProof/>
            <w:webHidden/>
            <w:szCs w:val="24"/>
          </w:rPr>
          <w:fldChar w:fldCharType="begin"/>
        </w:r>
        <w:r w:rsidRPr="00451561">
          <w:rPr>
            <w:rFonts w:cs="Times New Roman"/>
            <w:noProof/>
            <w:webHidden/>
            <w:szCs w:val="24"/>
          </w:rPr>
          <w:instrText xml:space="preserve"> PAGEREF _Toc175171394 \h </w:instrText>
        </w:r>
        <w:r w:rsidRPr="00451561">
          <w:rPr>
            <w:rFonts w:cs="Times New Roman"/>
            <w:noProof/>
            <w:webHidden/>
            <w:szCs w:val="24"/>
          </w:rPr>
        </w:r>
        <w:r w:rsidRPr="00451561">
          <w:rPr>
            <w:rFonts w:cs="Times New Roman"/>
            <w:noProof/>
            <w:webHidden/>
            <w:szCs w:val="24"/>
          </w:rPr>
          <w:fldChar w:fldCharType="separate"/>
        </w:r>
        <w:r w:rsidRPr="00451561">
          <w:rPr>
            <w:rFonts w:cs="Times New Roman"/>
            <w:noProof/>
            <w:webHidden/>
            <w:szCs w:val="24"/>
          </w:rPr>
          <w:t>35</w:t>
        </w:r>
        <w:r w:rsidRPr="00451561">
          <w:rPr>
            <w:rFonts w:cs="Times New Roman"/>
            <w:noProof/>
            <w:webHidden/>
            <w:szCs w:val="24"/>
          </w:rPr>
          <w:fldChar w:fldCharType="end"/>
        </w:r>
      </w:hyperlink>
    </w:p>
    <w:p w14:paraId="792D272A" w14:textId="36665ADE" w:rsidR="00451561" w:rsidRPr="00451561" w:rsidRDefault="00451561" w:rsidP="00451561">
      <w:pPr>
        <w:pStyle w:val="TDC3"/>
        <w:tabs>
          <w:tab w:val="right" w:leader="dot" w:pos="9350"/>
        </w:tabs>
        <w:jc w:val="both"/>
        <w:rPr>
          <w:rFonts w:eastAsiaTheme="minorEastAsia" w:cs="Times New Roman"/>
          <w:noProof/>
          <w:kern w:val="2"/>
          <w:szCs w:val="24"/>
          <w:lang w:eastAsia="es-HN"/>
          <w14:ligatures w14:val="standardContextual"/>
        </w:rPr>
      </w:pPr>
      <w:hyperlink w:anchor="_Toc175171395" w:history="1">
        <w:r w:rsidRPr="00451561">
          <w:rPr>
            <w:rStyle w:val="Hipervnculo"/>
            <w:rFonts w:cs="Times New Roman"/>
            <w:noProof/>
            <w:szCs w:val="24"/>
          </w:rPr>
          <w:t>2.3.1. LEY REGULADORA DE LAS ORGANIZACIONES PRIVADAS DE DESARROLLO QUE SE DEDICAN A ACTIVIDADES FINANCIERAS</w:t>
        </w:r>
        <w:r w:rsidRPr="00451561">
          <w:rPr>
            <w:rFonts w:cs="Times New Roman"/>
            <w:noProof/>
            <w:webHidden/>
            <w:szCs w:val="24"/>
          </w:rPr>
          <w:tab/>
        </w:r>
        <w:r w:rsidRPr="00451561">
          <w:rPr>
            <w:rFonts w:cs="Times New Roman"/>
            <w:noProof/>
            <w:webHidden/>
            <w:szCs w:val="24"/>
          </w:rPr>
          <w:fldChar w:fldCharType="begin"/>
        </w:r>
        <w:r w:rsidRPr="00451561">
          <w:rPr>
            <w:rFonts w:cs="Times New Roman"/>
            <w:noProof/>
            <w:webHidden/>
            <w:szCs w:val="24"/>
          </w:rPr>
          <w:instrText xml:space="preserve"> PAGEREF _Toc175171395 \h </w:instrText>
        </w:r>
        <w:r w:rsidRPr="00451561">
          <w:rPr>
            <w:rFonts w:cs="Times New Roman"/>
            <w:noProof/>
            <w:webHidden/>
            <w:szCs w:val="24"/>
          </w:rPr>
        </w:r>
        <w:r w:rsidRPr="00451561">
          <w:rPr>
            <w:rFonts w:cs="Times New Roman"/>
            <w:noProof/>
            <w:webHidden/>
            <w:szCs w:val="24"/>
          </w:rPr>
          <w:fldChar w:fldCharType="separate"/>
        </w:r>
        <w:r w:rsidRPr="00451561">
          <w:rPr>
            <w:rFonts w:cs="Times New Roman"/>
            <w:noProof/>
            <w:webHidden/>
            <w:szCs w:val="24"/>
          </w:rPr>
          <w:t>35</w:t>
        </w:r>
        <w:r w:rsidRPr="00451561">
          <w:rPr>
            <w:rFonts w:cs="Times New Roman"/>
            <w:noProof/>
            <w:webHidden/>
            <w:szCs w:val="24"/>
          </w:rPr>
          <w:fldChar w:fldCharType="end"/>
        </w:r>
      </w:hyperlink>
    </w:p>
    <w:p w14:paraId="544472F0" w14:textId="6D1DE523" w:rsidR="00451561" w:rsidRPr="00451561" w:rsidRDefault="00451561" w:rsidP="00451561">
      <w:pPr>
        <w:pStyle w:val="TDC3"/>
        <w:tabs>
          <w:tab w:val="right" w:leader="dot" w:pos="9350"/>
        </w:tabs>
        <w:jc w:val="both"/>
        <w:rPr>
          <w:rFonts w:eastAsiaTheme="minorEastAsia" w:cs="Times New Roman"/>
          <w:noProof/>
          <w:kern w:val="2"/>
          <w:szCs w:val="24"/>
          <w:lang w:eastAsia="es-HN"/>
          <w14:ligatures w14:val="standardContextual"/>
        </w:rPr>
      </w:pPr>
      <w:hyperlink w:anchor="_Toc175171396" w:history="1">
        <w:r w:rsidRPr="00451561">
          <w:rPr>
            <w:rStyle w:val="Hipervnculo"/>
            <w:rFonts w:cs="Times New Roman"/>
            <w:noProof/>
            <w:szCs w:val="24"/>
          </w:rPr>
          <w:t>2.3.2. LEY DEL SISTEMA FINANCIERO</w:t>
        </w:r>
        <w:r w:rsidRPr="00451561">
          <w:rPr>
            <w:rFonts w:cs="Times New Roman"/>
            <w:noProof/>
            <w:webHidden/>
            <w:szCs w:val="24"/>
          </w:rPr>
          <w:tab/>
        </w:r>
        <w:r w:rsidRPr="00451561">
          <w:rPr>
            <w:rFonts w:cs="Times New Roman"/>
            <w:noProof/>
            <w:webHidden/>
            <w:szCs w:val="24"/>
          </w:rPr>
          <w:fldChar w:fldCharType="begin"/>
        </w:r>
        <w:r w:rsidRPr="00451561">
          <w:rPr>
            <w:rFonts w:cs="Times New Roman"/>
            <w:noProof/>
            <w:webHidden/>
            <w:szCs w:val="24"/>
          </w:rPr>
          <w:instrText xml:space="preserve"> PAGEREF _Toc175171396 \h </w:instrText>
        </w:r>
        <w:r w:rsidRPr="00451561">
          <w:rPr>
            <w:rFonts w:cs="Times New Roman"/>
            <w:noProof/>
            <w:webHidden/>
            <w:szCs w:val="24"/>
          </w:rPr>
        </w:r>
        <w:r w:rsidRPr="00451561">
          <w:rPr>
            <w:rFonts w:cs="Times New Roman"/>
            <w:noProof/>
            <w:webHidden/>
            <w:szCs w:val="24"/>
          </w:rPr>
          <w:fldChar w:fldCharType="separate"/>
        </w:r>
        <w:r w:rsidRPr="00451561">
          <w:rPr>
            <w:rFonts w:cs="Times New Roman"/>
            <w:noProof/>
            <w:webHidden/>
            <w:szCs w:val="24"/>
          </w:rPr>
          <w:t>37</w:t>
        </w:r>
        <w:r w:rsidRPr="00451561">
          <w:rPr>
            <w:rFonts w:cs="Times New Roman"/>
            <w:noProof/>
            <w:webHidden/>
            <w:szCs w:val="24"/>
          </w:rPr>
          <w:fldChar w:fldCharType="end"/>
        </w:r>
      </w:hyperlink>
    </w:p>
    <w:p w14:paraId="60FA449E" w14:textId="269767F5" w:rsidR="00451561" w:rsidRPr="00451561" w:rsidRDefault="00451561" w:rsidP="00451561">
      <w:pPr>
        <w:pStyle w:val="TDC3"/>
        <w:tabs>
          <w:tab w:val="right" w:leader="dot" w:pos="9350"/>
        </w:tabs>
        <w:jc w:val="both"/>
        <w:rPr>
          <w:rFonts w:eastAsiaTheme="minorEastAsia" w:cs="Times New Roman"/>
          <w:noProof/>
          <w:kern w:val="2"/>
          <w:szCs w:val="24"/>
          <w:lang w:eastAsia="es-HN"/>
          <w14:ligatures w14:val="standardContextual"/>
        </w:rPr>
      </w:pPr>
      <w:hyperlink w:anchor="_Toc175171397" w:history="1">
        <w:r w:rsidRPr="00451561">
          <w:rPr>
            <w:rStyle w:val="Hipervnculo"/>
            <w:rFonts w:cs="Times New Roman"/>
            <w:noProof/>
            <w:szCs w:val="24"/>
          </w:rPr>
          <w:t>2.3.3. LEY DE LA COMISIÓN NACIONAL DE BANCOS Y SEGUROS</w:t>
        </w:r>
        <w:r w:rsidRPr="00451561">
          <w:rPr>
            <w:rFonts w:cs="Times New Roman"/>
            <w:noProof/>
            <w:webHidden/>
            <w:szCs w:val="24"/>
          </w:rPr>
          <w:tab/>
        </w:r>
        <w:r w:rsidRPr="00451561">
          <w:rPr>
            <w:rFonts w:cs="Times New Roman"/>
            <w:noProof/>
            <w:webHidden/>
            <w:szCs w:val="24"/>
          </w:rPr>
          <w:fldChar w:fldCharType="begin"/>
        </w:r>
        <w:r w:rsidRPr="00451561">
          <w:rPr>
            <w:rFonts w:cs="Times New Roman"/>
            <w:noProof/>
            <w:webHidden/>
            <w:szCs w:val="24"/>
          </w:rPr>
          <w:instrText xml:space="preserve"> PAGEREF _Toc175171397 \h </w:instrText>
        </w:r>
        <w:r w:rsidRPr="00451561">
          <w:rPr>
            <w:rFonts w:cs="Times New Roman"/>
            <w:noProof/>
            <w:webHidden/>
            <w:szCs w:val="24"/>
          </w:rPr>
        </w:r>
        <w:r w:rsidRPr="00451561">
          <w:rPr>
            <w:rFonts w:cs="Times New Roman"/>
            <w:noProof/>
            <w:webHidden/>
            <w:szCs w:val="24"/>
          </w:rPr>
          <w:fldChar w:fldCharType="separate"/>
        </w:r>
        <w:r w:rsidRPr="00451561">
          <w:rPr>
            <w:rFonts w:cs="Times New Roman"/>
            <w:noProof/>
            <w:webHidden/>
            <w:szCs w:val="24"/>
          </w:rPr>
          <w:t>38</w:t>
        </w:r>
        <w:r w:rsidRPr="00451561">
          <w:rPr>
            <w:rFonts w:cs="Times New Roman"/>
            <w:noProof/>
            <w:webHidden/>
            <w:szCs w:val="24"/>
          </w:rPr>
          <w:fldChar w:fldCharType="end"/>
        </w:r>
      </w:hyperlink>
    </w:p>
    <w:p w14:paraId="7C273CA8" w14:textId="7418A34C" w:rsidR="00451561" w:rsidRPr="00451561" w:rsidRDefault="00451561" w:rsidP="00451561">
      <w:pPr>
        <w:pStyle w:val="TDC1"/>
        <w:tabs>
          <w:tab w:val="right" w:leader="dot" w:pos="9350"/>
        </w:tabs>
        <w:jc w:val="both"/>
        <w:rPr>
          <w:rFonts w:eastAsiaTheme="minorEastAsia" w:cs="Times New Roman"/>
          <w:noProof/>
          <w:kern w:val="2"/>
          <w:szCs w:val="24"/>
          <w:lang w:eastAsia="es-HN"/>
          <w14:ligatures w14:val="standardContextual"/>
        </w:rPr>
      </w:pPr>
      <w:hyperlink w:anchor="_Toc175171398" w:history="1">
        <w:r w:rsidRPr="00451561">
          <w:rPr>
            <w:rStyle w:val="Hipervnculo"/>
            <w:rFonts w:cs="Times New Roman"/>
            <w:noProof/>
            <w:szCs w:val="24"/>
          </w:rPr>
          <w:t>CAPÍTULO III. METODOLOGÍA</w:t>
        </w:r>
        <w:r w:rsidRPr="00451561">
          <w:rPr>
            <w:rFonts w:cs="Times New Roman"/>
            <w:noProof/>
            <w:webHidden/>
            <w:szCs w:val="24"/>
          </w:rPr>
          <w:tab/>
        </w:r>
        <w:r w:rsidRPr="00451561">
          <w:rPr>
            <w:rFonts w:cs="Times New Roman"/>
            <w:noProof/>
            <w:webHidden/>
            <w:szCs w:val="24"/>
          </w:rPr>
          <w:fldChar w:fldCharType="begin"/>
        </w:r>
        <w:r w:rsidRPr="00451561">
          <w:rPr>
            <w:rFonts w:cs="Times New Roman"/>
            <w:noProof/>
            <w:webHidden/>
            <w:szCs w:val="24"/>
          </w:rPr>
          <w:instrText xml:space="preserve"> PAGEREF _Toc175171398 \h </w:instrText>
        </w:r>
        <w:r w:rsidRPr="00451561">
          <w:rPr>
            <w:rFonts w:cs="Times New Roman"/>
            <w:noProof/>
            <w:webHidden/>
            <w:szCs w:val="24"/>
          </w:rPr>
        </w:r>
        <w:r w:rsidRPr="00451561">
          <w:rPr>
            <w:rFonts w:cs="Times New Roman"/>
            <w:noProof/>
            <w:webHidden/>
            <w:szCs w:val="24"/>
          </w:rPr>
          <w:fldChar w:fldCharType="separate"/>
        </w:r>
        <w:r w:rsidRPr="00451561">
          <w:rPr>
            <w:rFonts w:cs="Times New Roman"/>
            <w:noProof/>
            <w:webHidden/>
            <w:szCs w:val="24"/>
          </w:rPr>
          <w:t>41</w:t>
        </w:r>
        <w:r w:rsidRPr="00451561">
          <w:rPr>
            <w:rFonts w:cs="Times New Roman"/>
            <w:noProof/>
            <w:webHidden/>
            <w:szCs w:val="24"/>
          </w:rPr>
          <w:fldChar w:fldCharType="end"/>
        </w:r>
      </w:hyperlink>
    </w:p>
    <w:p w14:paraId="084F0261" w14:textId="2CB60E2A" w:rsidR="00451561" w:rsidRPr="00451561" w:rsidRDefault="00451561" w:rsidP="00451561">
      <w:pPr>
        <w:pStyle w:val="TDC2"/>
        <w:tabs>
          <w:tab w:val="left" w:pos="960"/>
          <w:tab w:val="right" w:leader="dot" w:pos="9350"/>
        </w:tabs>
        <w:jc w:val="both"/>
        <w:rPr>
          <w:rFonts w:eastAsiaTheme="minorEastAsia" w:cs="Times New Roman"/>
          <w:noProof/>
          <w:kern w:val="2"/>
          <w:szCs w:val="24"/>
          <w:lang w:eastAsia="es-HN"/>
          <w14:ligatures w14:val="standardContextual"/>
        </w:rPr>
      </w:pPr>
      <w:hyperlink w:anchor="_Toc175171400" w:history="1">
        <w:r w:rsidRPr="00451561">
          <w:rPr>
            <w:rStyle w:val="Hipervnculo"/>
            <w:rFonts w:cs="Times New Roman"/>
            <w:noProof/>
            <w:szCs w:val="24"/>
          </w:rPr>
          <w:t>3.1</w:t>
        </w:r>
        <w:r w:rsidRPr="00451561">
          <w:rPr>
            <w:rFonts w:eastAsiaTheme="minorEastAsia" w:cs="Times New Roman"/>
            <w:noProof/>
            <w:kern w:val="2"/>
            <w:szCs w:val="24"/>
            <w:lang w:eastAsia="es-HN"/>
            <w14:ligatures w14:val="standardContextual"/>
          </w:rPr>
          <w:tab/>
        </w:r>
        <w:r w:rsidRPr="00451561">
          <w:rPr>
            <w:rStyle w:val="Hipervnculo"/>
            <w:rFonts w:cs="Times New Roman"/>
            <w:noProof/>
            <w:szCs w:val="24"/>
          </w:rPr>
          <w:t>CONGRUENCIA METODOLÓGICA</w:t>
        </w:r>
        <w:r w:rsidRPr="00451561">
          <w:rPr>
            <w:rFonts w:cs="Times New Roman"/>
            <w:noProof/>
            <w:webHidden/>
            <w:szCs w:val="24"/>
          </w:rPr>
          <w:tab/>
        </w:r>
        <w:r w:rsidRPr="00451561">
          <w:rPr>
            <w:rFonts w:cs="Times New Roman"/>
            <w:noProof/>
            <w:webHidden/>
            <w:szCs w:val="24"/>
          </w:rPr>
          <w:fldChar w:fldCharType="begin"/>
        </w:r>
        <w:r w:rsidRPr="00451561">
          <w:rPr>
            <w:rFonts w:cs="Times New Roman"/>
            <w:noProof/>
            <w:webHidden/>
            <w:szCs w:val="24"/>
          </w:rPr>
          <w:instrText xml:space="preserve"> PAGEREF _Toc175171400 \h </w:instrText>
        </w:r>
        <w:r w:rsidRPr="00451561">
          <w:rPr>
            <w:rFonts w:cs="Times New Roman"/>
            <w:noProof/>
            <w:webHidden/>
            <w:szCs w:val="24"/>
          </w:rPr>
        </w:r>
        <w:r w:rsidRPr="00451561">
          <w:rPr>
            <w:rFonts w:cs="Times New Roman"/>
            <w:noProof/>
            <w:webHidden/>
            <w:szCs w:val="24"/>
          </w:rPr>
          <w:fldChar w:fldCharType="separate"/>
        </w:r>
        <w:r w:rsidRPr="00451561">
          <w:rPr>
            <w:rFonts w:cs="Times New Roman"/>
            <w:noProof/>
            <w:webHidden/>
            <w:szCs w:val="24"/>
          </w:rPr>
          <w:t>41</w:t>
        </w:r>
        <w:r w:rsidRPr="00451561">
          <w:rPr>
            <w:rFonts w:cs="Times New Roman"/>
            <w:noProof/>
            <w:webHidden/>
            <w:szCs w:val="24"/>
          </w:rPr>
          <w:fldChar w:fldCharType="end"/>
        </w:r>
      </w:hyperlink>
    </w:p>
    <w:p w14:paraId="5A1AF4C4" w14:textId="6E0C4874" w:rsidR="00451561" w:rsidRPr="00451561" w:rsidRDefault="00451561" w:rsidP="00451561">
      <w:pPr>
        <w:pStyle w:val="TDC3"/>
        <w:tabs>
          <w:tab w:val="right" w:leader="dot" w:pos="9350"/>
        </w:tabs>
        <w:jc w:val="both"/>
        <w:rPr>
          <w:rFonts w:eastAsiaTheme="minorEastAsia" w:cs="Times New Roman"/>
          <w:noProof/>
          <w:kern w:val="2"/>
          <w:szCs w:val="24"/>
          <w:lang w:eastAsia="es-HN"/>
          <w14:ligatures w14:val="standardContextual"/>
        </w:rPr>
      </w:pPr>
      <w:hyperlink w:anchor="_Toc175171401" w:history="1">
        <w:r w:rsidRPr="00451561">
          <w:rPr>
            <w:rStyle w:val="Hipervnculo"/>
            <w:rFonts w:cs="Times New Roman"/>
            <w:noProof/>
            <w:szCs w:val="24"/>
          </w:rPr>
          <w:t>3.1.1. MATRIZ METODOLÓGICA</w:t>
        </w:r>
        <w:r w:rsidRPr="00451561">
          <w:rPr>
            <w:rFonts w:cs="Times New Roman"/>
            <w:noProof/>
            <w:webHidden/>
            <w:szCs w:val="24"/>
          </w:rPr>
          <w:tab/>
        </w:r>
        <w:r w:rsidRPr="00451561">
          <w:rPr>
            <w:rFonts w:cs="Times New Roman"/>
            <w:noProof/>
            <w:webHidden/>
            <w:szCs w:val="24"/>
          </w:rPr>
          <w:fldChar w:fldCharType="begin"/>
        </w:r>
        <w:r w:rsidRPr="00451561">
          <w:rPr>
            <w:rFonts w:cs="Times New Roman"/>
            <w:noProof/>
            <w:webHidden/>
            <w:szCs w:val="24"/>
          </w:rPr>
          <w:instrText xml:space="preserve"> PAGEREF _Toc175171401 \h </w:instrText>
        </w:r>
        <w:r w:rsidRPr="00451561">
          <w:rPr>
            <w:rFonts w:cs="Times New Roman"/>
            <w:noProof/>
            <w:webHidden/>
            <w:szCs w:val="24"/>
          </w:rPr>
        </w:r>
        <w:r w:rsidRPr="00451561">
          <w:rPr>
            <w:rFonts w:cs="Times New Roman"/>
            <w:noProof/>
            <w:webHidden/>
            <w:szCs w:val="24"/>
          </w:rPr>
          <w:fldChar w:fldCharType="separate"/>
        </w:r>
        <w:r w:rsidRPr="00451561">
          <w:rPr>
            <w:rFonts w:cs="Times New Roman"/>
            <w:noProof/>
            <w:webHidden/>
            <w:szCs w:val="24"/>
          </w:rPr>
          <w:t>41</w:t>
        </w:r>
        <w:r w:rsidRPr="00451561">
          <w:rPr>
            <w:rFonts w:cs="Times New Roman"/>
            <w:noProof/>
            <w:webHidden/>
            <w:szCs w:val="24"/>
          </w:rPr>
          <w:fldChar w:fldCharType="end"/>
        </w:r>
      </w:hyperlink>
    </w:p>
    <w:p w14:paraId="572CDF84" w14:textId="4F2F79D1" w:rsidR="00451561" w:rsidRPr="00451561" w:rsidRDefault="00451561" w:rsidP="00451561">
      <w:pPr>
        <w:pStyle w:val="TDC3"/>
        <w:tabs>
          <w:tab w:val="right" w:leader="dot" w:pos="9350"/>
        </w:tabs>
        <w:jc w:val="both"/>
        <w:rPr>
          <w:rFonts w:eastAsiaTheme="minorEastAsia" w:cs="Times New Roman"/>
          <w:noProof/>
          <w:kern w:val="2"/>
          <w:szCs w:val="24"/>
          <w:lang w:eastAsia="es-HN"/>
          <w14:ligatures w14:val="standardContextual"/>
        </w:rPr>
      </w:pPr>
      <w:hyperlink w:anchor="_Toc175171402" w:history="1">
        <w:r w:rsidRPr="00451561">
          <w:rPr>
            <w:rStyle w:val="Hipervnculo"/>
            <w:rFonts w:cs="Times New Roman"/>
            <w:noProof/>
            <w:szCs w:val="24"/>
          </w:rPr>
          <w:t>3.1.2. ESQUEMA DE VARIABLES DE ESTUDIO</w:t>
        </w:r>
        <w:r w:rsidRPr="00451561">
          <w:rPr>
            <w:rFonts w:cs="Times New Roman"/>
            <w:noProof/>
            <w:webHidden/>
            <w:szCs w:val="24"/>
          </w:rPr>
          <w:tab/>
        </w:r>
        <w:r w:rsidRPr="00451561">
          <w:rPr>
            <w:rFonts w:cs="Times New Roman"/>
            <w:noProof/>
            <w:webHidden/>
            <w:szCs w:val="24"/>
          </w:rPr>
          <w:fldChar w:fldCharType="begin"/>
        </w:r>
        <w:r w:rsidRPr="00451561">
          <w:rPr>
            <w:rFonts w:cs="Times New Roman"/>
            <w:noProof/>
            <w:webHidden/>
            <w:szCs w:val="24"/>
          </w:rPr>
          <w:instrText xml:space="preserve"> PAGEREF _Toc175171402 \h </w:instrText>
        </w:r>
        <w:r w:rsidRPr="00451561">
          <w:rPr>
            <w:rFonts w:cs="Times New Roman"/>
            <w:noProof/>
            <w:webHidden/>
            <w:szCs w:val="24"/>
          </w:rPr>
        </w:r>
        <w:r w:rsidRPr="00451561">
          <w:rPr>
            <w:rFonts w:cs="Times New Roman"/>
            <w:noProof/>
            <w:webHidden/>
            <w:szCs w:val="24"/>
          </w:rPr>
          <w:fldChar w:fldCharType="separate"/>
        </w:r>
        <w:r w:rsidRPr="00451561">
          <w:rPr>
            <w:rFonts w:cs="Times New Roman"/>
            <w:noProof/>
            <w:webHidden/>
            <w:szCs w:val="24"/>
          </w:rPr>
          <w:t>46</w:t>
        </w:r>
        <w:r w:rsidRPr="00451561">
          <w:rPr>
            <w:rFonts w:cs="Times New Roman"/>
            <w:noProof/>
            <w:webHidden/>
            <w:szCs w:val="24"/>
          </w:rPr>
          <w:fldChar w:fldCharType="end"/>
        </w:r>
      </w:hyperlink>
    </w:p>
    <w:p w14:paraId="6F879C66" w14:textId="5F14144E" w:rsidR="00451561" w:rsidRPr="00451561" w:rsidRDefault="00451561" w:rsidP="00451561">
      <w:pPr>
        <w:pStyle w:val="TDC3"/>
        <w:tabs>
          <w:tab w:val="right" w:leader="dot" w:pos="9350"/>
        </w:tabs>
        <w:jc w:val="both"/>
        <w:rPr>
          <w:rFonts w:eastAsiaTheme="minorEastAsia" w:cs="Times New Roman"/>
          <w:noProof/>
          <w:kern w:val="2"/>
          <w:szCs w:val="24"/>
          <w:lang w:eastAsia="es-HN"/>
          <w14:ligatures w14:val="standardContextual"/>
        </w:rPr>
      </w:pPr>
      <w:hyperlink w:anchor="_Toc175171403" w:history="1">
        <w:r w:rsidRPr="00451561">
          <w:rPr>
            <w:rStyle w:val="Hipervnculo"/>
            <w:rFonts w:cs="Times New Roman"/>
            <w:noProof/>
            <w:szCs w:val="24"/>
          </w:rPr>
          <w:t>3.1.3. OPERACIONALIZACIÓN DE LAS VARIABLES</w:t>
        </w:r>
        <w:r w:rsidRPr="00451561">
          <w:rPr>
            <w:rFonts w:cs="Times New Roman"/>
            <w:noProof/>
            <w:webHidden/>
            <w:szCs w:val="24"/>
          </w:rPr>
          <w:tab/>
        </w:r>
        <w:r w:rsidRPr="00451561">
          <w:rPr>
            <w:rFonts w:cs="Times New Roman"/>
            <w:noProof/>
            <w:webHidden/>
            <w:szCs w:val="24"/>
          </w:rPr>
          <w:fldChar w:fldCharType="begin"/>
        </w:r>
        <w:r w:rsidRPr="00451561">
          <w:rPr>
            <w:rFonts w:cs="Times New Roman"/>
            <w:noProof/>
            <w:webHidden/>
            <w:szCs w:val="24"/>
          </w:rPr>
          <w:instrText xml:space="preserve"> PAGEREF _Toc175171403 \h </w:instrText>
        </w:r>
        <w:r w:rsidRPr="00451561">
          <w:rPr>
            <w:rFonts w:cs="Times New Roman"/>
            <w:noProof/>
            <w:webHidden/>
            <w:szCs w:val="24"/>
          </w:rPr>
        </w:r>
        <w:r w:rsidRPr="00451561">
          <w:rPr>
            <w:rFonts w:cs="Times New Roman"/>
            <w:noProof/>
            <w:webHidden/>
            <w:szCs w:val="24"/>
          </w:rPr>
          <w:fldChar w:fldCharType="separate"/>
        </w:r>
        <w:r w:rsidRPr="00451561">
          <w:rPr>
            <w:rFonts w:cs="Times New Roman"/>
            <w:noProof/>
            <w:webHidden/>
            <w:szCs w:val="24"/>
          </w:rPr>
          <w:t>46</w:t>
        </w:r>
        <w:r w:rsidRPr="00451561">
          <w:rPr>
            <w:rFonts w:cs="Times New Roman"/>
            <w:noProof/>
            <w:webHidden/>
            <w:szCs w:val="24"/>
          </w:rPr>
          <w:fldChar w:fldCharType="end"/>
        </w:r>
      </w:hyperlink>
    </w:p>
    <w:p w14:paraId="4087DFE7" w14:textId="143A79D2" w:rsidR="00451561" w:rsidRPr="00451561" w:rsidRDefault="00451561" w:rsidP="00451561">
      <w:pPr>
        <w:pStyle w:val="TDC3"/>
        <w:tabs>
          <w:tab w:val="right" w:leader="dot" w:pos="9350"/>
        </w:tabs>
        <w:jc w:val="both"/>
        <w:rPr>
          <w:rFonts w:eastAsiaTheme="minorEastAsia" w:cs="Times New Roman"/>
          <w:noProof/>
          <w:kern w:val="2"/>
          <w:szCs w:val="24"/>
          <w:lang w:eastAsia="es-HN"/>
          <w14:ligatures w14:val="standardContextual"/>
        </w:rPr>
      </w:pPr>
      <w:hyperlink w:anchor="_Toc175171404" w:history="1">
        <w:r w:rsidRPr="00451561">
          <w:rPr>
            <w:rStyle w:val="Hipervnculo"/>
            <w:rFonts w:cs="Times New Roman"/>
            <w:noProof/>
            <w:szCs w:val="24"/>
          </w:rPr>
          <w:t>3.1.4. HIPÓTESIS</w:t>
        </w:r>
        <w:r w:rsidRPr="00451561">
          <w:rPr>
            <w:rFonts w:cs="Times New Roman"/>
            <w:noProof/>
            <w:webHidden/>
            <w:szCs w:val="24"/>
          </w:rPr>
          <w:tab/>
        </w:r>
        <w:r w:rsidRPr="00451561">
          <w:rPr>
            <w:rFonts w:cs="Times New Roman"/>
            <w:noProof/>
            <w:webHidden/>
            <w:szCs w:val="24"/>
          </w:rPr>
          <w:fldChar w:fldCharType="begin"/>
        </w:r>
        <w:r w:rsidRPr="00451561">
          <w:rPr>
            <w:rFonts w:cs="Times New Roman"/>
            <w:noProof/>
            <w:webHidden/>
            <w:szCs w:val="24"/>
          </w:rPr>
          <w:instrText xml:space="preserve"> PAGEREF _Toc175171404 \h </w:instrText>
        </w:r>
        <w:r w:rsidRPr="00451561">
          <w:rPr>
            <w:rFonts w:cs="Times New Roman"/>
            <w:noProof/>
            <w:webHidden/>
            <w:szCs w:val="24"/>
          </w:rPr>
        </w:r>
        <w:r w:rsidRPr="00451561">
          <w:rPr>
            <w:rFonts w:cs="Times New Roman"/>
            <w:noProof/>
            <w:webHidden/>
            <w:szCs w:val="24"/>
          </w:rPr>
          <w:fldChar w:fldCharType="separate"/>
        </w:r>
        <w:r w:rsidRPr="00451561">
          <w:rPr>
            <w:rFonts w:cs="Times New Roman"/>
            <w:noProof/>
            <w:webHidden/>
            <w:szCs w:val="24"/>
          </w:rPr>
          <w:t>53</w:t>
        </w:r>
        <w:r w:rsidRPr="00451561">
          <w:rPr>
            <w:rFonts w:cs="Times New Roman"/>
            <w:noProof/>
            <w:webHidden/>
            <w:szCs w:val="24"/>
          </w:rPr>
          <w:fldChar w:fldCharType="end"/>
        </w:r>
      </w:hyperlink>
    </w:p>
    <w:p w14:paraId="37A57BA8" w14:textId="11BAFAC5" w:rsidR="00451561" w:rsidRPr="00451561" w:rsidRDefault="00451561" w:rsidP="00451561">
      <w:pPr>
        <w:pStyle w:val="TDC2"/>
        <w:tabs>
          <w:tab w:val="right" w:leader="dot" w:pos="9350"/>
        </w:tabs>
        <w:jc w:val="both"/>
        <w:rPr>
          <w:rFonts w:eastAsiaTheme="minorEastAsia" w:cs="Times New Roman"/>
          <w:noProof/>
          <w:kern w:val="2"/>
          <w:szCs w:val="24"/>
          <w:lang w:eastAsia="es-HN"/>
          <w14:ligatures w14:val="standardContextual"/>
        </w:rPr>
      </w:pPr>
      <w:hyperlink w:anchor="_Toc175171405" w:history="1">
        <w:r w:rsidRPr="00451561">
          <w:rPr>
            <w:rStyle w:val="Hipervnculo"/>
            <w:rFonts w:cs="Times New Roman"/>
            <w:noProof/>
            <w:szCs w:val="24"/>
          </w:rPr>
          <w:t>3.2. ENFOQUE Y MÉTODOS</w:t>
        </w:r>
        <w:r w:rsidRPr="00451561">
          <w:rPr>
            <w:rFonts w:cs="Times New Roman"/>
            <w:noProof/>
            <w:webHidden/>
            <w:szCs w:val="24"/>
          </w:rPr>
          <w:tab/>
        </w:r>
        <w:r w:rsidRPr="00451561">
          <w:rPr>
            <w:rFonts w:cs="Times New Roman"/>
            <w:noProof/>
            <w:webHidden/>
            <w:szCs w:val="24"/>
          </w:rPr>
          <w:fldChar w:fldCharType="begin"/>
        </w:r>
        <w:r w:rsidRPr="00451561">
          <w:rPr>
            <w:rFonts w:cs="Times New Roman"/>
            <w:noProof/>
            <w:webHidden/>
            <w:szCs w:val="24"/>
          </w:rPr>
          <w:instrText xml:space="preserve"> PAGEREF _Toc175171405 \h </w:instrText>
        </w:r>
        <w:r w:rsidRPr="00451561">
          <w:rPr>
            <w:rFonts w:cs="Times New Roman"/>
            <w:noProof/>
            <w:webHidden/>
            <w:szCs w:val="24"/>
          </w:rPr>
        </w:r>
        <w:r w:rsidRPr="00451561">
          <w:rPr>
            <w:rFonts w:cs="Times New Roman"/>
            <w:noProof/>
            <w:webHidden/>
            <w:szCs w:val="24"/>
          </w:rPr>
          <w:fldChar w:fldCharType="separate"/>
        </w:r>
        <w:r w:rsidRPr="00451561">
          <w:rPr>
            <w:rFonts w:cs="Times New Roman"/>
            <w:noProof/>
            <w:webHidden/>
            <w:szCs w:val="24"/>
          </w:rPr>
          <w:t>53</w:t>
        </w:r>
        <w:r w:rsidRPr="00451561">
          <w:rPr>
            <w:rFonts w:cs="Times New Roman"/>
            <w:noProof/>
            <w:webHidden/>
            <w:szCs w:val="24"/>
          </w:rPr>
          <w:fldChar w:fldCharType="end"/>
        </w:r>
      </w:hyperlink>
    </w:p>
    <w:p w14:paraId="6285B498" w14:textId="51A23A75" w:rsidR="00451561" w:rsidRPr="00451561" w:rsidRDefault="00451561" w:rsidP="00451561">
      <w:pPr>
        <w:pStyle w:val="TDC2"/>
        <w:tabs>
          <w:tab w:val="left" w:pos="960"/>
          <w:tab w:val="right" w:leader="dot" w:pos="9350"/>
        </w:tabs>
        <w:jc w:val="both"/>
        <w:rPr>
          <w:rFonts w:eastAsiaTheme="minorEastAsia" w:cs="Times New Roman"/>
          <w:noProof/>
          <w:kern w:val="2"/>
          <w:szCs w:val="24"/>
          <w:lang w:eastAsia="es-HN"/>
          <w14:ligatures w14:val="standardContextual"/>
        </w:rPr>
      </w:pPr>
      <w:hyperlink w:anchor="_Toc175171406" w:history="1">
        <w:r w:rsidRPr="00451561">
          <w:rPr>
            <w:rStyle w:val="Hipervnculo"/>
            <w:rFonts w:cs="Times New Roman"/>
            <w:noProof/>
            <w:szCs w:val="24"/>
          </w:rPr>
          <w:t>3.3.</w:t>
        </w:r>
        <w:r w:rsidRPr="00451561">
          <w:rPr>
            <w:rFonts w:eastAsiaTheme="minorEastAsia" w:cs="Times New Roman"/>
            <w:noProof/>
            <w:kern w:val="2"/>
            <w:szCs w:val="24"/>
            <w:lang w:eastAsia="es-HN"/>
            <w14:ligatures w14:val="standardContextual"/>
          </w:rPr>
          <w:tab/>
        </w:r>
        <w:r w:rsidRPr="00451561">
          <w:rPr>
            <w:rStyle w:val="Hipervnculo"/>
            <w:rFonts w:cs="Times New Roman"/>
            <w:noProof/>
            <w:szCs w:val="24"/>
          </w:rPr>
          <w:t>DISEÑO DE LA INVESTIGACIÓN</w:t>
        </w:r>
        <w:r w:rsidRPr="00451561">
          <w:rPr>
            <w:rFonts w:cs="Times New Roman"/>
            <w:noProof/>
            <w:webHidden/>
            <w:szCs w:val="24"/>
          </w:rPr>
          <w:tab/>
        </w:r>
        <w:r w:rsidRPr="00451561">
          <w:rPr>
            <w:rFonts w:cs="Times New Roman"/>
            <w:noProof/>
            <w:webHidden/>
            <w:szCs w:val="24"/>
          </w:rPr>
          <w:fldChar w:fldCharType="begin"/>
        </w:r>
        <w:r w:rsidRPr="00451561">
          <w:rPr>
            <w:rFonts w:cs="Times New Roman"/>
            <w:noProof/>
            <w:webHidden/>
            <w:szCs w:val="24"/>
          </w:rPr>
          <w:instrText xml:space="preserve"> PAGEREF _Toc175171406 \h </w:instrText>
        </w:r>
        <w:r w:rsidRPr="00451561">
          <w:rPr>
            <w:rFonts w:cs="Times New Roman"/>
            <w:noProof/>
            <w:webHidden/>
            <w:szCs w:val="24"/>
          </w:rPr>
        </w:r>
        <w:r w:rsidRPr="00451561">
          <w:rPr>
            <w:rFonts w:cs="Times New Roman"/>
            <w:noProof/>
            <w:webHidden/>
            <w:szCs w:val="24"/>
          </w:rPr>
          <w:fldChar w:fldCharType="separate"/>
        </w:r>
        <w:r w:rsidRPr="00451561">
          <w:rPr>
            <w:rFonts w:cs="Times New Roman"/>
            <w:noProof/>
            <w:webHidden/>
            <w:szCs w:val="24"/>
          </w:rPr>
          <w:t>55</w:t>
        </w:r>
        <w:r w:rsidRPr="00451561">
          <w:rPr>
            <w:rFonts w:cs="Times New Roman"/>
            <w:noProof/>
            <w:webHidden/>
            <w:szCs w:val="24"/>
          </w:rPr>
          <w:fldChar w:fldCharType="end"/>
        </w:r>
      </w:hyperlink>
    </w:p>
    <w:p w14:paraId="3E6E1FE2" w14:textId="4848BFB1" w:rsidR="00451561" w:rsidRPr="00451561" w:rsidRDefault="00451561" w:rsidP="00451561">
      <w:pPr>
        <w:pStyle w:val="TDC3"/>
        <w:tabs>
          <w:tab w:val="left" w:pos="1440"/>
          <w:tab w:val="right" w:leader="dot" w:pos="9350"/>
        </w:tabs>
        <w:jc w:val="both"/>
        <w:rPr>
          <w:rFonts w:eastAsiaTheme="minorEastAsia" w:cs="Times New Roman"/>
          <w:noProof/>
          <w:kern w:val="2"/>
          <w:szCs w:val="24"/>
          <w:lang w:eastAsia="es-HN"/>
          <w14:ligatures w14:val="standardContextual"/>
        </w:rPr>
      </w:pPr>
      <w:hyperlink w:anchor="_Toc175171407" w:history="1">
        <w:r w:rsidRPr="00451561">
          <w:rPr>
            <w:rStyle w:val="Hipervnculo"/>
            <w:rFonts w:cs="Times New Roman"/>
            <w:noProof/>
            <w:szCs w:val="24"/>
          </w:rPr>
          <w:t>3.3.1.</w:t>
        </w:r>
        <w:r w:rsidRPr="00451561">
          <w:rPr>
            <w:rFonts w:eastAsiaTheme="minorEastAsia" w:cs="Times New Roman"/>
            <w:noProof/>
            <w:kern w:val="2"/>
            <w:szCs w:val="24"/>
            <w:lang w:eastAsia="es-HN"/>
            <w14:ligatures w14:val="standardContextual"/>
          </w:rPr>
          <w:tab/>
        </w:r>
        <w:r w:rsidRPr="00451561">
          <w:rPr>
            <w:rStyle w:val="Hipervnculo"/>
            <w:rFonts w:cs="Times New Roman"/>
            <w:noProof/>
            <w:szCs w:val="24"/>
          </w:rPr>
          <w:t>UNIDAD DE ANÀLISIS</w:t>
        </w:r>
        <w:r w:rsidRPr="00451561">
          <w:rPr>
            <w:rFonts w:cs="Times New Roman"/>
            <w:noProof/>
            <w:webHidden/>
            <w:szCs w:val="24"/>
          </w:rPr>
          <w:tab/>
        </w:r>
        <w:r w:rsidRPr="00451561">
          <w:rPr>
            <w:rFonts w:cs="Times New Roman"/>
            <w:noProof/>
            <w:webHidden/>
            <w:szCs w:val="24"/>
          </w:rPr>
          <w:fldChar w:fldCharType="begin"/>
        </w:r>
        <w:r w:rsidRPr="00451561">
          <w:rPr>
            <w:rFonts w:cs="Times New Roman"/>
            <w:noProof/>
            <w:webHidden/>
            <w:szCs w:val="24"/>
          </w:rPr>
          <w:instrText xml:space="preserve"> PAGEREF _Toc175171407 \h </w:instrText>
        </w:r>
        <w:r w:rsidRPr="00451561">
          <w:rPr>
            <w:rFonts w:cs="Times New Roman"/>
            <w:noProof/>
            <w:webHidden/>
            <w:szCs w:val="24"/>
          </w:rPr>
        </w:r>
        <w:r w:rsidRPr="00451561">
          <w:rPr>
            <w:rFonts w:cs="Times New Roman"/>
            <w:noProof/>
            <w:webHidden/>
            <w:szCs w:val="24"/>
          </w:rPr>
          <w:fldChar w:fldCharType="separate"/>
        </w:r>
        <w:r w:rsidRPr="00451561">
          <w:rPr>
            <w:rFonts w:cs="Times New Roman"/>
            <w:noProof/>
            <w:webHidden/>
            <w:szCs w:val="24"/>
          </w:rPr>
          <w:t>55</w:t>
        </w:r>
        <w:r w:rsidRPr="00451561">
          <w:rPr>
            <w:rFonts w:cs="Times New Roman"/>
            <w:noProof/>
            <w:webHidden/>
            <w:szCs w:val="24"/>
          </w:rPr>
          <w:fldChar w:fldCharType="end"/>
        </w:r>
      </w:hyperlink>
    </w:p>
    <w:p w14:paraId="21C9F3D3" w14:textId="7809DBAD" w:rsidR="00451561" w:rsidRPr="00451561" w:rsidRDefault="00451561" w:rsidP="00451561">
      <w:pPr>
        <w:pStyle w:val="TDC3"/>
        <w:tabs>
          <w:tab w:val="left" w:pos="1440"/>
          <w:tab w:val="right" w:leader="dot" w:pos="9350"/>
        </w:tabs>
        <w:jc w:val="both"/>
        <w:rPr>
          <w:rFonts w:eastAsiaTheme="minorEastAsia" w:cs="Times New Roman"/>
          <w:noProof/>
          <w:kern w:val="2"/>
          <w:szCs w:val="24"/>
          <w:lang w:eastAsia="es-HN"/>
          <w14:ligatures w14:val="standardContextual"/>
        </w:rPr>
      </w:pPr>
      <w:hyperlink w:anchor="_Toc175171408" w:history="1">
        <w:r w:rsidRPr="00451561">
          <w:rPr>
            <w:rStyle w:val="Hipervnculo"/>
            <w:rFonts w:cs="Times New Roman"/>
            <w:noProof/>
            <w:szCs w:val="24"/>
          </w:rPr>
          <w:t>3.3.2.</w:t>
        </w:r>
        <w:r w:rsidRPr="00451561">
          <w:rPr>
            <w:rFonts w:eastAsiaTheme="minorEastAsia" w:cs="Times New Roman"/>
            <w:noProof/>
            <w:kern w:val="2"/>
            <w:szCs w:val="24"/>
            <w:lang w:eastAsia="es-HN"/>
            <w14:ligatures w14:val="standardContextual"/>
          </w:rPr>
          <w:tab/>
        </w:r>
        <w:r w:rsidRPr="00451561">
          <w:rPr>
            <w:rStyle w:val="Hipervnculo"/>
            <w:rFonts w:cs="Times New Roman"/>
            <w:noProof/>
            <w:szCs w:val="24"/>
          </w:rPr>
          <w:t>POBLACIÓN</w:t>
        </w:r>
        <w:r w:rsidRPr="00451561">
          <w:rPr>
            <w:rFonts w:cs="Times New Roman"/>
            <w:noProof/>
            <w:webHidden/>
            <w:szCs w:val="24"/>
          </w:rPr>
          <w:tab/>
        </w:r>
        <w:r w:rsidRPr="00451561">
          <w:rPr>
            <w:rFonts w:cs="Times New Roman"/>
            <w:noProof/>
            <w:webHidden/>
            <w:szCs w:val="24"/>
          </w:rPr>
          <w:fldChar w:fldCharType="begin"/>
        </w:r>
        <w:r w:rsidRPr="00451561">
          <w:rPr>
            <w:rFonts w:cs="Times New Roman"/>
            <w:noProof/>
            <w:webHidden/>
            <w:szCs w:val="24"/>
          </w:rPr>
          <w:instrText xml:space="preserve"> PAGEREF _Toc175171408 \h </w:instrText>
        </w:r>
        <w:r w:rsidRPr="00451561">
          <w:rPr>
            <w:rFonts w:cs="Times New Roman"/>
            <w:noProof/>
            <w:webHidden/>
            <w:szCs w:val="24"/>
          </w:rPr>
        </w:r>
        <w:r w:rsidRPr="00451561">
          <w:rPr>
            <w:rFonts w:cs="Times New Roman"/>
            <w:noProof/>
            <w:webHidden/>
            <w:szCs w:val="24"/>
          </w:rPr>
          <w:fldChar w:fldCharType="separate"/>
        </w:r>
        <w:r w:rsidRPr="00451561">
          <w:rPr>
            <w:rFonts w:cs="Times New Roman"/>
            <w:noProof/>
            <w:webHidden/>
            <w:szCs w:val="24"/>
          </w:rPr>
          <w:t>55</w:t>
        </w:r>
        <w:r w:rsidRPr="00451561">
          <w:rPr>
            <w:rFonts w:cs="Times New Roman"/>
            <w:noProof/>
            <w:webHidden/>
            <w:szCs w:val="24"/>
          </w:rPr>
          <w:fldChar w:fldCharType="end"/>
        </w:r>
      </w:hyperlink>
    </w:p>
    <w:p w14:paraId="5B9BAD82" w14:textId="167E70A3" w:rsidR="00451561" w:rsidRPr="00451561" w:rsidRDefault="00451561" w:rsidP="00451561">
      <w:pPr>
        <w:pStyle w:val="TDC3"/>
        <w:tabs>
          <w:tab w:val="left" w:pos="1440"/>
          <w:tab w:val="right" w:leader="dot" w:pos="9350"/>
        </w:tabs>
        <w:jc w:val="both"/>
        <w:rPr>
          <w:rFonts w:eastAsiaTheme="minorEastAsia" w:cs="Times New Roman"/>
          <w:noProof/>
          <w:kern w:val="2"/>
          <w:szCs w:val="24"/>
          <w:lang w:eastAsia="es-HN"/>
          <w14:ligatures w14:val="standardContextual"/>
        </w:rPr>
      </w:pPr>
      <w:hyperlink w:anchor="_Toc175171409" w:history="1">
        <w:r w:rsidRPr="00451561">
          <w:rPr>
            <w:rStyle w:val="Hipervnculo"/>
            <w:rFonts w:cs="Times New Roman"/>
            <w:noProof/>
            <w:szCs w:val="24"/>
          </w:rPr>
          <w:t>3.3.3.</w:t>
        </w:r>
        <w:r w:rsidRPr="00451561">
          <w:rPr>
            <w:rFonts w:eastAsiaTheme="minorEastAsia" w:cs="Times New Roman"/>
            <w:noProof/>
            <w:kern w:val="2"/>
            <w:szCs w:val="24"/>
            <w:lang w:eastAsia="es-HN"/>
            <w14:ligatures w14:val="standardContextual"/>
          </w:rPr>
          <w:tab/>
        </w:r>
        <w:r w:rsidRPr="00451561">
          <w:rPr>
            <w:rStyle w:val="Hipervnculo"/>
            <w:rFonts w:cs="Times New Roman"/>
            <w:noProof/>
            <w:szCs w:val="24"/>
          </w:rPr>
          <w:t>MUESTRA</w:t>
        </w:r>
        <w:r w:rsidRPr="00451561">
          <w:rPr>
            <w:rFonts w:cs="Times New Roman"/>
            <w:noProof/>
            <w:webHidden/>
            <w:szCs w:val="24"/>
          </w:rPr>
          <w:tab/>
        </w:r>
        <w:r w:rsidRPr="00451561">
          <w:rPr>
            <w:rFonts w:cs="Times New Roman"/>
            <w:noProof/>
            <w:webHidden/>
            <w:szCs w:val="24"/>
          </w:rPr>
          <w:fldChar w:fldCharType="begin"/>
        </w:r>
        <w:r w:rsidRPr="00451561">
          <w:rPr>
            <w:rFonts w:cs="Times New Roman"/>
            <w:noProof/>
            <w:webHidden/>
            <w:szCs w:val="24"/>
          </w:rPr>
          <w:instrText xml:space="preserve"> PAGEREF _Toc175171409 \h </w:instrText>
        </w:r>
        <w:r w:rsidRPr="00451561">
          <w:rPr>
            <w:rFonts w:cs="Times New Roman"/>
            <w:noProof/>
            <w:webHidden/>
            <w:szCs w:val="24"/>
          </w:rPr>
        </w:r>
        <w:r w:rsidRPr="00451561">
          <w:rPr>
            <w:rFonts w:cs="Times New Roman"/>
            <w:noProof/>
            <w:webHidden/>
            <w:szCs w:val="24"/>
          </w:rPr>
          <w:fldChar w:fldCharType="separate"/>
        </w:r>
        <w:r w:rsidRPr="00451561">
          <w:rPr>
            <w:rFonts w:cs="Times New Roman"/>
            <w:noProof/>
            <w:webHidden/>
            <w:szCs w:val="24"/>
          </w:rPr>
          <w:t>56</w:t>
        </w:r>
        <w:r w:rsidRPr="00451561">
          <w:rPr>
            <w:rFonts w:cs="Times New Roman"/>
            <w:noProof/>
            <w:webHidden/>
            <w:szCs w:val="24"/>
          </w:rPr>
          <w:fldChar w:fldCharType="end"/>
        </w:r>
      </w:hyperlink>
    </w:p>
    <w:p w14:paraId="7E5C357B" w14:textId="3C81DF43" w:rsidR="00451561" w:rsidRPr="00451561" w:rsidRDefault="00451561" w:rsidP="00451561">
      <w:pPr>
        <w:pStyle w:val="TDC3"/>
        <w:tabs>
          <w:tab w:val="left" w:pos="1440"/>
          <w:tab w:val="right" w:leader="dot" w:pos="9350"/>
        </w:tabs>
        <w:jc w:val="both"/>
        <w:rPr>
          <w:rFonts w:eastAsiaTheme="minorEastAsia" w:cs="Times New Roman"/>
          <w:noProof/>
          <w:kern w:val="2"/>
          <w:szCs w:val="24"/>
          <w:lang w:eastAsia="es-HN"/>
          <w14:ligatures w14:val="standardContextual"/>
        </w:rPr>
      </w:pPr>
      <w:hyperlink w:anchor="_Toc175171410" w:history="1">
        <w:r w:rsidRPr="00451561">
          <w:rPr>
            <w:rStyle w:val="Hipervnculo"/>
            <w:rFonts w:cs="Times New Roman"/>
            <w:noProof/>
            <w:szCs w:val="24"/>
          </w:rPr>
          <w:t>3.3.4.</w:t>
        </w:r>
        <w:r w:rsidRPr="00451561">
          <w:rPr>
            <w:rFonts w:eastAsiaTheme="minorEastAsia" w:cs="Times New Roman"/>
            <w:noProof/>
            <w:kern w:val="2"/>
            <w:szCs w:val="24"/>
            <w:lang w:eastAsia="es-HN"/>
            <w14:ligatures w14:val="standardContextual"/>
          </w:rPr>
          <w:tab/>
        </w:r>
        <w:r w:rsidRPr="00451561">
          <w:rPr>
            <w:rStyle w:val="Hipervnculo"/>
            <w:rFonts w:cs="Times New Roman"/>
            <w:noProof/>
            <w:szCs w:val="24"/>
          </w:rPr>
          <w:t>TÉCNICAS DE MUESTREO</w:t>
        </w:r>
        <w:r w:rsidRPr="00451561">
          <w:rPr>
            <w:rFonts w:cs="Times New Roman"/>
            <w:noProof/>
            <w:webHidden/>
            <w:szCs w:val="24"/>
          </w:rPr>
          <w:tab/>
        </w:r>
        <w:r w:rsidRPr="00451561">
          <w:rPr>
            <w:rFonts w:cs="Times New Roman"/>
            <w:noProof/>
            <w:webHidden/>
            <w:szCs w:val="24"/>
          </w:rPr>
          <w:fldChar w:fldCharType="begin"/>
        </w:r>
        <w:r w:rsidRPr="00451561">
          <w:rPr>
            <w:rFonts w:cs="Times New Roman"/>
            <w:noProof/>
            <w:webHidden/>
            <w:szCs w:val="24"/>
          </w:rPr>
          <w:instrText xml:space="preserve"> PAGEREF _Toc175171410 \h </w:instrText>
        </w:r>
        <w:r w:rsidRPr="00451561">
          <w:rPr>
            <w:rFonts w:cs="Times New Roman"/>
            <w:noProof/>
            <w:webHidden/>
            <w:szCs w:val="24"/>
          </w:rPr>
        </w:r>
        <w:r w:rsidRPr="00451561">
          <w:rPr>
            <w:rFonts w:cs="Times New Roman"/>
            <w:noProof/>
            <w:webHidden/>
            <w:szCs w:val="24"/>
          </w:rPr>
          <w:fldChar w:fldCharType="separate"/>
        </w:r>
        <w:r w:rsidRPr="00451561">
          <w:rPr>
            <w:rFonts w:cs="Times New Roman"/>
            <w:noProof/>
            <w:webHidden/>
            <w:szCs w:val="24"/>
          </w:rPr>
          <w:t>56</w:t>
        </w:r>
        <w:r w:rsidRPr="00451561">
          <w:rPr>
            <w:rFonts w:cs="Times New Roman"/>
            <w:noProof/>
            <w:webHidden/>
            <w:szCs w:val="24"/>
          </w:rPr>
          <w:fldChar w:fldCharType="end"/>
        </w:r>
      </w:hyperlink>
    </w:p>
    <w:p w14:paraId="327CA70C" w14:textId="36DD4CFA" w:rsidR="00451561" w:rsidRPr="00451561" w:rsidRDefault="00451561" w:rsidP="00451561">
      <w:pPr>
        <w:pStyle w:val="TDC2"/>
        <w:tabs>
          <w:tab w:val="right" w:leader="dot" w:pos="9350"/>
        </w:tabs>
        <w:jc w:val="both"/>
        <w:rPr>
          <w:rFonts w:eastAsiaTheme="minorEastAsia" w:cs="Times New Roman"/>
          <w:noProof/>
          <w:kern w:val="2"/>
          <w:szCs w:val="24"/>
          <w:lang w:eastAsia="es-HN"/>
          <w14:ligatures w14:val="standardContextual"/>
        </w:rPr>
      </w:pPr>
      <w:hyperlink w:anchor="_Toc175171411" w:history="1">
        <w:r w:rsidRPr="00451561">
          <w:rPr>
            <w:rStyle w:val="Hipervnculo"/>
            <w:rFonts w:cs="Times New Roman"/>
            <w:noProof/>
            <w:szCs w:val="24"/>
          </w:rPr>
          <w:t>3.4. TÉCNICAS, INSTRUMENTOS Y PROCEDIMIENTOS APLICADOS</w:t>
        </w:r>
        <w:r w:rsidRPr="00451561">
          <w:rPr>
            <w:rFonts w:cs="Times New Roman"/>
            <w:noProof/>
            <w:webHidden/>
            <w:szCs w:val="24"/>
          </w:rPr>
          <w:tab/>
        </w:r>
        <w:r w:rsidRPr="00451561">
          <w:rPr>
            <w:rFonts w:cs="Times New Roman"/>
            <w:noProof/>
            <w:webHidden/>
            <w:szCs w:val="24"/>
          </w:rPr>
          <w:fldChar w:fldCharType="begin"/>
        </w:r>
        <w:r w:rsidRPr="00451561">
          <w:rPr>
            <w:rFonts w:cs="Times New Roman"/>
            <w:noProof/>
            <w:webHidden/>
            <w:szCs w:val="24"/>
          </w:rPr>
          <w:instrText xml:space="preserve"> PAGEREF _Toc175171411 \h </w:instrText>
        </w:r>
        <w:r w:rsidRPr="00451561">
          <w:rPr>
            <w:rFonts w:cs="Times New Roman"/>
            <w:noProof/>
            <w:webHidden/>
            <w:szCs w:val="24"/>
          </w:rPr>
        </w:r>
        <w:r w:rsidRPr="00451561">
          <w:rPr>
            <w:rFonts w:cs="Times New Roman"/>
            <w:noProof/>
            <w:webHidden/>
            <w:szCs w:val="24"/>
          </w:rPr>
          <w:fldChar w:fldCharType="separate"/>
        </w:r>
        <w:r w:rsidRPr="00451561">
          <w:rPr>
            <w:rFonts w:cs="Times New Roman"/>
            <w:noProof/>
            <w:webHidden/>
            <w:szCs w:val="24"/>
          </w:rPr>
          <w:t>57</w:t>
        </w:r>
        <w:r w:rsidRPr="00451561">
          <w:rPr>
            <w:rFonts w:cs="Times New Roman"/>
            <w:noProof/>
            <w:webHidden/>
            <w:szCs w:val="24"/>
          </w:rPr>
          <w:fldChar w:fldCharType="end"/>
        </w:r>
      </w:hyperlink>
    </w:p>
    <w:p w14:paraId="73213878" w14:textId="43A9686F" w:rsidR="00451561" w:rsidRPr="00451561" w:rsidRDefault="00451561" w:rsidP="00451561">
      <w:pPr>
        <w:pStyle w:val="TDC3"/>
        <w:tabs>
          <w:tab w:val="right" w:leader="dot" w:pos="9350"/>
        </w:tabs>
        <w:jc w:val="both"/>
        <w:rPr>
          <w:rFonts w:eastAsiaTheme="minorEastAsia" w:cs="Times New Roman"/>
          <w:noProof/>
          <w:kern w:val="2"/>
          <w:szCs w:val="24"/>
          <w:lang w:eastAsia="es-HN"/>
          <w14:ligatures w14:val="standardContextual"/>
        </w:rPr>
      </w:pPr>
      <w:hyperlink w:anchor="_Toc175171412" w:history="1">
        <w:r w:rsidRPr="00451561">
          <w:rPr>
            <w:rStyle w:val="Hipervnculo"/>
            <w:rFonts w:cs="Times New Roman"/>
            <w:noProof/>
            <w:szCs w:val="24"/>
          </w:rPr>
          <w:t>3.4.1. TÉCNICAS</w:t>
        </w:r>
        <w:r w:rsidRPr="00451561">
          <w:rPr>
            <w:rFonts w:cs="Times New Roman"/>
            <w:noProof/>
            <w:webHidden/>
            <w:szCs w:val="24"/>
          </w:rPr>
          <w:tab/>
        </w:r>
        <w:r w:rsidRPr="00451561">
          <w:rPr>
            <w:rFonts w:cs="Times New Roman"/>
            <w:noProof/>
            <w:webHidden/>
            <w:szCs w:val="24"/>
          </w:rPr>
          <w:fldChar w:fldCharType="begin"/>
        </w:r>
        <w:r w:rsidRPr="00451561">
          <w:rPr>
            <w:rFonts w:cs="Times New Roman"/>
            <w:noProof/>
            <w:webHidden/>
            <w:szCs w:val="24"/>
          </w:rPr>
          <w:instrText xml:space="preserve"> PAGEREF _Toc175171412 \h </w:instrText>
        </w:r>
        <w:r w:rsidRPr="00451561">
          <w:rPr>
            <w:rFonts w:cs="Times New Roman"/>
            <w:noProof/>
            <w:webHidden/>
            <w:szCs w:val="24"/>
          </w:rPr>
        </w:r>
        <w:r w:rsidRPr="00451561">
          <w:rPr>
            <w:rFonts w:cs="Times New Roman"/>
            <w:noProof/>
            <w:webHidden/>
            <w:szCs w:val="24"/>
          </w:rPr>
          <w:fldChar w:fldCharType="separate"/>
        </w:r>
        <w:r w:rsidRPr="00451561">
          <w:rPr>
            <w:rFonts w:cs="Times New Roman"/>
            <w:noProof/>
            <w:webHidden/>
            <w:szCs w:val="24"/>
          </w:rPr>
          <w:t>57</w:t>
        </w:r>
        <w:r w:rsidRPr="00451561">
          <w:rPr>
            <w:rFonts w:cs="Times New Roman"/>
            <w:noProof/>
            <w:webHidden/>
            <w:szCs w:val="24"/>
          </w:rPr>
          <w:fldChar w:fldCharType="end"/>
        </w:r>
      </w:hyperlink>
    </w:p>
    <w:p w14:paraId="5C804DE0" w14:textId="4F82E42C" w:rsidR="00451561" w:rsidRPr="00451561" w:rsidRDefault="00451561" w:rsidP="00451561">
      <w:pPr>
        <w:pStyle w:val="TDC4"/>
        <w:jc w:val="both"/>
        <w:rPr>
          <w:rFonts w:eastAsiaTheme="minorEastAsia"/>
          <w:iCs w:val="0"/>
          <w:kern w:val="2"/>
          <w:szCs w:val="24"/>
          <w:lang w:eastAsia="es-HN"/>
          <w14:ligatures w14:val="standardContextual"/>
        </w:rPr>
      </w:pPr>
      <w:hyperlink w:anchor="_Toc175171413" w:history="1">
        <w:r w:rsidRPr="00451561">
          <w:rPr>
            <w:rStyle w:val="Hipervnculo"/>
            <w:szCs w:val="24"/>
          </w:rPr>
          <w:t>3.4.1.1 ANÁLISIS DE BASE DE DATOS</w:t>
        </w:r>
        <w:r w:rsidRPr="00451561">
          <w:rPr>
            <w:webHidden/>
            <w:szCs w:val="24"/>
          </w:rPr>
          <w:tab/>
        </w:r>
        <w:r w:rsidRPr="00451561">
          <w:rPr>
            <w:webHidden/>
            <w:szCs w:val="24"/>
          </w:rPr>
          <w:fldChar w:fldCharType="begin"/>
        </w:r>
        <w:r w:rsidRPr="00451561">
          <w:rPr>
            <w:webHidden/>
            <w:szCs w:val="24"/>
          </w:rPr>
          <w:instrText xml:space="preserve"> PAGEREF _Toc175171413 \h </w:instrText>
        </w:r>
        <w:r w:rsidRPr="00451561">
          <w:rPr>
            <w:webHidden/>
            <w:szCs w:val="24"/>
          </w:rPr>
        </w:r>
        <w:r w:rsidRPr="00451561">
          <w:rPr>
            <w:webHidden/>
            <w:szCs w:val="24"/>
          </w:rPr>
          <w:fldChar w:fldCharType="separate"/>
        </w:r>
        <w:r w:rsidRPr="00451561">
          <w:rPr>
            <w:webHidden/>
            <w:szCs w:val="24"/>
          </w:rPr>
          <w:t>58</w:t>
        </w:r>
        <w:r w:rsidRPr="00451561">
          <w:rPr>
            <w:webHidden/>
            <w:szCs w:val="24"/>
          </w:rPr>
          <w:fldChar w:fldCharType="end"/>
        </w:r>
      </w:hyperlink>
    </w:p>
    <w:p w14:paraId="41387500" w14:textId="6919AB24" w:rsidR="00451561" w:rsidRPr="00451561" w:rsidRDefault="00451561" w:rsidP="00451561">
      <w:pPr>
        <w:pStyle w:val="TDC4"/>
        <w:jc w:val="both"/>
        <w:rPr>
          <w:rFonts w:eastAsiaTheme="minorEastAsia"/>
          <w:iCs w:val="0"/>
          <w:kern w:val="2"/>
          <w:szCs w:val="24"/>
          <w:lang w:eastAsia="es-HN"/>
          <w14:ligatures w14:val="standardContextual"/>
        </w:rPr>
      </w:pPr>
      <w:hyperlink w:anchor="_Toc175171414" w:history="1">
        <w:r w:rsidRPr="00451561">
          <w:rPr>
            <w:rStyle w:val="Hipervnculo"/>
            <w:szCs w:val="24"/>
          </w:rPr>
          <w:t>3.4.1.2 ENTREVISTA</w:t>
        </w:r>
        <w:r w:rsidRPr="00451561">
          <w:rPr>
            <w:webHidden/>
            <w:szCs w:val="24"/>
          </w:rPr>
          <w:tab/>
        </w:r>
        <w:r w:rsidRPr="00451561">
          <w:rPr>
            <w:webHidden/>
            <w:szCs w:val="24"/>
          </w:rPr>
          <w:fldChar w:fldCharType="begin"/>
        </w:r>
        <w:r w:rsidRPr="00451561">
          <w:rPr>
            <w:webHidden/>
            <w:szCs w:val="24"/>
          </w:rPr>
          <w:instrText xml:space="preserve"> PAGEREF _Toc175171414 \h </w:instrText>
        </w:r>
        <w:r w:rsidRPr="00451561">
          <w:rPr>
            <w:webHidden/>
            <w:szCs w:val="24"/>
          </w:rPr>
        </w:r>
        <w:r w:rsidRPr="00451561">
          <w:rPr>
            <w:webHidden/>
            <w:szCs w:val="24"/>
          </w:rPr>
          <w:fldChar w:fldCharType="separate"/>
        </w:r>
        <w:r w:rsidRPr="00451561">
          <w:rPr>
            <w:webHidden/>
            <w:szCs w:val="24"/>
          </w:rPr>
          <w:t>58</w:t>
        </w:r>
        <w:r w:rsidRPr="00451561">
          <w:rPr>
            <w:webHidden/>
            <w:szCs w:val="24"/>
          </w:rPr>
          <w:fldChar w:fldCharType="end"/>
        </w:r>
      </w:hyperlink>
    </w:p>
    <w:p w14:paraId="2DED46AF" w14:textId="4053F39F" w:rsidR="00451561" w:rsidRPr="00451561" w:rsidRDefault="00451561" w:rsidP="00451561">
      <w:pPr>
        <w:pStyle w:val="TDC3"/>
        <w:tabs>
          <w:tab w:val="right" w:leader="dot" w:pos="9350"/>
        </w:tabs>
        <w:jc w:val="both"/>
        <w:rPr>
          <w:rFonts w:eastAsiaTheme="minorEastAsia" w:cs="Times New Roman"/>
          <w:noProof/>
          <w:kern w:val="2"/>
          <w:szCs w:val="24"/>
          <w:lang w:eastAsia="es-HN"/>
          <w14:ligatures w14:val="standardContextual"/>
        </w:rPr>
      </w:pPr>
      <w:hyperlink w:anchor="_Toc175171415" w:history="1">
        <w:r w:rsidRPr="00451561">
          <w:rPr>
            <w:rStyle w:val="Hipervnculo"/>
            <w:rFonts w:cs="Times New Roman"/>
            <w:noProof/>
            <w:szCs w:val="24"/>
          </w:rPr>
          <w:t>3.4.2. INSTRUMENTOS</w:t>
        </w:r>
        <w:r w:rsidRPr="00451561">
          <w:rPr>
            <w:rFonts w:cs="Times New Roman"/>
            <w:noProof/>
            <w:webHidden/>
            <w:szCs w:val="24"/>
          </w:rPr>
          <w:tab/>
        </w:r>
        <w:r w:rsidRPr="00451561">
          <w:rPr>
            <w:rFonts w:cs="Times New Roman"/>
            <w:noProof/>
            <w:webHidden/>
            <w:szCs w:val="24"/>
          </w:rPr>
          <w:fldChar w:fldCharType="begin"/>
        </w:r>
        <w:r w:rsidRPr="00451561">
          <w:rPr>
            <w:rFonts w:cs="Times New Roman"/>
            <w:noProof/>
            <w:webHidden/>
            <w:szCs w:val="24"/>
          </w:rPr>
          <w:instrText xml:space="preserve"> PAGEREF _Toc175171415 \h </w:instrText>
        </w:r>
        <w:r w:rsidRPr="00451561">
          <w:rPr>
            <w:rFonts w:cs="Times New Roman"/>
            <w:noProof/>
            <w:webHidden/>
            <w:szCs w:val="24"/>
          </w:rPr>
        </w:r>
        <w:r w:rsidRPr="00451561">
          <w:rPr>
            <w:rFonts w:cs="Times New Roman"/>
            <w:noProof/>
            <w:webHidden/>
            <w:szCs w:val="24"/>
          </w:rPr>
          <w:fldChar w:fldCharType="separate"/>
        </w:r>
        <w:r w:rsidRPr="00451561">
          <w:rPr>
            <w:rFonts w:cs="Times New Roman"/>
            <w:noProof/>
            <w:webHidden/>
            <w:szCs w:val="24"/>
          </w:rPr>
          <w:t>58</w:t>
        </w:r>
        <w:r w:rsidRPr="00451561">
          <w:rPr>
            <w:rFonts w:cs="Times New Roman"/>
            <w:noProof/>
            <w:webHidden/>
            <w:szCs w:val="24"/>
          </w:rPr>
          <w:fldChar w:fldCharType="end"/>
        </w:r>
      </w:hyperlink>
    </w:p>
    <w:p w14:paraId="02BD7E92" w14:textId="237E1538" w:rsidR="00451561" w:rsidRPr="00451561" w:rsidRDefault="00451561" w:rsidP="00451561">
      <w:pPr>
        <w:pStyle w:val="TDC4"/>
        <w:jc w:val="both"/>
        <w:rPr>
          <w:rFonts w:eastAsiaTheme="minorEastAsia"/>
          <w:iCs w:val="0"/>
          <w:kern w:val="2"/>
          <w:szCs w:val="24"/>
          <w:lang w:eastAsia="es-HN"/>
          <w14:ligatures w14:val="standardContextual"/>
        </w:rPr>
      </w:pPr>
      <w:hyperlink w:anchor="_Toc175171416" w:history="1">
        <w:r w:rsidRPr="00451561">
          <w:rPr>
            <w:rStyle w:val="Hipervnculo"/>
            <w:szCs w:val="24"/>
          </w:rPr>
          <w:t>3.4.2.1 ANÁLISIS COMPARATIVO DE BASES DE DATOS EN EXCEL</w:t>
        </w:r>
        <w:r w:rsidRPr="00451561">
          <w:rPr>
            <w:webHidden/>
            <w:szCs w:val="24"/>
          </w:rPr>
          <w:tab/>
        </w:r>
        <w:r w:rsidRPr="00451561">
          <w:rPr>
            <w:webHidden/>
            <w:szCs w:val="24"/>
          </w:rPr>
          <w:fldChar w:fldCharType="begin"/>
        </w:r>
        <w:r w:rsidRPr="00451561">
          <w:rPr>
            <w:webHidden/>
            <w:szCs w:val="24"/>
          </w:rPr>
          <w:instrText xml:space="preserve"> PAGEREF _Toc175171416 \h </w:instrText>
        </w:r>
        <w:r w:rsidRPr="00451561">
          <w:rPr>
            <w:webHidden/>
            <w:szCs w:val="24"/>
          </w:rPr>
        </w:r>
        <w:r w:rsidRPr="00451561">
          <w:rPr>
            <w:webHidden/>
            <w:szCs w:val="24"/>
          </w:rPr>
          <w:fldChar w:fldCharType="separate"/>
        </w:r>
        <w:r w:rsidRPr="00451561">
          <w:rPr>
            <w:webHidden/>
            <w:szCs w:val="24"/>
          </w:rPr>
          <w:t>58</w:t>
        </w:r>
        <w:r w:rsidRPr="00451561">
          <w:rPr>
            <w:webHidden/>
            <w:szCs w:val="24"/>
          </w:rPr>
          <w:fldChar w:fldCharType="end"/>
        </w:r>
      </w:hyperlink>
    </w:p>
    <w:p w14:paraId="3AAD5618" w14:textId="37B48D57" w:rsidR="00451561" w:rsidRPr="00451561" w:rsidRDefault="00451561" w:rsidP="00451561">
      <w:pPr>
        <w:pStyle w:val="TDC4"/>
        <w:jc w:val="both"/>
        <w:rPr>
          <w:rFonts w:eastAsiaTheme="minorEastAsia"/>
          <w:iCs w:val="0"/>
          <w:kern w:val="2"/>
          <w:szCs w:val="24"/>
          <w:lang w:eastAsia="es-HN"/>
          <w14:ligatures w14:val="standardContextual"/>
        </w:rPr>
      </w:pPr>
      <w:hyperlink w:anchor="_Toc175171417" w:history="1">
        <w:r w:rsidRPr="00451561">
          <w:rPr>
            <w:rStyle w:val="Hipervnculo"/>
            <w:szCs w:val="24"/>
          </w:rPr>
          <w:t>3.4.2.2. GUIÓN DE ENTREVISTA</w:t>
        </w:r>
        <w:r w:rsidRPr="00451561">
          <w:rPr>
            <w:webHidden/>
            <w:szCs w:val="24"/>
          </w:rPr>
          <w:tab/>
        </w:r>
        <w:r w:rsidRPr="00451561">
          <w:rPr>
            <w:webHidden/>
            <w:szCs w:val="24"/>
          </w:rPr>
          <w:fldChar w:fldCharType="begin"/>
        </w:r>
        <w:r w:rsidRPr="00451561">
          <w:rPr>
            <w:webHidden/>
            <w:szCs w:val="24"/>
          </w:rPr>
          <w:instrText xml:space="preserve"> PAGEREF _Toc175171417 \h </w:instrText>
        </w:r>
        <w:r w:rsidRPr="00451561">
          <w:rPr>
            <w:webHidden/>
            <w:szCs w:val="24"/>
          </w:rPr>
        </w:r>
        <w:r w:rsidRPr="00451561">
          <w:rPr>
            <w:webHidden/>
            <w:szCs w:val="24"/>
          </w:rPr>
          <w:fldChar w:fldCharType="separate"/>
        </w:r>
        <w:r w:rsidRPr="00451561">
          <w:rPr>
            <w:webHidden/>
            <w:szCs w:val="24"/>
          </w:rPr>
          <w:t>59</w:t>
        </w:r>
        <w:r w:rsidRPr="00451561">
          <w:rPr>
            <w:webHidden/>
            <w:szCs w:val="24"/>
          </w:rPr>
          <w:fldChar w:fldCharType="end"/>
        </w:r>
      </w:hyperlink>
    </w:p>
    <w:p w14:paraId="26CCB342" w14:textId="083F6738" w:rsidR="00451561" w:rsidRPr="00451561" w:rsidRDefault="00451561" w:rsidP="00451561">
      <w:pPr>
        <w:pStyle w:val="TDC4"/>
        <w:jc w:val="both"/>
        <w:rPr>
          <w:rFonts w:eastAsiaTheme="minorEastAsia"/>
          <w:iCs w:val="0"/>
          <w:kern w:val="2"/>
          <w:szCs w:val="24"/>
          <w:lang w:eastAsia="es-HN"/>
          <w14:ligatures w14:val="standardContextual"/>
        </w:rPr>
      </w:pPr>
      <w:hyperlink w:anchor="_Toc175171418" w:history="1">
        <w:r w:rsidRPr="00451561">
          <w:rPr>
            <w:rStyle w:val="Hipervnculo"/>
            <w:szCs w:val="24"/>
          </w:rPr>
          <w:t>3.4.2.3. VALIDACIÓN DEL INSTRUMENTO</w:t>
        </w:r>
        <w:r w:rsidRPr="00451561">
          <w:rPr>
            <w:webHidden/>
            <w:szCs w:val="24"/>
          </w:rPr>
          <w:tab/>
        </w:r>
        <w:r w:rsidRPr="00451561">
          <w:rPr>
            <w:webHidden/>
            <w:szCs w:val="24"/>
          </w:rPr>
          <w:fldChar w:fldCharType="begin"/>
        </w:r>
        <w:r w:rsidRPr="00451561">
          <w:rPr>
            <w:webHidden/>
            <w:szCs w:val="24"/>
          </w:rPr>
          <w:instrText xml:space="preserve"> PAGEREF _Toc175171418 \h </w:instrText>
        </w:r>
        <w:r w:rsidRPr="00451561">
          <w:rPr>
            <w:webHidden/>
            <w:szCs w:val="24"/>
          </w:rPr>
        </w:r>
        <w:r w:rsidRPr="00451561">
          <w:rPr>
            <w:webHidden/>
            <w:szCs w:val="24"/>
          </w:rPr>
          <w:fldChar w:fldCharType="separate"/>
        </w:r>
        <w:r w:rsidRPr="00451561">
          <w:rPr>
            <w:webHidden/>
            <w:szCs w:val="24"/>
          </w:rPr>
          <w:t>60</w:t>
        </w:r>
        <w:r w:rsidRPr="00451561">
          <w:rPr>
            <w:webHidden/>
            <w:szCs w:val="24"/>
          </w:rPr>
          <w:fldChar w:fldCharType="end"/>
        </w:r>
      </w:hyperlink>
    </w:p>
    <w:p w14:paraId="1605C1F9" w14:textId="24634EEE" w:rsidR="00451561" w:rsidRPr="00451561" w:rsidRDefault="00451561" w:rsidP="00451561">
      <w:pPr>
        <w:pStyle w:val="TDC3"/>
        <w:tabs>
          <w:tab w:val="right" w:leader="dot" w:pos="9350"/>
        </w:tabs>
        <w:jc w:val="both"/>
        <w:rPr>
          <w:rFonts w:eastAsiaTheme="minorEastAsia" w:cs="Times New Roman"/>
          <w:noProof/>
          <w:kern w:val="2"/>
          <w:szCs w:val="24"/>
          <w:lang w:eastAsia="es-HN"/>
          <w14:ligatures w14:val="standardContextual"/>
        </w:rPr>
      </w:pPr>
      <w:hyperlink w:anchor="_Toc175171419" w:history="1">
        <w:r w:rsidRPr="00451561">
          <w:rPr>
            <w:rStyle w:val="Hipervnculo"/>
            <w:rFonts w:cs="Times New Roman"/>
            <w:noProof/>
            <w:szCs w:val="24"/>
          </w:rPr>
          <w:t>3.4.3. PROCEDIMIENTOS</w:t>
        </w:r>
        <w:r w:rsidRPr="00451561">
          <w:rPr>
            <w:rFonts w:cs="Times New Roman"/>
            <w:noProof/>
            <w:webHidden/>
            <w:szCs w:val="24"/>
          </w:rPr>
          <w:tab/>
        </w:r>
        <w:r w:rsidRPr="00451561">
          <w:rPr>
            <w:rFonts w:cs="Times New Roman"/>
            <w:noProof/>
            <w:webHidden/>
            <w:szCs w:val="24"/>
          </w:rPr>
          <w:fldChar w:fldCharType="begin"/>
        </w:r>
        <w:r w:rsidRPr="00451561">
          <w:rPr>
            <w:rFonts w:cs="Times New Roman"/>
            <w:noProof/>
            <w:webHidden/>
            <w:szCs w:val="24"/>
          </w:rPr>
          <w:instrText xml:space="preserve"> PAGEREF _Toc175171419 \h </w:instrText>
        </w:r>
        <w:r w:rsidRPr="00451561">
          <w:rPr>
            <w:rFonts w:cs="Times New Roman"/>
            <w:noProof/>
            <w:webHidden/>
            <w:szCs w:val="24"/>
          </w:rPr>
        </w:r>
        <w:r w:rsidRPr="00451561">
          <w:rPr>
            <w:rFonts w:cs="Times New Roman"/>
            <w:noProof/>
            <w:webHidden/>
            <w:szCs w:val="24"/>
          </w:rPr>
          <w:fldChar w:fldCharType="separate"/>
        </w:r>
        <w:r w:rsidRPr="00451561">
          <w:rPr>
            <w:rFonts w:cs="Times New Roman"/>
            <w:noProof/>
            <w:webHidden/>
            <w:szCs w:val="24"/>
          </w:rPr>
          <w:t>60</w:t>
        </w:r>
        <w:r w:rsidRPr="00451561">
          <w:rPr>
            <w:rFonts w:cs="Times New Roman"/>
            <w:noProof/>
            <w:webHidden/>
            <w:szCs w:val="24"/>
          </w:rPr>
          <w:fldChar w:fldCharType="end"/>
        </w:r>
      </w:hyperlink>
    </w:p>
    <w:p w14:paraId="75EF1C82" w14:textId="1168B523" w:rsidR="00451561" w:rsidRPr="00451561" w:rsidRDefault="00451561" w:rsidP="00451561">
      <w:pPr>
        <w:pStyle w:val="TDC2"/>
        <w:tabs>
          <w:tab w:val="right" w:leader="dot" w:pos="9350"/>
        </w:tabs>
        <w:jc w:val="both"/>
        <w:rPr>
          <w:rFonts w:eastAsiaTheme="minorEastAsia" w:cs="Times New Roman"/>
          <w:noProof/>
          <w:kern w:val="2"/>
          <w:szCs w:val="24"/>
          <w:lang w:eastAsia="es-HN"/>
          <w14:ligatures w14:val="standardContextual"/>
        </w:rPr>
      </w:pPr>
      <w:hyperlink w:anchor="_Toc175171420" w:history="1">
        <w:r w:rsidRPr="00451561">
          <w:rPr>
            <w:rStyle w:val="Hipervnculo"/>
            <w:rFonts w:cs="Times New Roman"/>
            <w:noProof/>
            <w:szCs w:val="24"/>
          </w:rPr>
          <w:t>3.5. FUENTES DE INFORMACIÓN</w:t>
        </w:r>
        <w:r w:rsidRPr="00451561">
          <w:rPr>
            <w:rFonts w:cs="Times New Roman"/>
            <w:noProof/>
            <w:webHidden/>
            <w:szCs w:val="24"/>
          </w:rPr>
          <w:tab/>
        </w:r>
        <w:r w:rsidRPr="00451561">
          <w:rPr>
            <w:rFonts w:cs="Times New Roman"/>
            <w:noProof/>
            <w:webHidden/>
            <w:szCs w:val="24"/>
          </w:rPr>
          <w:fldChar w:fldCharType="begin"/>
        </w:r>
        <w:r w:rsidRPr="00451561">
          <w:rPr>
            <w:rFonts w:cs="Times New Roman"/>
            <w:noProof/>
            <w:webHidden/>
            <w:szCs w:val="24"/>
          </w:rPr>
          <w:instrText xml:space="preserve"> PAGEREF _Toc175171420 \h </w:instrText>
        </w:r>
        <w:r w:rsidRPr="00451561">
          <w:rPr>
            <w:rFonts w:cs="Times New Roman"/>
            <w:noProof/>
            <w:webHidden/>
            <w:szCs w:val="24"/>
          </w:rPr>
        </w:r>
        <w:r w:rsidRPr="00451561">
          <w:rPr>
            <w:rFonts w:cs="Times New Roman"/>
            <w:noProof/>
            <w:webHidden/>
            <w:szCs w:val="24"/>
          </w:rPr>
          <w:fldChar w:fldCharType="separate"/>
        </w:r>
        <w:r w:rsidRPr="00451561">
          <w:rPr>
            <w:rFonts w:cs="Times New Roman"/>
            <w:noProof/>
            <w:webHidden/>
            <w:szCs w:val="24"/>
          </w:rPr>
          <w:t>61</w:t>
        </w:r>
        <w:r w:rsidRPr="00451561">
          <w:rPr>
            <w:rFonts w:cs="Times New Roman"/>
            <w:noProof/>
            <w:webHidden/>
            <w:szCs w:val="24"/>
          </w:rPr>
          <w:fldChar w:fldCharType="end"/>
        </w:r>
      </w:hyperlink>
    </w:p>
    <w:p w14:paraId="7125AA20" w14:textId="0F013270" w:rsidR="00451561" w:rsidRPr="00451561" w:rsidRDefault="00451561" w:rsidP="00451561">
      <w:pPr>
        <w:pStyle w:val="TDC3"/>
        <w:tabs>
          <w:tab w:val="right" w:leader="dot" w:pos="9350"/>
        </w:tabs>
        <w:jc w:val="both"/>
        <w:rPr>
          <w:rFonts w:eastAsiaTheme="minorEastAsia" w:cs="Times New Roman"/>
          <w:noProof/>
          <w:kern w:val="2"/>
          <w:szCs w:val="24"/>
          <w:lang w:eastAsia="es-HN"/>
          <w14:ligatures w14:val="standardContextual"/>
        </w:rPr>
      </w:pPr>
      <w:hyperlink w:anchor="_Toc175171421" w:history="1">
        <w:r w:rsidRPr="00451561">
          <w:rPr>
            <w:rStyle w:val="Hipervnculo"/>
            <w:rFonts w:cs="Times New Roman"/>
            <w:noProof/>
            <w:szCs w:val="24"/>
          </w:rPr>
          <w:t>3.5.1. FUENTES PRIMARIAS</w:t>
        </w:r>
        <w:r w:rsidRPr="00451561">
          <w:rPr>
            <w:rFonts w:cs="Times New Roman"/>
            <w:noProof/>
            <w:webHidden/>
            <w:szCs w:val="24"/>
          </w:rPr>
          <w:tab/>
        </w:r>
        <w:r w:rsidRPr="00451561">
          <w:rPr>
            <w:rFonts w:cs="Times New Roman"/>
            <w:noProof/>
            <w:webHidden/>
            <w:szCs w:val="24"/>
          </w:rPr>
          <w:fldChar w:fldCharType="begin"/>
        </w:r>
        <w:r w:rsidRPr="00451561">
          <w:rPr>
            <w:rFonts w:cs="Times New Roman"/>
            <w:noProof/>
            <w:webHidden/>
            <w:szCs w:val="24"/>
          </w:rPr>
          <w:instrText xml:space="preserve"> PAGEREF _Toc175171421 \h </w:instrText>
        </w:r>
        <w:r w:rsidRPr="00451561">
          <w:rPr>
            <w:rFonts w:cs="Times New Roman"/>
            <w:noProof/>
            <w:webHidden/>
            <w:szCs w:val="24"/>
          </w:rPr>
        </w:r>
        <w:r w:rsidRPr="00451561">
          <w:rPr>
            <w:rFonts w:cs="Times New Roman"/>
            <w:noProof/>
            <w:webHidden/>
            <w:szCs w:val="24"/>
          </w:rPr>
          <w:fldChar w:fldCharType="separate"/>
        </w:r>
        <w:r w:rsidRPr="00451561">
          <w:rPr>
            <w:rFonts w:cs="Times New Roman"/>
            <w:noProof/>
            <w:webHidden/>
            <w:szCs w:val="24"/>
          </w:rPr>
          <w:t>61</w:t>
        </w:r>
        <w:r w:rsidRPr="00451561">
          <w:rPr>
            <w:rFonts w:cs="Times New Roman"/>
            <w:noProof/>
            <w:webHidden/>
            <w:szCs w:val="24"/>
          </w:rPr>
          <w:fldChar w:fldCharType="end"/>
        </w:r>
      </w:hyperlink>
    </w:p>
    <w:p w14:paraId="4CFC740D" w14:textId="54300BB4" w:rsidR="00451561" w:rsidRPr="00451561" w:rsidRDefault="00451561" w:rsidP="00451561">
      <w:pPr>
        <w:pStyle w:val="TDC3"/>
        <w:tabs>
          <w:tab w:val="right" w:leader="dot" w:pos="9350"/>
        </w:tabs>
        <w:jc w:val="both"/>
        <w:rPr>
          <w:rFonts w:eastAsiaTheme="minorEastAsia" w:cs="Times New Roman"/>
          <w:noProof/>
          <w:kern w:val="2"/>
          <w:szCs w:val="24"/>
          <w:lang w:eastAsia="es-HN"/>
          <w14:ligatures w14:val="standardContextual"/>
        </w:rPr>
      </w:pPr>
      <w:hyperlink w:anchor="_Toc175171422" w:history="1">
        <w:r w:rsidRPr="00451561">
          <w:rPr>
            <w:rStyle w:val="Hipervnculo"/>
            <w:rFonts w:cs="Times New Roman"/>
            <w:noProof/>
            <w:szCs w:val="24"/>
          </w:rPr>
          <w:t>3.5.2. FUENTES SECUNDARIAS</w:t>
        </w:r>
        <w:r w:rsidRPr="00451561">
          <w:rPr>
            <w:rFonts w:cs="Times New Roman"/>
            <w:noProof/>
            <w:webHidden/>
            <w:szCs w:val="24"/>
          </w:rPr>
          <w:tab/>
        </w:r>
        <w:r w:rsidRPr="00451561">
          <w:rPr>
            <w:rFonts w:cs="Times New Roman"/>
            <w:noProof/>
            <w:webHidden/>
            <w:szCs w:val="24"/>
          </w:rPr>
          <w:fldChar w:fldCharType="begin"/>
        </w:r>
        <w:r w:rsidRPr="00451561">
          <w:rPr>
            <w:rFonts w:cs="Times New Roman"/>
            <w:noProof/>
            <w:webHidden/>
            <w:szCs w:val="24"/>
          </w:rPr>
          <w:instrText xml:space="preserve"> PAGEREF _Toc175171422 \h </w:instrText>
        </w:r>
        <w:r w:rsidRPr="00451561">
          <w:rPr>
            <w:rFonts w:cs="Times New Roman"/>
            <w:noProof/>
            <w:webHidden/>
            <w:szCs w:val="24"/>
          </w:rPr>
        </w:r>
        <w:r w:rsidRPr="00451561">
          <w:rPr>
            <w:rFonts w:cs="Times New Roman"/>
            <w:noProof/>
            <w:webHidden/>
            <w:szCs w:val="24"/>
          </w:rPr>
          <w:fldChar w:fldCharType="separate"/>
        </w:r>
        <w:r w:rsidRPr="00451561">
          <w:rPr>
            <w:rFonts w:cs="Times New Roman"/>
            <w:noProof/>
            <w:webHidden/>
            <w:szCs w:val="24"/>
          </w:rPr>
          <w:t>62</w:t>
        </w:r>
        <w:r w:rsidRPr="00451561">
          <w:rPr>
            <w:rFonts w:cs="Times New Roman"/>
            <w:noProof/>
            <w:webHidden/>
            <w:szCs w:val="24"/>
          </w:rPr>
          <w:fldChar w:fldCharType="end"/>
        </w:r>
      </w:hyperlink>
    </w:p>
    <w:p w14:paraId="0BFCFC41" w14:textId="1534BC75" w:rsidR="00451561" w:rsidRPr="00451561" w:rsidRDefault="00451561" w:rsidP="00451561">
      <w:pPr>
        <w:pStyle w:val="TDC1"/>
        <w:tabs>
          <w:tab w:val="right" w:leader="dot" w:pos="9350"/>
        </w:tabs>
        <w:jc w:val="both"/>
        <w:rPr>
          <w:rFonts w:eastAsiaTheme="minorEastAsia" w:cs="Times New Roman"/>
          <w:noProof/>
          <w:kern w:val="2"/>
          <w:szCs w:val="24"/>
          <w:lang w:eastAsia="es-HN"/>
          <w14:ligatures w14:val="standardContextual"/>
        </w:rPr>
      </w:pPr>
      <w:hyperlink w:anchor="_Toc175171423" w:history="1">
        <w:r w:rsidRPr="00451561">
          <w:rPr>
            <w:rStyle w:val="Hipervnculo"/>
            <w:rFonts w:cs="Times New Roman"/>
            <w:noProof/>
            <w:szCs w:val="24"/>
          </w:rPr>
          <w:t>CAPÍTULO IV. RESULTADOS Y ANÁLISIS</w:t>
        </w:r>
        <w:r w:rsidRPr="00451561">
          <w:rPr>
            <w:rFonts w:cs="Times New Roman"/>
            <w:noProof/>
            <w:webHidden/>
            <w:szCs w:val="24"/>
          </w:rPr>
          <w:tab/>
        </w:r>
        <w:r w:rsidRPr="00451561">
          <w:rPr>
            <w:rFonts w:cs="Times New Roman"/>
            <w:noProof/>
            <w:webHidden/>
            <w:szCs w:val="24"/>
          </w:rPr>
          <w:fldChar w:fldCharType="begin"/>
        </w:r>
        <w:r w:rsidRPr="00451561">
          <w:rPr>
            <w:rFonts w:cs="Times New Roman"/>
            <w:noProof/>
            <w:webHidden/>
            <w:szCs w:val="24"/>
          </w:rPr>
          <w:instrText xml:space="preserve"> PAGEREF _Toc175171423 \h </w:instrText>
        </w:r>
        <w:r w:rsidRPr="00451561">
          <w:rPr>
            <w:rFonts w:cs="Times New Roman"/>
            <w:noProof/>
            <w:webHidden/>
            <w:szCs w:val="24"/>
          </w:rPr>
        </w:r>
        <w:r w:rsidRPr="00451561">
          <w:rPr>
            <w:rFonts w:cs="Times New Roman"/>
            <w:noProof/>
            <w:webHidden/>
            <w:szCs w:val="24"/>
          </w:rPr>
          <w:fldChar w:fldCharType="separate"/>
        </w:r>
        <w:r w:rsidRPr="00451561">
          <w:rPr>
            <w:rFonts w:cs="Times New Roman"/>
            <w:noProof/>
            <w:webHidden/>
            <w:szCs w:val="24"/>
          </w:rPr>
          <w:t>63</w:t>
        </w:r>
        <w:r w:rsidRPr="00451561">
          <w:rPr>
            <w:rFonts w:cs="Times New Roman"/>
            <w:noProof/>
            <w:webHidden/>
            <w:szCs w:val="24"/>
          </w:rPr>
          <w:fldChar w:fldCharType="end"/>
        </w:r>
      </w:hyperlink>
    </w:p>
    <w:p w14:paraId="036601D0" w14:textId="7F9A8C26" w:rsidR="00451561" w:rsidRPr="00451561" w:rsidRDefault="00451561" w:rsidP="00451561">
      <w:pPr>
        <w:pStyle w:val="TDC2"/>
        <w:tabs>
          <w:tab w:val="right" w:leader="dot" w:pos="9350"/>
        </w:tabs>
        <w:jc w:val="both"/>
        <w:rPr>
          <w:rFonts w:eastAsiaTheme="minorEastAsia" w:cs="Times New Roman"/>
          <w:noProof/>
          <w:kern w:val="2"/>
          <w:szCs w:val="24"/>
          <w:lang w:eastAsia="es-HN"/>
          <w14:ligatures w14:val="standardContextual"/>
        </w:rPr>
      </w:pPr>
      <w:hyperlink w:anchor="_Toc175171425" w:history="1">
        <w:r w:rsidRPr="00451561">
          <w:rPr>
            <w:rStyle w:val="Hipervnculo"/>
            <w:rFonts w:cs="Times New Roman"/>
            <w:noProof/>
            <w:szCs w:val="24"/>
          </w:rPr>
          <w:t>4.1. INFORME DE PROCESO DE RECOLECCIÓN DE DATOS</w:t>
        </w:r>
        <w:r w:rsidRPr="00451561">
          <w:rPr>
            <w:rFonts w:cs="Times New Roman"/>
            <w:noProof/>
            <w:webHidden/>
            <w:szCs w:val="24"/>
          </w:rPr>
          <w:tab/>
        </w:r>
        <w:r w:rsidRPr="00451561">
          <w:rPr>
            <w:rFonts w:cs="Times New Roman"/>
            <w:noProof/>
            <w:webHidden/>
            <w:szCs w:val="24"/>
          </w:rPr>
          <w:fldChar w:fldCharType="begin"/>
        </w:r>
        <w:r w:rsidRPr="00451561">
          <w:rPr>
            <w:rFonts w:cs="Times New Roman"/>
            <w:noProof/>
            <w:webHidden/>
            <w:szCs w:val="24"/>
          </w:rPr>
          <w:instrText xml:space="preserve"> PAGEREF _Toc175171425 \h </w:instrText>
        </w:r>
        <w:r w:rsidRPr="00451561">
          <w:rPr>
            <w:rFonts w:cs="Times New Roman"/>
            <w:noProof/>
            <w:webHidden/>
            <w:szCs w:val="24"/>
          </w:rPr>
        </w:r>
        <w:r w:rsidRPr="00451561">
          <w:rPr>
            <w:rFonts w:cs="Times New Roman"/>
            <w:noProof/>
            <w:webHidden/>
            <w:szCs w:val="24"/>
          </w:rPr>
          <w:fldChar w:fldCharType="separate"/>
        </w:r>
        <w:r w:rsidRPr="00451561">
          <w:rPr>
            <w:rFonts w:cs="Times New Roman"/>
            <w:noProof/>
            <w:webHidden/>
            <w:szCs w:val="24"/>
          </w:rPr>
          <w:t>63</w:t>
        </w:r>
        <w:r w:rsidRPr="00451561">
          <w:rPr>
            <w:rFonts w:cs="Times New Roman"/>
            <w:noProof/>
            <w:webHidden/>
            <w:szCs w:val="24"/>
          </w:rPr>
          <w:fldChar w:fldCharType="end"/>
        </w:r>
      </w:hyperlink>
    </w:p>
    <w:p w14:paraId="7B6044E0" w14:textId="4014E64A" w:rsidR="00451561" w:rsidRPr="00451561" w:rsidRDefault="00451561" w:rsidP="00451561">
      <w:pPr>
        <w:pStyle w:val="TDC2"/>
        <w:tabs>
          <w:tab w:val="right" w:leader="dot" w:pos="9350"/>
        </w:tabs>
        <w:jc w:val="both"/>
        <w:rPr>
          <w:rFonts w:eastAsiaTheme="minorEastAsia" w:cs="Times New Roman"/>
          <w:noProof/>
          <w:kern w:val="2"/>
          <w:szCs w:val="24"/>
          <w:lang w:eastAsia="es-HN"/>
          <w14:ligatures w14:val="standardContextual"/>
        </w:rPr>
      </w:pPr>
      <w:hyperlink w:anchor="_Toc175171426" w:history="1">
        <w:r w:rsidRPr="00451561">
          <w:rPr>
            <w:rStyle w:val="Hipervnculo"/>
            <w:rFonts w:cs="Times New Roman"/>
            <w:noProof/>
            <w:szCs w:val="24"/>
          </w:rPr>
          <w:t>4.2. RESULTADOS Y ANÁLISIS DE LAS TÉCNICAS CUANTITATIVAS</w:t>
        </w:r>
        <w:r w:rsidRPr="00451561">
          <w:rPr>
            <w:rFonts w:cs="Times New Roman"/>
            <w:noProof/>
            <w:webHidden/>
            <w:szCs w:val="24"/>
          </w:rPr>
          <w:tab/>
        </w:r>
        <w:r w:rsidRPr="00451561">
          <w:rPr>
            <w:rFonts w:cs="Times New Roman"/>
            <w:noProof/>
            <w:webHidden/>
            <w:szCs w:val="24"/>
          </w:rPr>
          <w:fldChar w:fldCharType="begin"/>
        </w:r>
        <w:r w:rsidRPr="00451561">
          <w:rPr>
            <w:rFonts w:cs="Times New Roman"/>
            <w:noProof/>
            <w:webHidden/>
            <w:szCs w:val="24"/>
          </w:rPr>
          <w:instrText xml:space="preserve"> PAGEREF _Toc175171426 \h </w:instrText>
        </w:r>
        <w:r w:rsidRPr="00451561">
          <w:rPr>
            <w:rFonts w:cs="Times New Roman"/>
            <w:noProof/>
            <w:webHidden/>
            <w:szCs w:val="24"/>
          </w:rPr>
        </w:r>
        <w:r w:rsidRPr="00451561">
          <w:rPr>
            <w:rFonts w:cs="Times New Roman"/>
            <w:noProof/>
            <w:webHidden/>
            <w:szCs w:val="24"/>
          </w:rPr>
          <w:fldChar w:fldCharType="separate"/>
        </w:r>
        <w:r w:rsidRPr="00451561">
          <w:rPr>
            <w:rFonts w:cs="Times New Roman"/>
            <w:noProof/>
            <w:webHidden/>
            <w:szCs w:val="24"/>
          </w:rPr>
          <w:t>64</w:t>
        </w:r>
        <w:r w:rsidRPr="00451561">
          <w:rPr>
            <w:rFonts w:cs="Times New Roman"/>
            <w:noProof/>
            <w:webHidden/>
            <w:szCs w:val="24"/>
          </w:rPr>
          <w:fldChar w:fldCharType="end"/>
        </w:r>
      </w:hyperlink>
    </w:p>
    <w:p w14:paraId="373F4E0C" w14:textId="0E297C16" w:rsidR="00451561" w:rsidRPr="00451561" w:rsidRDefault="00451561" w:rsidP="00451561">
      <w:pPr>
        <w:pStyle w:val="TDC3"/>
        <w:tabs>
          <w:tab w:val="right" w:leader="dot" w:pos="9350"/>
        </w:tabs>
        <w:jc w:val="both"/>
        <w:rPr>
          <w:rFonts w:eastAsiaTheme="minorEastAsia" w:cs="Times New Roman"/>
          <w:noProof/>
          <w:kern w:val="2"/>
          <w:szCs w:val="24"/>
          <w:lang w:eastAsia="es-HN"/>
          <w14:ligatures w14:val="standardContextual"/>
        </w:rPr>
      </w:pPr>
      <w:hyperlink w:anchor="_Toc175171427" w:history="1">
        <w:r w:rsidRPr="00451561">
          <w:rPr>
            <w:rStyle w:val="Hipervnculo"/>
            <w:rFonts w:cs="Times New Roman"/>
            <w:noProof/>
            <w:szCs w:val="24"/>
          </w:rPr>
          <w:t>4.2.1. RENTABILIDAD</w:t>
        </w:r>
        <w:r w:rsidRPr="00451561">
          <w:rPr>
            <w:rFonts w:cs="Times New Roman"/>
            <w:noProof/>
            <w:webHidden/>
            <w:szCs w:val="24"/>
          </w:rPr>
          <w:tab/>
        </w:r>
        <w:r w:rsidRPr="00451561">
          <w:rPr>
            <w:rFonts w:cs="Times New Roman"/>
            <w:noProof/>
            <w:webHidden/>
            <w:szCs w:val="24"/>
          </w:rPr>
          <w:fldChar w:fldCharType="begin"/>
        </w:r>
        <w:r w:rsidRPr="00451561">
          <w:rPr>
            <w:rFonts w:cs="Times New Roman"/>
            <w:noProof/>
            <w:webHidden/>
            <w:szCs w:val="24"/>
          </w:rPr>
          <w:instrText xml:space="preserve"> PAGEREF _Toc175171427 \h </w:instrText>
        </w:r>
        <w:r w:rsidRPr="00451561">
          <w:rPr>
            <w:rFonts w:cs="Times New Roman"/>
            <w:noProof/>
            <w:webHidden/>
            <w:szCs w:val="24"/>
          </w:rPr>
        </w:r>
        <w:r w:rsidRPr="00451561">
          <w:rPr>
            <w:rFonts w:cs="Times New Roman"/>
            <w:noProof/>
            <w:webHidden/>
            <w:szCs w:val="24"/>
          </w:rPr>
          <w:fldChar w:fldCharType="separate"/>
        </w:r>
        <w:r w:rsidRPr="00451561">
          <w:rPr>
            <w:rFonts w:cs="Times New Roman"/>
            <w:noProof/>
            <w:webHidden/>
            <w:szCs w:val="24"/>
          </w:rPr>
          <w:t>64</w:t>
        </w:r>
        <w:r w:rsidRPr="00451561">
          <w:rPr>
            <w:rFonts w:cs="Times New Roman"/>
            <w:noProof/>
            <w:webHidden/>
            <w:szCs w:val="24"/>
          </w:rPr>
          <w:fldChar w:fldCharType="end"/>
        </w:r>
      </w:hyperlink>
    </w:p>
    <w:p w14:paraId="12A1E1D4" w14:textId="3AD9CEC6" w:rsidR="00451561" w:rsidRPr="00451561" w:rsidRDefault="00451561" w:rsidP="00451561">
      <w:pPr>
        <w:pStyle w:val="TDC4"/>
        <w:jc w:val="both"/>
        <w:rPr>
          <w:rFonts w:eastAsiaTheme="minorEastAsia"/>
          <w:iCs w:val="0"/>
          <w:kern w:val="2"/>
          <w:szCs w:val="24"/>
          <w:lang w:eastAsia="es-HN"/>
          <w14:ligatures w14:val="standardContextual"/>
        </w:rPr>
      </w:pPr>
      <w:hyperlink w:anchor="_Toc175171428" w:history="1">
        <w:r w:rsidRPr="00451561">
          <w:rPr>
            <w:rStyle w:val="Hipervnculo"/>
            <w:szCs w:val="24"/>
          </w:rPr>
          <w:t>4.2.1.1. DIMENSIÓN FINANCIERA</w:t>
        </w:r>
        <w:r w:rsidRPr="00451561">
          <w:rPr>
            <w:webHidden/>
            <w:szCs w:val="24"/>
          </w:rPr>
          <w:tab/>
        </w:r>
        <w:r w:rsidRPr="00451561">
          <w:rPr>
            <w:webHidden/>
            <w:szCs w:val="24"/>
          </w:rPr>
          <w:fldChar w:fldCharType="begin"/>
        </w:r>
        <w:r w:rsidRPr="00451561">
          <w:rPr>
            <w:webHidden/>
            <w:szCs w:val="24"/>
          </w:rPr>
          <w:instrText xml:space="preserve"> PAGEREF _Toc175171428 \h </w:instrText>
        </w:r>
        <w:r w:rsidRPr="00451561">
          <w:rPr>
            <w:webHidden/>
            <w:szCs w:val="24"/>
          </w:rPr>
        </w:r>
        <w:r w:rsidRPr="00451561">
          <w:rPr>
            <w:webHidden/>
            <w:szCs w:val="24"/>
          </w:rPr>
          <w:fldChar w:fldCharType="separate"/>
        </w:r>
        <w:r w:rsidRPr="00451561">
          <w:rPr>
            <w:webHidden/>
            <w:szCs w:val="24"/>
          </w:rPr>
          <w:t>65</w:t>
        </w:r>
        <w:r w:rsidRPr="00451561">
          <w:rPr>
            <w:webHidden/>
            <w:szCs w:val="24"/>
          </w:rPr>
          <w:fldChar w:fldCharType="end"/>
        </w:r>
      </w:hyperlink>
    </w:p>
    <w:p w14:paraId="67612FB8" w14:textId="6F09A9DA" w:rsidR="00451561" w:rsidRPr="00451561" w:rsidRDefault="00451561" w:rsidP="00451561">
      <w:pPr>
        <w:pStyle w:val="TDC5"/>
        <w:tabs>
          <w:tab w:val="right" w:leader="dot" w:pos="9350"/>
        </w:tabs>
        <w:spacing w:line="360" w:lineRule="auto"/>
        <w:jc w:val="both"/>
        <w:rPr>
          <w:rFonts w:ascii="Times New Roman" w:hAnsi="Times New Roman" w:cs="Times New Roman"/>
          <w:noProof/>
          <w14:ligatures w14:val="standardContextual"/>
        </w:rPr>
      </w:pPr>
      <w:hyperlink w:anchor="_Toc175171429" w:history="1">
        <w:r w:rsidRPr="00451561">
          <w:rPr>
            <w:rStyle w:val="Hipervnculo"/>
            <w:rFonts w:ascii="Times New Roman" w:hAnsi="Times New Roman" w:cs="Times New Roman"/>
            <w:noProof/>
          </w:rPr>
          <w:t>4.2.1.1.1. RENDIMIENTO SOBRE LOS ACTIVOS (ROA)</w:t>
        </w:r>
        <w:r w:rsidRPr="00451561">
          <w:rPr>
            <w:rFonts w:ascii="Times New Roman" w:hAnsi="Times New Roman" w:cs="Times New Roman"/>
            <w:noProof/>
            <w:webHidden/>
          </w:rPr>
          <w:tab/>
        </w:r>
        <w:r w:rsidRPr="00451561">
          <w:rPr>
            <w:rFonts w:ascii="Times New Roman" w:hAnsi="Times New Roman" w:cs="Times New Roman"/>
            <w:noProof/>
            <w:webHidden/>
          </w:rPr>
          <w:fldChar w:fldCharType="begin"/>
        </w:r>
        <w:r w:rsidRPr="00451561">
          <w:rPr>
            <w:rFonts w:ascii="Times New Roman" w:hAnsi="Times New Roman" w:cs="Times New Roman"/>
            <w:noProof/>
            <w:webHidden/>
          </w:rPr>
          <w:instrText xml:space="preserve"> PAGEREF _Toc175171429 \h </w:instrText>
        </w:r>
        <w:r w:rsidRPr="00451561">
          <w:rPr>
            <w:rFonts w:ascii="Times New Roman" w:hAnsi="Times New Roman" w:cs="Times New Roman"/>
            <w:noProof/>
            <w:webHidden/>
          </w:rPr>
        </w:r>
        <w:r w:rsidRPr="00451561">
          <w:rPr>
            <w:rFonts w:ascii="Times New Roman" w:hAnsi="Times New Roman" w:cs="Times New Roman"/>
            <w:noProof/>
            <w:webHidden/>
          </w:rPr>
          <w:fldChar w:fldCharType="separate"/>
        </w:r>
        <w:r w:rsidRPr="00451561">
          <w:rPr>
            <w:rFonts w:ascii="Times New Roman" w:hAnsi="Times New Roman" w:cs="Times New Roman"/>
            <w:noProof/>
            <w:webHidden/>
          </w:rPr>
          <w:t>65</w:t>
        </w:r>
        <w:r w:rsidRPr="00451561">
          <w:rPr>
            <w:rFonts w:ascii="Times New Roman" w:hAnsi="Times New Roman" w:cs="Times New Roman"/>
            <w:noProof/>
            <w:webHidden/>
          </w:rPr>
          <w:fldChar w:fldCharType="end"/>
        </w:r>
      </w:hyperlink>
    </w:p>
    <w:p w14:paraId="16709E68" w14:textId="284D8F3C" w:rsidR="00451561" w:rsidRPr="00451561" w:rsidRDefault="00451561" w:rsidP="00451561">
      <w:pPr>
        <w:pStyle w:val="TDC5"/>
        <w:tabs>
          <w:tab w:val="right" w:leader="dot" w:pos="9350"/>
        </w:tabs>
        <w:spacing w:line="360" w:lineRule="auto"/>
        <w:jc w:val="both"/>
        <w:rPr>
          <w:rFonts w:ascii="Times New Roman" w:hAnsi="Times New Roman" w:cs="Times New Roman"/>
          <w:noProof/>
          <w14:ligatures w14:val="standardContextual"/>
        </w:rPr>
      </w:pPr>
      <w:hyperlink w:anchor="_Toc175171430" w:history="1">
        <w:r w:rsidRPr="00451561">
          <w:rPr>
            <w:rStyle w:val="Hipervnculo"/>
            <w:rFonts w:ascii="Times New Roman" w:hAnsi="Times New Roman" w:cs="Times New Roman"/>
            <w:noProof/>
          </w:rPr>
          <w:t>4.2.1.1.2. RENDIMIENTO SOBRE EL CAPITAL (ROE)</w:t>
        </w:r>
        <w:r w:rsidRPr="00451561">
          <w:rPr>
            <w:rFonts w:ascii="Times New Roman" w:hAnsi="Times New Roman" w:cs="Times New Roman"/>
            <w:noProof/>
            <w:webHidden/>
          </w:rPr>
          <w:tab/>
        </w:r>
        <w:r w:rsidRPr="00451561">
          <w:rPr>
            <w:rFonts w:ascii="Times New Roman" w:hAnsi="Times New Roman" w:cs="Times New Roman"/>
            <w:noProof/>
            <w:webHidden/>
          </w:rPr>
          <w:fldChar w:fldCharType="begin"/>
        </w:r>
        <w:r w:rsidRPr="00451561">
          <w:rPr>
            <w:rFonts w:ascii="Times New Roman" w:hAnsi="Times New Roman" w:cs="Times New Roman"/>
            <w:noProof/>
            <w:webHidden/>
          </w:rPr>
          <w:instrText xml:space="preserve"> PAGEREF _Toc175171430 \h </w:instrText>
        </w:r>
        <w:r w:rsidRPr="00451561">
          <w:rPr>
            <w:rFonts w:ascii="Times New Roman" w:hAnsi="Times New Roman" w:cs="Times New Roman"/>
            <w:noProof/>
            <w:webHidden/>
          </w:rPr>
        </w:r>
        <w:r w:rsidRPr="00451561">
          <w:rPr>
            <w:rFonts w:ascii="Times New Roman" w:hAnsi="Times New Roman" w:cs="Times New Roman"/>
            <w:noProof/>
            <w:webHidden/>
          </w:rPr>
          <w:fldChar w:fldCharType="separate"/>
        </w:r>
        <w:r w:rsidRPr="00451561">
          <w:rPr>
            <w:rFonts w:ascii="Times New Roman" w:hAnsi="Times New Roman" w:cs="Times New Roman"/>
            <w:noProof/>
            <w:webHidden/>
          </w:rPr>
          <w:t>67</w:t>
        </w:r>
        <w:r w:rsidRPr="00451561">
          <w:rPr>
            <w:rFonts w:ascii="Times New Roman" w:hAnsi="Times New Roman" w:cs="Times New Roman"/>
            <w:noProof/>
            <w:webHidden/>
          </w:rPr>
          <w:fldChar w:fldCharType="end"/>
        </w:r>
      </w:hyperlink>
    </w:p>
    <w:p w14:paraId="7979B938" w14:textId="0ECDAED7" w:rsidR="00451561" w:rsidRPr="00451561" w:rsidRDefault="00451561" w:rsidP="00451561">
      <w:pPr>
        <w:pStyle w:val="TDC5"/>
        <w:tabs>
          <w:tab w:val="right" w:leader="dot" w:pos="9350"/>
        </w:tabs>
        <w:spacing w:line="360" w:lineRule="auto"/>
        <w:jc w:val="both"/>
        <w:rPr>
          <w:rFonts w:ascii="Times New Roman" w:hAnsi="Times New Roman" w:cs="Times New Roman"/>
          <w:noProof/>
          <w14:ligatures w14:val="standardContextual"/>
        </w:rPr>
      </w:pPr>
      <w:hyperlink w:anchor="_Toc175171431" w:history="1">
        <w:r w:rsidRPr="00451561">
          <w:rPr>
            <w:rStyle w:val="Hipervnculo"/>
            <w:rFonts w:ascii="Times New Roman" w:hAnsi="Times New Roman" w:cs="Times New Roman"/>
            <w:noProof/>
          </w:rPr>
          <w:t>4.2.1.1.3. MARGEN DE UTILIDAD</w:t>
        </w:r>
        <w:r w:rsidRPr="00451561">
          <w:rPr>
            <w:rFonts w:ascii="Times New Roman" w:hAnsi="Times New Roman" w:cs="Times New Roman"/>
            <w:noProof/>
            <w:webHidden/>
          </w:rPr>
          <w:tab/>
        </w:r>
        <w:r w:rsidRPr="00451561">
          <w:rPr>
            <w:rFonts w:ascii="Times New Roman" w:hAnsi="Times New Roman" w:cs="Times New Roman"/>
            <w:noProof/>
            <w:webHidden/>
          </w:rPr>
          <w:fldChar w:fldCharType="begin"/>
        </w:r>
        <w:r w:rsidRPr="00451561">
          <w:rPr>
            <w:rFonts w:ascii="Times New Roman" w:hAnsi="Times New Roman" w:cs="Times New Roman"/>
            <w:noProof/>
            <w:webHidden/>
          </w:rPr>
          <w:instrText xml:space="preserve"> PAGEREF _Toc175171431 \h </w:instrText>
        </w:r>
        <w:r w:rsidRPr="00451561">
          <w:rPr>
            <w:rFonts w:ascii="Times New Roman" w:hAnsi="Times New Roman" w:cs="Times New Roman"/>
            <w:noProof/>
            <w:webHidden/>
          </w:rPr>
        </w:r>
        <w:r w:rsidRPr="00451561">
          <w:rPr>
            <w:rFonts w:ascii="Times New Roman" w:hAnsi="Times New Roman" w:cs="Times New Roman"/>
            <w:noProof/>
            <w:webHidden/>
          </w:rPr>
          <w:fldChar w:fldCharType="separate"/>
        </w:r>
        <w:r w:rsidRPr="00451561">
          <w:rPr>
            <w:rFonts w:ascii="Times New Roman" w:hAnsi="Times New Roman" w:cs="Times New Roman"/>
            <w:noProof/>
            <w:webHidden/>
          </w:rPr>
          <w:t>69</w:t>
        </w:r>
        <w:r w:rsidRPr="00451561">
          <w:rPr>
            <w:rFonts w:ascii="Times New Roman" w:hAnsi="Times New Roman" w:cs="Times New Roman"/>
            <w:noProof/>
            <w:webHidden/>
          </w:rPr>
          <w:fldChar w:fldCharType="end"/>
        </w:r>
      </w:hyperlink>
    </w:p>
    <w:p w14:paraId="4DC39773" w14:textId="7A882BD1" w:rsidR="00451561" w:rsidRPr="00451561" w:rsidRDefault="00451561" w:rsidP="00451561">
      <w:pPr>
        <w:pStyle w:val="TDC3"/>
        <w:tabs>
          <w:tab w:val="right" w:leader="dot" w:pos="9350"/>
        </w:tabs>
        <w:jc w:val="both"/>
        <w:rPr>
          <w:rFonts w:eastAsiaTheme="minorEastAsia" w:cs="Times New Roman"/>
          <w:noProof/>
          <w:kern w:val="2"/>
          <w:szCs w:val="24"/>
          <w:lang w:eastAsia="es-HN"/>
          <w14:ligatures w14:val="standardContextual"/>
        </w:rPr>
      </w:pPr>
      <w:hyperlink w:anchor="_Toc175171432" w:history="1">
        <w:r w:rsidRPr="00451561">
          <w:rPr>
            <w:rStyle w:val="Hipervnculo"/>
            <w:rFonts w:cs="Times New Roman"/>
            <w:noProof/>
            <w:szCs w:val="24"/>
          </w:rPr>
          <w:t>4.2.2. LIQUIDEZ</w:t>
        </w:r>
        <w:r w:rsidRPr="00451561">
          <w:rPr>
            <w:rFonts w:cs="Times New Roman"/>
            <w:noProof/>
            <w:webHidden/>
            <w:szCs w:val="24"/>
          </w:rPr>
          <w:tab/>
        </w:r>
        <w:r w:rsidRPr="00451561">
          <w:rPr>
            <w:rFonts w:cs="Times New Roman"/>
            <w:noProof/>
            <w:webHidden/>
            <w:szCs w:val="24"/>
          </w:rPr>
          <w:fldChar w:fldCharType="begin"/>
        </w:r>
        <w:r w:rsidRPr="00451561">
          <w:rPr>
            <w:rFonts w:cs="Times New Roman"/>
            <w:noProof/>
            <w:webHidden/>
            <w:szCs w:val="24"/>
          </w:rPr>
          <w:instrText xml:space="preserve"> PAGEREF _Toc175171432 \h </w:instrText>
        </w:r>
        <w:r w:rsidRPr="00451561">
          <w:rPr>
            <w:rFonts w:cs="Times New Roman"/>
            <w:noProof/>
            <w:webHidden/>
            <w:szCs w:val="24"/>
          </w:rPr>
        </w:r>
        <w:r w:rsidRPr="00451561">
          <w:rPr>
            <w:rFonts w:cs="Times New Roman"/>
            <w:noProof/>
            <w:webHidden/>
            <w:szCs w:val="24"/>
          </w:rPr>
          <w:fldChar w:fldCharType="separate"/>
        </w:r>
        <w:r w:rsidRPr="00451561">
          <w:rPr>
            <w:rFonts w:cs="Times New Roman"/>
            <w:noProof/>
            <w:webHidden/>
            <w:szCs w:val="24"/>
          </w:rPr>
          <w:t>70</w:t>
        </w:r>
        <w:r w:rsidRPr="00451561">
          <w:rPr>
            <w:rFonts w:cs="Times New Roman"/>
            <w:noProof/>
            <w:webHidden/>
            <w:szCs w:val="24"/>
          </w:rPr>
          <w:fldChar w:fldCharType="end"/>
        </w:r>
      </w:hyperlink>
    </w:p>
    <w:p w14:paraId="6395E53A" w14:textId="73284B28" w:rsidR="00451561" w:rsidRPr="00451561" w:rsidRDefault="00451561" w:rsidP="00451561">
      <w:pPr>
        <w:pStyle w:val="TDC4"/>
        <w:jc w:val="both"/>
        <w:rPr>
          <w:rFonts w:eastAsiaTheme="minorEastAsia"/>
          <w:iCs w:val="0"/>
          <w:kern w:val="2"/>
          <w:szCs w:val="24"/>
          <w:lang w:eastAsia="es-HN"/>
          <w14:ligatures w14:val="standardContextual"/>
        </w:rPr>
      </w:pPr>
      <w:hyperlink w:anchor="_Toc175171433" w:history="1">
        <w:r w:rsidRPr="00451561">
          <w:rPr>
            <w:rStyle w:val="Hipervnculo"/>
            <w:szCs w:val="24"/>
          </w:rPr>
          <w:t>4.2.2.1 DIMENSION DISPONIBILIDAD INMEDIATA</w:t>
        </w:r>
        <w:r w:rsidRPr="00451561">
          <w:rPr>
            <w:webHidden/>
            <w:szCs w:val="24"/>
          </w:rPr>
          <w:tab/>
        </w:r>
        <w:r w:rsidRPr="00451561">
          <w:rPr>
            <w:webHidden/>
            <w:szCs w:val="24"/>
          </w:rPr>
          <w:fldChar w:fldCharType="begin"/>
        </w:r>
        <w:r w:rsidRPr="00451561">
          <w:rPr>
            <w:webHidden/>
            <w:szCs w:val="24"/>
          </w:rPr>
          <w:instrText xml:space="preserve"> PAGEREF _Toc175171433 \h </w:instrText>
        </w:r>
        <w:r w:rsidRPr="00451561">
          <w:rPr>
            <w:webHidden/>
            <w:szCs w:val="24"/>
          </w:rPr>
        </w:r>
        <w:r w:rsidRPr="00451561">
          <w:rPr>
            <w:webHidden/>
            <w:szCs w:val="24"/>
          </w:rPr>
          <w:fldChar w:fldCharType="separate"/>
        </w:r>
        <w:r w:rsidRPr="00451561">
          <w:rPr>
            <w:webHidden/>
            <w:szCs w:val="24"/>
          </w:rPr>
          <w:t>71</w:t>
        </w:r>
        <w:r w:rsidRPr="00451561">
          <w:rPr>
            <w:webHidden/>
            <w:szCs w:val="24"/>
          </w:rPr>
          <w:fldChar w:fldCharType="end"/>
        </w:r>
      </w:hyperlink>
    </w:p>
    <w:p w14:paraId="0887C2BB" w14:textId="7CEBF4E6" w:rsidR="00451561" w:rsidRPr="00451561" w:rsidRDefault="00451561" w:rsidP="00451561">
      <w:pPr>
        <w:pStyle w:val="TDC5"/>
        <w:tabs>
          <w:tab w:val="right" w:leader="dot" w:pos="9350"/>
        </w:tabs>
        <w:spacing w:line="360" w:lineRule="auto"/>
        <w:jc w:val="both"/>
        <w:rPr>
          <w:rFonts w:ascii="Times New Roman" w:hAnsi="Times New Roman" w:cs="Times New Roman"/>
          <w:noProof/>
          <w14:ligatures w14:val="standardContextual"/>
        </w:rPr>
      </w:pPr>
      <w:hyperlink w:anchor="_Toc175171434" w:history="1">
        <w:r w:rsidRPr="00451561">
          <w:rPr>
            <w:rStyle w:val="Hipervnculo"/>
            <w:rFonts w:ascii="Times New Roman" w:hAnsi="Times New Roman" w:cs="Times New Roman"/>
            <w:noProof/>
          </w:rPr>
          <w:t>4.2.2.1.1. RATIO DE LIQUIDEZ</w:t>
        </w:r>
        <w:r w:rsidRPr="00451561">
          <w:rPr>
            <w:rFonts w:ascii="Times New Roman" w:hAnsi="Times New Roman" w:cs="Times New Roman"/>
            <w:noProof/>
            <w:webHidden/>
          </w:rPr>
          <w:tab/>
        </w:r>
        <w:r w:rsidRPr="00451561">
          <w:rPr>
            <w:rFonts w:ascii="Times New Roman" w:hAnsi="Times New Roman" w:cs="Times New Roman"/>
            <w:noProof/>
            <w:webHidden/>
          </w:rPr>
          <w:fldChar w:fldCharType="begin"/>
        </w:r>
        <w:r w:rsidRPr="00451561">
          <w:rPr>
            <w:rFonts w:ascii="Times New Roman" w:hAnsi="Times New Roman" w:cs="Times New Roman"/>
            <w:noProof/>
            <w:webHidden/>
          </w:rPr>
          <w:instrText xml:space="preserve"> PAGEREF _Toc175171434 \h </w:instrText>
        </w:r>
        <w:r w:rsidRPr="00451561">
          <w:rPr>
            <w:rFonts w:ascii="Times New Roman" w:hAnsi="Times New Roman" w:cs="Times New Roman"/>
            <w:noProof/>
            <w:webHidden/>
          </w:rPr>
        </w:r>
        <w:r w:rsidRPr="00451561">
          <w:rPr>
            <w:rFonts w:ascii="Times New Roman" w:hAnsi="Times New Roman" w:cs="Times New Roman"/>
            <w:noProof/>
            <w:webHidden/>
          </w:rPr>
          <w:fldChar w:fldCharType="separate"/>
        </w:r>
        <w:r w:rsidRPr="00451561">
          <w:rPr>
            <w:rFonts w:ascii="Times New Roman" w:hAnsi="Times New Roman" w:cs="Times New Roman"/>
            <w:noProof/>
            <w:webHidden/>
          </w:rPr>
          <w:t>71</w:t>
        </w:r>
        <w:r w:rsidRPr="00451561">
          <w:rPr>
            <w:rFonts w:ascii="Times New Roman" w:hAnsi="Times New Roman" w:cs="Times New Roman"/>
            <w:noProof/>
            <w:webHidden/>
          </w:rPr>
          <w:fldChar w:fldCharType="end"/>
        </w:r>
      </w:hyperlink>
    </w:p>
    <w:p w14:paraId="5B463F8C" w14:textId="4CC0B654" w:rsidR="00451561" w:rsidRPr="00451561" w:rsidRDefault="00451561" w:rsidP="00451561">
      <w:pPr>
        <w:pStyle w:val="TDC5"/>
        <w:tabs>
          <w:tab w:val="right" w:leader="dot" w:pos="9350"/>
        </w:tabs>
        <w:spacing w:line="360" w:lineRule="auto"/>
        <w:jc w:val="both"/>
        <w:rPr>
          <w:rFonts w:ascii="Times New Roman" w:hAnsi="Times New Roman" w:cs="Times New Roman"/>
          <w:noProof/>
          <w14:ligatures w14:val="standardContextual"/>
        </w:rPr>
      </w:pPr>
      <w:hyperlink w:anchor="_Toc175171435" w:history="1">
        <w:r w:rsidRPr="00451561">
          <w:rPr>
            <w:rStyle w:val="Hipervnculo"/>
            <w:rFonts w:ascii="Times New Roman" w:hAnsi="Times New Roman" w:cs="Times New Roman"/>
            <w:noProof/>
          </w:rPr>
          <w:t>4.2.2.1.2. PRUEBA DEFENSIVA/RAZON DE EFECTIVO</w:t>
        </w:r>
        <w:r w:rsidRPr="00451561">
          <w:rPr>
            <w:rFonts w:ascii="Times New Roman" w:hAnsi="Times New Roman" w:cs="Times New Roman"/>
            <w:noProof/>
            <w:webHidden/>
          </w:rPr>
          <w:tab/>
        </w:r>
        <w:r w:rsidRPr="00451561">
          <w:rPr>
            <w:rFonts w:ascii="Times New Roman" w:hAnsi="Times New Roman" w:cs="Times New Roman"/>
            <w:noProof/>
            <w:webHidden/>
          </w:rPr>
          <w:fldChar w:fldCharType="begin"/>
        </w:r>
        <w:r w:rsidRPr="00451561">
          <w:rPr>
            <w:rFonts w:ascii="Times New Roman" w:hAnsi="Times New Roman" w:cs="Times New Roman"/>
            <w:noProof/>
            <w:webHidden/>
          </w:rPr>
          <w:instrText xml:space="preserve"> PAGEREF _Toc175171435 \h </w:instrText>
        </w:r>
        <w:r w:rsidRPr="00451561">
          <w:rPr>
            <w:rFonts w:ascii="Times New Roman" w:hAnsi="Times New Roman" w:cs="Times New Roman"/>
            <w:noProof/>
            <w:webHidden/>
          </w:rPr>
        </w:r>
        <w:r w:rsidRPr="00451561">
          <w:rPr>
            <w:rFonts w:ascii="Times New Roman" w:hAnsi="Times New Roman" w:cs="Times New Roman"/>
            <w:noProof/>
            <w:webHidden/>
          </w:rPr>
          <w:fldChar w:fldCharType="separate"/>
        </w:r>
        <w:r w:rsidRPr="00451561">
          <w:rPr>
            <w:rFonts w:ascii="Times New Roman" w:hAnsi="Times New Roman" w:cs="Times New Roman"/>
            <w:noProof/>
            <w:webHidden/>
          </w:rPr>
          <w:t>72</w:t>
        </w:r>
        <w:r w:rsidRPr="00451561">
          <w:rPr>
            <w:rFonts w:ascii="Times New Roman" w:hAnsi="Times New Roman" w:cs="Times New Roman"/>
            <w:noProof/>
            <w:webHidden/>
          </w:rPr>
          <w:fldChar w:fldCharType="end"/>
        </w:r>
      </w:hyperlink>
    </w:p>
    <w:p w14:paraId="3100BFDE" w14:textId="605FA566" w:rsidR="00451561" w:rsidRPr="00451561" w:rsidRDefault="00451561" w:rsidP="00451561">
      <w:pPr>
        <w:pStyle w:val="TDC5"/>
        <w:tabs>
          <w:tab w:val="right" w:leader="dot" w:pos="9350"/>
        </w:tabs>
        <w:spacing w:line="360" w:lineRule="auto"/>
        <w:jc w:val="both"/>
        <w:rPr>
          <w:rFonts w:ascii="Times New Roman" w:hAnsi="Times New Roman" w:cs="Times New Roman"/>
          <w:noProof/>
          <w14:ligatures w14:val="standardContextual"/>
        </w:rPr>
      </w:pPr>
      <w:hyperlink w:anchor="_Toc175171436" w:history="1">
        <w:r w:rsidRPr="00451561">
          <w:rPr>
            <w:rStyle w:val="Hipervnculo"/>
            <w:rFonts w:ascii="Times New Roman" w:hAnsi="Times New Roman" w:cs="Times New Roman"/>
            <w:noProof/>
          </w:rPr>
          <w:t>4.2.2.1.3. CAPITAL DE TRABAJO</w:t>
        </w:r>
        <w:r w:rsidRPr="00451561">
          <w:rPr>
            <w:rFonts w:ascii="Times New Roman" w:hAnsi="Times New Roman" w:cs="Times New Roman"/>
            <w:noProof/>
            <w:webHidden/>
          </w:rPr>
          <w:tab/>
        </w:r>
        <w:r w:rsidRPr="00451561">
          <w:rPr>
            <w:rFonts w:ascii="Times New Roman" w:hAnsi="Times New Roman" w:cs="Times New Roman"/>
            <w:noProof/>
            <w:webHidden/>
          </w:rPr>
          <w:fldChar w:fldCharType="begin"/>
        </w:r>
        <w:r w:rsidRPr="00451561">
          <w:rPr>
            <w:rFonts w:ascii="Times New Roman" w:hAnsi="Times New Roman" w:cs="Times New Roman"/>
            <w:noProof/>
            <w:webHidden/>
          </w:rPr>
          <w:instrText xml:space="preserve"> PAGEREF _Toc175171436 \h </w:instrText>
        </w:r>
        <w:r w:rsidRPr="00451561">
          <w:rPr>
            <w:rFonts w:ascii="Times New Roman" w:hAnsi="Times New Roman" w:cs="Times New Roman"/>
            <w:noProof/>
            <w:webHidden/>
          </w:rPr>
        </w:r>
        <w:r w:rsidRPr="00451561">
          <w:rPr>
            <w:rFonts w:ascii="Times New Roman" w:hAnsi="Times New Roman" w:cs="Times New Roman"/>
            <w:noProof/>
            <w:webHidden/>
          </w:rPr>
          <w:fldChar w:fldCharType="separate"/>
        </w:r>
        <w:r w:rsidRPr="00451561">
          <w:rPr>
            <w:rFonts w:ascii="Times New Roman" w:hAnsi="Times New Roman" w:cs="Times New Roman"/>
            <w:noProof/>
            <w:webHidden/>
          </w:rPr>
          <w:t>74</w:t>
        </w:r>
        <w:r w:rsidRPr="00451561">
          <w:rPr>
            <w:rFonts w:ascii="Times New Roman" w:hAnsi="Times New Roman" w:cs="Times New Roman"/>
            <w:noProof/>
            <w:webHidden/>
          </w:rPr>
          <w:fldChar w:fldCharType="end"/>
        </w:r>
      </w:hyperlink>
    </w:p>
    <w:p w14:paraId="04CD719B" w14:textId="5C609C07" w:rsidR="00451561" w:rsidRPr="00451561" w:rsidRDefault="00451561" w:rsidP="00451561">
      <w:pPr>
        <w:pStyle w:val="TDC3"/>
        <w:tabs>
          <w:tab w:val="right" w:leader="dot" w:pos="9350"/>
        </w:tabs>
        <w:jc w:val="both"/>
        <w:rPr>
          <w:rFonts w:eastAsiaTheme="minorEastAsia" w:cs="Times New Roman"/>
          <w:noProof/>
          <w:kern w:val="2"/>
          <w:szCs w:val="24"/>
          <w:lang w:eastAsia="es-HN"/>
          <w14:ligatures w14:val="standardContextual"/>
        </w:rPr>
      </w:pPr>
      <w:hyperlink w:anchor="_Toc175171437" w:history="1">
        <w:r w:rsidRPr="00451561">
          <w:rPr>
            <w:rStyle w:val="Hipervnculo"/>
            <w:rFonts w:cs="Times New Roman"/>
            <w:noProof/>
            <w:szCs w:val="24"/>
          </w:rPr>
          <w:t>4.2.3. SOLVENCIA FINANCIERA Y ENDEUDAMIENTO</w:t>
        </w:r>
        <w:r w:rsidRPr="00451561">
          <w:rPr>
            <w:rFonts w:cs="Times New Roman"/>
            <w:noProof/>
            <w:webHidden/>
            <w:szCs w:val="24"/>
          </w:rPr>
          <w:tab/>
        </w:r>
        <w:r w:rsidRPr="00451561">
          <w:rPr>
            <w:rFonts w:cs="Times New Roman"/>
            <w:noProof/>
            <w:webHidden/>
            <w:szCs w:val="24"/>
          </w:rPr>
          <w:fldChar w:fldCharType="begin"/>
        </w:r>
        <w:r w:rsidRPr="00451561">
          <w:rPr>
            <w:rFonts w:cs="Times New Roman"/>
            <w:noProof/>
            <w:webHidden/>
            <w:szCs w:val="24"/>
          </w:rPr>
          <w:instrText xml:space="preserve"> PAGEREF _Toc175171437 \h </w:instrText>
        </w:r>
        <w:r w:rsidRPr="00451561">
          <w:rPr>
            <w:rFonts w:cs="Times New Roman"/>
            <w:noProof/>
            <w:webHidden/>
            <w:szCs w:val="24"/>
          </w:rPr>
        </w:r>
        <w:r w:rsidRPr="00451561">
          <w:rPr>
            <w:rFonts w:cs="Times New Roman"/>
            <w:noProof/>
            <w:webHidden/>
            <w:szCs w:val="24"/>
          </w:rPr>
          <w:fldChar w:fldCharType="separate"/>
        </w:r>
        <w:r w:rsidRPr="00451561">
          <w:rPr>
            <w:rFonts w:cs="Times New Roman"/>
            <w:noProof/>
            <w:webHidden/>
            <w:szCs w:val="24"/>
          </w:rPr>
          <w:t>75</w:t>
        </w:r>
        <w:r w:rsidRPr="00451561">
          <w:rPr>
            <w:rFonts w:cs="Times New Roman"/>
            <w:noProof/>
            <w:webHidden/>
            <w:szCs w:val="24"/>
          </w:rPr>
          <w:fldChar w:fldCharType="end"/>
        </w:r>
      </w:hyperlink>
    </w:p>
    <w:p w14:paraId="588C057F" w14:textId="6DBE057F" w:rsidR="00451561" w:rsidRPr="00451561" w:rsidRDefault="00451561" w:rsidP="00451561">
      <w:pPr>
        <w:pStyle w:val="TDC4"/>
        <w:jc w:val="both"/>
        <w:rPr>
          <w:rFonts w:eastAsiaTheme="minorEastAsia"/>
          <w:iCs w:val="0"/>
          <w:kern w:val="2"/>
          <w:szCs w:val="24"/>
          <w:lang w:eastAsia="es-HN"/>
          <w14:ligatures w14:val="standardContextual"/>
        </w:rPr>
      </w:pPr>
      <w:hyperlink w:anchor="_Toc175171438" w:history="1">
        <w:r w:rsidRPr="00451561">
          <w:rPr>
            <w:rStyle w:val="Hipervnculo"/>
            <w:szCs w:val="24"/>
          </w:rPr>
          <w:t>4.2.3.1 DIMENSION FINANCIERA</w:t>
        </w:r>
        <w:r w:rsidRPr="00451561">
          <w:rPr>
            <w:webHidden/>
            <w:szCs w:val="24"/>
          </w:rPr>
          <w:tab/>
        </w:r>
        <w:r w:rsidRPr="00451561">
          <w:rPr>
            <w:webHidden/>
            <w:szCs w:val="24"/>
          </w:rPr>
          <w:fldChar w:fldCharType="begin"/>
        </w:r>
        <w:r w:rsidRPr="00451561">
          <w:rPr>
            <w:webHidden/>
            <w:szCs w:val="24"/>
          </w:rPr>
          <w:instrText xml:space="preserve"> PAGEREF _Toc175171438 \h </w:instrText>
        </w:r>
        <w:r w:rsidRPr="00451561">
          <w:rPr>
            <w:webHidden/>
            <w:szCs w:val="24"/>
          </w:rPr>
        </w:r>
        <w:r w:rsidRPr="00451561">
          <w:rPr>
            <w:webHidden/>
            <w:szCs w:val="24"/>
          </w:rPr>
          <w:fldChar w:fldCharType="separate"/>
        </w:r>
        <w:r w:rsidRPr="00451561">
          <w:rPr>
            <w:webHidden/>
            <w:szCs w:val="24"/>
          </w:rPr>
          <w:t>76</w:t>
        </w:r>
        <w:r w:rsidRPr="00451561">
          <w:rPr>
            <w:webHidden/>
            <w:szCs w:val="24"/>
          </w:rPr>
          <w:fldChar w:fldCharType="end"/>
        </w:r>
      </w:hyperlink>
    </w:p>
    <w:p w14:paraId="0EBBD033" w14:textId="1B9EF7C0" w:rsidR="00451561" w:rsidRPr="00451561" w:rsidRDefault="00451561" w:rsidP="00451561">
      <w:pPr>
        <w:pStyle w:val="TDC5"/>
        <w:tabs>
          <w:tab w:val="right" w:leader="dot" w:pos="9350"/>
        </w:tabs>
        <w:spacing w:line="360" w:lineRule="auto"/>
        <w:jc w:val="both"/>
        <w:rPr>
          <w:rFonts w:ascii="Times New Roman" w:hAnsi="Times New Roman" w:cs="Times New Roman"/>
          <w:noProof/>
          <w14:ligatures w14:val="standardContextual"/>
        </w:rPr>
      </w:pPr>
      <w:hyperlink w:anchor="_Toc175171439" w:history="1">
        <w:r w:rsidRPr="00451561">
          <w:rPr>
            <w:rStyle w:val="Hipervnculo"/>
            <w:rFonts w:ascii="Times New Roman" w:hAnsi="Times New Roman" w:cs="Times New Roman"/>
            <w:noProof/>
          </w:rPr>
          <w:t>4.2.3.1.1. RATIO DE ENDEUDAMIENTO</w:t>
        </w:r>
        <w:r w:rsidRPr="00451561">
          <w:rPr>
            <w:rFonts w:ascii="Times New Roman" w:hAnsi="Times New Roman" w:cs="Times New Roman"/>
            <w:noProof/>
            <w:webHidden/>
          </w:rPr>
          <w:tab/>
        </w:r>
        <w:r w:rsidRPr="00451561">
          <w:rPr>
            <w:rFonts w:ascii="Times New Roman" w:hAnsi="Times New Roman" w:cs="Times New Roman"/>
            <w:noProof/>
            <w:webHidden/>
          </w:rPr>
          <w:fldChar w:fldCharType="begin"/>
        </w:r>
        <w:r w:rsidRPr="00451561">
          <w:rPr>
            <w:rFonts w:ascii="Times New Roman" w:hAnsi="Times New Roman" w:cs="Times New Roman"/>
            <w:noProof/>
            <w:webHidden/>
          </w:rPr>
          <w:instrText xml:space="preserve"> PAGEREF _Toc175171439 \h </w:instrText>
        </w:r>
        <w:r w:rsidRPr="00451561">
          <w:rPr>
            <w:rFonts w:ascii="Times New Roman" w:hAnsi="Times New Roman" w:cs="Times New Roman"/>
            <w:noProof/>
            <w:webHidden/>
          </w:rPr>
        </w:r>
        <w:r w:rsidRPr="00451561">
          <w:rPr>
            <w:rFonts w:ascii="Times New Roman" w:hAnsi="Times New Roman" w:cs="Times New Roman"/>
            <w:noProof/>
            <w:webHidden/>
          </w:rPr>
          <w:fldChar w:fldCharType="separate"/>
        </w:r>
        <w:r w:rsidRPr="00451561">
          <w:rPr>
            <w:rFonts w:ascii="Times New Roman" w:hAnsi="Times New Roman" w:cs="Times New Roman"/>
            <w:noProof/>
            <w:webHidden/>
          </w:rPr>
          <w:t>76</w:t>
        </w:r>
        <w:r w:rsidRPr="00451561">
          <w:rPr>
            <w:rFonts w:ascii="Times New Roman" w:hAnsi="Times New Roman" w:cs="Times New Roman"/>
            <w:noProof/>
            <w:webHidden/>
          </w:rPr>
          <w:fldChar w:fldCharType="end"/>
        </w:r>
      </w:hyperlink>
    </w:p>
    <w:p w14:paraId="562F000E" w14:textId="0AB11843" w:rsidR="00451561" w:rsidRPr="00451561" w:rsidRDefault="00451561" w:rsidP="00451561">
      <w:pPr>
        <w:pStyle w:val="TDC5"/>
        <w:tabs>
          <w:tab w:val="right" w:leader="dot" w:pos="9350"/>
        </w:tabs>
        <w:spacing w:line="360" w:lineRule="auto"/>
        <w:jc w:val="both"/>
        <w:rPr>
          <w:rFonts w:ascii="Times New Roman" w:hAnsi="Times New Roman" w:cs="Times New Roman"/>
          <w:noProof/>
          <w14:ligatures w14:val="standardContextual"/>
        </w:rPr>
      </w:pPr>
      <w:hyperlink w:anchor="_Toc175171440" w:history="1">
        <w:r w:rsidRPr="00451561">
          <w:rPr>
            <w:rStyle w:val="Hipervnculo"/>
            <w:rFonts w:ascii="Times New Roman" w:hAnsi="Times New Roman" w:cs="Times New Roman"/>
            <w:noProof/>
          </w:rPr>
          <w:t>4.2.3.1.2. RATIO DE ENDEUDAMIENTO LARGO PLAZO</w:t>
        </w:r>
        <w:r w:rsidRPr="00451561">
          <w:rPr>
            <w:rFonts w:ascii="Times New Roman" w:hAnsi="Times New Roman" w:cs="Times New Roman"/>
            <w:noProof/>
            <w:webHidden/>
          </w:rPr>
          <w:tab/>
        </w:r>
        <w:r w:rsidRPr="00451561">
          <w:rPr>
            <w:rFonts w:ascii="Times New Roman" w:hAnsi="Times New Roman" w:cs="Times New Roman"/>
            <w:noProof/>
            <w:webHidden/>
          </w:rPr>
          <w:fldChar w:fldCharType="begin"/>
        </w:r>
        <w:r w:rsidRPr="00451561">
          <w:rPr>
            <w:rFonts w:ascii="Times New Roman" w:hAnsi="Times New Roman" w:cs="Times New Roman"/>
            <w:noProof/>
            <w:webHidden/>
          </w:rPr>
          <w:instrText xml:space="preserve"> PAGEREF _Toc175171440 \h </w:instrText>
        </w:r>
        <w:r w:rsidRPr="00451561">
          <w:rPr>
            <w:rFonts w:ascii="Times New Roman" w:hAnsi="Times New Roman" w:cs="Times New Roman"/>
            <w:noProof/>
            <w:webHidden/>
          </w:rPr>
        </w:r>
        <w:r w:rsidRPr="00451561">
          <w:rPr>
            <w:rFonts w:ascii="Times New Roman" w:hAnsi="Times New Roman" w:cs="Times New Roman"/>
            <w:noProof/>
            <w:webHidden/>
          </w:rPr>
          <w:fldChar w:fldCharType="separate"/>
        </w:r>
        <w:r w:rsidRPr="00451561">
          <w:rPr>
            <w:rFonts w:ascii="Times New Roman" w:hAnsi="Times New Roman" w:cs="Times New Roman"/>
            <w:noProof/>
            <w:webHidden/>
          </w:rPr>
          <w:t>78</w:t>
        </w:r>
        <w:r w:rsidRPr="00451561">
          <w:rPr>
            <w:rFonts w:ascii="Times New Roman" w:hAnsi="Times New Roman" w:cs="Times New Roman"/>
            <w:noProof/>
            <w:webHidden/>
          </w:rPr>
          <w:fldChar w:fldCharType="end"/>
        </w:r>
      </w:hyperlink>
    </w:p>
    <w:p w14:paraId="6421F685" w14:textId="72DE3F08" w:rsidR="00451561" w:rsidRPr="00451561" w:rsidRDefault="00451561" w:rsidP="00451561">
      <w:pPr>
        <w:pStyle w:val="TDC5"/>
        <w:tabs>
          <w:tab w:val="right" w:leader="dot" w:pos="9350"/>
        </w:tabs>
        <w:spacing w:line="360" w:lineRule="auto"/>
        <w:jc w:val="both"/>
        <w:rPr>
          <w:rFonts w:ascii="Times New Roman" w:hAnsi="Times New Roman" w:cs="Times New Roman"/>
          <w:noProof/>
          <w14:ligatures w14:val="standardContextual"/>
        </w:rPr>
      </w:pPr>
      <w:hyperlink w:anchor="_Toc175171441" w:history="1">
        <w:r w:rsidRPr="00451561">
          <w:rPr>
            <w:rStyle w:val="Hipervnculo"/>
            <w:rFonts w:ascii="Times New Roman" w:hAnsi="Times New Roman" w:cs="Times New Roman"/>
            <w:noProof/>
          </w:rPr>
          <w:t>4.2.3.1.3. RATIO DE SOLVENCIA</w:t>
        </w:r>
        <w:r w:rsidRPr="00451561">
          <w:rPr>
            <w:rFonts w:ascii="Times New Roman" w:hAnsi="Times New Roman" w:cs="Times New Roman"/>
            <w:noProof/>
            <w:webHidden/>
          </w:rPr>
          <w:tab/>
        </w:r>
        <w:r w:rsidRPr="00451561">
          <w:rPr>
            <w:rFonts w:ascii="Times New Roman" w:hAnsi="Times New Roman" w:cs="Times New Roman"/>
            <w:noProof/>
            <w:webHidden/>
          </w:rPr>
          <w:fldChar w:fldCharType="begin"/>
        </w:r>
        <w:r w:rsidRPr="00451561">
          <w:rPr>
            <w:rFonts w:ascii="Times New Roman" w:hAnsi="Times New Roman" w:cs="Times New Roman"/>
            <w:noProof/>
            <w:webHidden/>
          </w:rPr>
          <w:instrText xml:space="preserve"> PAGEREF _Toc175171441 \h </w:instrText>
        </w:r>
        <w:r w:rsidRPr="00451561">
          <w:rPr>
            <w:rFonts w:ascii="Times New Roman" w:hAnsi="Times New Roman" w:cs="Times New Roman"/>
            <w:noProof/>
            <w:webHidden/>
          </w:rPr>
        </w:r>
        <w:r w:rsidRPr="00451561">
          <w:rPr>
            <w:rFonts w:ascii="Times New Roman" w:hAnsi="Times New Roman" w:cs="Times New Roman"/>
            <w:noProof/>
            <w:webHidden/>
          </w:rPr>
          <w:fldChar w:fldCharType="separate"/>
        </w:r>
        <w:r w:rsidRPr="00451561">
          <w:rPr>
            <w:rFonts w:ascii="Times New Roman" w:hAnsi="Times New Roman" w:cs="Times New Roman"/>
            <w:noProof/>
            <w:webHidden/>
          </w:rPr>
          <w:t>79</w:t>
        </w:r>
        <w:r w:rsidRPr="00451561">
          <w:rPr>
            <w:rFonts w:ascii="Times New Roman" w:hAnsi="Times New Roman" w:cs="Times New Roman"/>
            <w:noProof/>
            <w:webHidden/>
          </w:rPr>
          <w:fldChar w:fldCharType="end"/>
        </w:r>
      </w:hyperlink>
    </w:p>
    <w:p w14:paraId="05FB3991" w14:textId="4F09EC20" w:rsidR="00451561" w:rsidRPr="00451561" w:rsidRDefault="00451561" w:rsidP="00451561">
      <w:pPr>
        <w:pStyle w:val="TDC5"/>
        <w:tabs>
          <w:tab w:val="right" w:leader="dot" w:pos="9350"/>
        </w:tabs>
        <w:spacing w:line="360" w:lineRule="auto"/>
        <w:jc w:val="both"/>
        <w:rPr>
          <w:rFonts w:ascii="Times New Roman" w:hAnsi="Times New Roman" w:cs="Times New Roman"/>
          <w:noProof/>
          <w14:ligatures w14:val="standardContextual"/>
        </w:rPr>
      </w:pPr>
      <w:hyperlink w:anchor="_Toc175171442" w:history="1">
        <w:r w:rsidRPr="00451561">
          <w:rPr>
            <w:rStyle w:val="Hipervnculo"/>
            <w:rFonts w:ascii="Times New Roman" w:hAnsi="Times New Roman" w:cs="Times New Roman"/>
            <w:noProof/>
          </w:rPr>
          <w:t>4.2.3.1.4. RATIO DE APALANCAMIENTO</w:t>
        </w:r>
        <w:r w:rsidRPr="00451561">
          <w:rPr>
            <w:rFonts w:ascii="Times New Roman" w:hAnsi="Times New Roman" w:cs="Times New Roman"/>
            <w:noProof/>
            <w:webHidden/>
          </w:rPr>
          <w:tab/>
        </w:r>
        <w:r w:rsidRPr="00451561">
          <w:rPr>
            <w:rFonts w:ascii="Times New Roman" w:hAnsi="Times New Roman" w:cs="Times New Roman"/>
            <w:noProof/>
            <w:webHidden/>
          </w:rPr>
          <w:fldChar w:fldCharType="begin"/>
        </w:r>
        <w:r w:rsidRPr="00451561">
          <w:rPr>
            <w:rFonts w:ascii="Times New Roman" w:hAnsi="Times New Roman" w:cs="Times New Roman"/>
            <w:noProof/>
            <w:webHidden/>
          </w:rPr>
          <w:instrText xml:space="preserve"> PAGEREF _Toc175171442 \h </w:instrText>
        </w:r>
        <w:r w:rsidRPr="00451561">
          <w:rPr>
            <w:rFonts w:ascii="Times New Roman" w:hAnsi="Times New Roman" w:cs="Times New Roman"/>
            <w:noProof/>
            <w:webHidden/>
          </w:rPr>
        </w:r>
        <w:r w:rsidRPr="00451561">
          <w:rPr>
            <w:rFonts w:ascii="Times New Roman" w:hAnsi="Times New Roman" w:cs="Times New Roman"/>
            <w:noProof/>
            <w:webHidden/>
          </w:rPr>
          <w:fldChar w:fldCharType="separate"/>
        </w:r>
        <w:r w:rsidRPr="00451561">
          <w:rPr>
            <w:rFonts w:ascii="Times New Roman" w:hAnsi="Times New Roman" w:cs="Times New Roman"/>
            <w:noProof/>
            <w:webHidden/>
          </w:rPr>
          <w:t>81</w:t>
        </w:r>
        <w:r w:rsidRPr="00451561">
          <w:rPr>
            <w:rFonts w:ascii="Times New Roman" w:hAnsi="Times New Roman" w:cs="Times New Roman"/>
            <w:noProof/>
            <w:webHidden/>
          </w:rPr>
          <w:fldChar w:fldCharType="end"/>
        </w:r>
      </w:hyperlink>
    </w:p>
    <w:p w14:paraId="11DC1CB6" w14:textId="47F28596" w:rsidR="00451561" w:rsidRPr="00451561" w:rsidRDefault="00451561" w:rsidP="00451561">
      <w:pPr>
        <w:pStyle w:val="TDC3"/>
        <w:tabs>
          <w:tab w:val="right" w:leader="dot" w:pos="9350"/>
        </w:tabs>
        <w:jc w:val="both"/>
        <w:rPr>
          <w:rFonts w:eastAsiaTheme="minorEastAsia" w:cs="Times New Roman"/>
          <w:noProof/>
          <w:kern w:val="2"/>
          <w:szCs w:val="24"/>
          <w:lang w:eastAsia="es-HN"/>
          <w14:ligatures w14:val="standardContextual"/>
        </w:rPr>
      </w:pPr>
      <w:hyperlink w:anchor="_Toc175171443" w:history="1">
        <w:r w:rsidRPr="00451561">
          <w:rPr>
            <w:rStyle w:val="Hipervnculo"/>
            <w:rFonts w:cs="Times New Roman"/>
            <w:noProof/>
            <w:szCs w:val="24"/>
          </w:rPr>
          <w:t>4.2.4 MOR</w:t>
        </w:r>
        <w:r w:rsidRPr="00451561">
          <w:rPr>
            <w:rStyle w:val="Hipervnculo"/>
            <w:rFonts w:cs="Times New Roman"/>
            <w:noProof/>
            <w:szCs w:val="24"/>
          </w:rPr>
          <w:t>O</w:t>
        </w:r>
        <w:r w:rsidRPr="00451561">
          <w:rPr>
            <w:rStyle w:val="Hipervnculo"/>
            <w:rFonts w:cs="Times New Roman"/>
            <w:noProof/>
            <w:szCs w:val="24"/>
          </w:rPr>
          <w:t>SIDAD</w:t>
        </w:r>
        <w:r w:rsidRPr="00451561">
          <w:rPr>
            <w:rFonts w:cs="Times New Roman"/>
            <w:noProof/>
            <w:webHidden/>
            <w:szCs w:val="24"/>
          </w:rPr>
          <w:tab/>
        </w:r>
        <w:r w:rsidRPr="00451561">
          <w:rPr>
            <w:rFonts w:cs="Times New Roman"/>
            <w:noProof/>
            <w:webHidden/>
            <w:szCs w:val="24"/>
          </w:rPr>
          <w:fldChar w:fldCharType="begin"/>
        </w:r>
        <w:r w:rsidRPr="00451561">
          <w:rPr>
            <w:rFonts w:cs="Times New Roman"/>
            <w:noProof/>
            <w:webHidden/>
            <w:szCs w:val="24"/>
          </w:rPr>
          <w:instrText xml:space="preserve"> PAGEREF _Toc175171443 \h </w:instrText>
        </w:r>
        <w:r w:rsidRPr="00451561">
          <w:rPr>
            <w:rFonts w:cs="Times New Roman"/>
            <w:noProof/>
            <w:webHidden/>
            <w:szCs w:val="24"/>
          </w:rPr>
        </w:r>
        <w:r w:rsidRPr="00451561">
          <w:rPr>
            <w:rFonts w:cs="Times New Roman"/>
            <w:noProof/>
            <w:webHidden/>
            <w:szCs w:val="24"/>
          </w:rPr>
          <w:fldChar w:fldCharType="separate"/>
        </w:r>
        <w:r w:rsidRPr="00451561">
          <w:rPr>
            <w:rFonts w:cs="Times New Roman"/>
            <w:noProof/>
            <w:webHidden/>
            <w:szCs w:val="24"/>
          </w:rPr>
          <w:t>83</w:t>
        </w:r>
        <w:r w:rsidRPr="00451561">
          <w:rPr>
            <w:rFonts w:cs="Times New Roman"/>
            <w:noProof/>
            <w:webHidden/>
            <w:szCs w:val="24"/>
          </w:rPr>
          <w:fldChar w:fldCharType="end"/>
        </w:r>
      </w:hyperlink>
    </w:p>
    <w:p w14:paraId="44462BF6" w14:textId="77D3BCFA" w:rsidR="00451561" w:rsidRPr="00451561" w:rsidRDefault="00451561" w:rsidP="00451561">
      <w:pPr>
        <w:pStyle w:val="TDC4"/>
        <w:jc w:val="both"/>
        <w:rPr>
          <w:rFonts w:eastAsiaTheme="minorEastAsia"/>
          <w:iCs w:val="0"/>
          <w:kern w:val="2"/>
          <w:szCs w:val="24"/>
          <w:lang w:eastAsia="es-HN"/>
          <w14:ligatures w14:val="standardContextual"/>
        </w:rPr>
      </w:pPr>
      <w:hyperlink w:anchor="_Toc175171444" w:history="1">
        <w:r w:rsidRPr="00451561">
          <w:rPr>
            <w:rStyle w:val="Hipervnculo"/>
            <w:szCs w:val="24"/>
          </w:rPr>
          <w:t>4.2.4.1 DIMENSION CONTABLE</w:t>
        </w:r>
        <w:r w:rsidRPr="00451561">
          <w:rPr>
            <w:webHidden/>
            <w:szCs w:val="24"/>
          </w:rPr>
          <w:tab/>
        </w:r>
        <w:r w:rsidRPr="00451561">
          <w:rPr>
            <w:webHidden/>
            <w:szCs w:val="24"/>
          </w:rPr>
          <w:fldChar w:fldCharType="begin"/>
        </w:r>
        <w:r w:rsidRPr="00451561">
          <w:rPr>
            <w:webHidden/>
            <w:szCs w:val="24"/>
          </w:rPr>
          <w:instrText xml:space="preserve"> PAGEREF _Toc175171444 \h </w:instrText>
        </w:r>
        <w:r w:rsidRPr="00451561">
          <w:rPr>
            <w:webHidden/>
            <w:szCs w:val="24"/>
          </w:rPr>
        </w:r>
        <w:r w:rsidRPr="00451561">
          <w:rPr>
            <w:webHidden/>
            <w:szCs w:val="24"/>
          </w:rPr>
          <w:fldChar w:fldCharType="separate"/>
        </w:r>
        <w:r w:rsidRPr="00451561">
          <w:rPr>
            <w:webHidden/>
            <w:szCs w:val="24"/>
          </w:rPr>
          <w:t>83</w:t>
        </w:r>
        <w:r w:rsidRPr="00451561">
          <w:rPr>
            <w:webHidden/>
            <w:szCs w:val="24"/>
          </w:rPr>
          <w:fldChar w:fldCharType="end"/>
        </w:r>
      </w:hyperlink>
    </w:p>
    <w:p w14:paraId="53115EE6" w14:textId="0C376A34" w:rsidR="00451561" w:rsidRPr="00451561" w:rsidRDefault="00451561" w:rsidP="00451561">
      <w:pPr>
        <w:pStyle w:val="TDC5"/>
        <w:tabs>
          <w:tab w:val="right" w:leader="dot" w:pos="9350"/>
        </w:tabs>
        <w:spacing w:line="360" w:lineRule="auto"/>
        <w:jc w:val="both"/>
        <w:rPr>
          <w:rFonts w:ascii="Times New Roman" w:hAnsi="Times New Roman" w:cs="Times New Roman"/>
          <w:noProof/>
          <w14:ligatures w14:val="standardContextual"/>
        </w:rPr>
      </w:pPr>
      <w:hyperlink w:anchor="_Toc175171445" w:history="1">
        <w:r w:rsidRPr="00451561">
          <w:rPr>
            <w:rStyle w:val="Hipervnculo"/>
            <w:rFonts w:ascii="Times New Roman" w:hAnsi="Times New Roman" w:cs="Times New Roman"/>
            <w:noProof/>
          </w:rPr>
          <w:t>4.2.4.1.1. INDICE DE MORA MAYOR A 8 DIAS</w:t>
        </w:r>
        <w:r w:rsidRPr="00451561">
          <w:rPr>
            <w:rFonts w:ascii="Times New Roman" w:hAnsi="Times New Roman" w:cs="Times New Roman"/>
            <w:noProof/>
            <w:webHidden/>
          </w:rPr>
          <w:tab/>
        </w:r>
        <w:r w:rsidRPr="00451561">
          <w:rPr>
            <w:rFonts w:ascii="Times New Roman" w:hAnsi="Times New Roman" w:cs="Times New Roman"/>
            <w:noProof/>
            <w:webHidden/>
          </w:rPr>
          <w:fldChar w:fldCharType="begin"/>
        </w:r>
        <w:r w:rsidRPr="00451561">
          <w:rPr>
            <w:rFonts w:ascii="Times New Roman" w:hAnsi="Times New Roman" w:cs="Times New Roman"/>
            <w:noProof/>
            <w:webHidden/>
          </w:rPr>
          <w:instrText xml:space="preserve"> PAGEREF _Toc175171445 \h </w:instrText>
        </w:r>
        <w:r w:rsidRPr="00451561">
          <w:rPr>
            <w:rFonts w:ascii="Times New Roman" w:hAnsi="Times New Roman" w:cs="Times New Roman"/>
            <w:noProof/>
            <w:webHidden/>
          </w:rPr>
        </w:r>
        <w:r w:rsidRPr="00451561">
          <w:rPr>
            <w:rFonts w:ascii="Times New Roman" w:hAnsi="Times New Roman" w:cs="Times New Roman"/>
            <w:noProof/>
            <w:webHidden/>
          </w:rPr>
          <w:fldChar w:fldCharType="separate"/>
        </w:r>
        <w:r w:rsidRPr="00451561">
          <w:rPr>
            <w:rFonts w:ascii="Times New Roman" w:hAnsi="Times New Roman" w:cs="Times New Roman"/>
            <w:noProof/>
            <w:webHidden/>
          </w:rPr>
          <w:t>83</w:t>
        </w:r>
        <w:r w:rsidRPr="00451561">
          <w:rPr>
            <w:rFonts w:ascii="Times New Roman" w:hAnsi="Times New Roman" w:cs="Times New Roman"/>
            <w:noProof/>
            <w:webHidden/>
          </w:rPr>
          <w:fldChar w:fldCharType="end"/>
        </w:r>
      </w:hyperlink>
    </w:p>
    <w:p w14:paraId="5C7271EC" w14:textId="3C191E67" w:rsidR="00451561" w:rsidRPr="00451561" w:rsidRDefault="00451561" w:rsidP="00451561">
      <w:pPr>
        <w:pStyle w:val="TDC5"/>
        <w:tabs>
          <w:tab w:val="right" w:leader="dot" w:pos="9350"/>
        </w:tabs>
        <w:spacing w:line="360" w:lineRule="auto"/>
        <w:jc w:val="both"/>
        <w:rPr>
          <w:rFonts w:ascii="Times New Roman" w:hAnsi="Times New Roman" w:cs="Times New Roman"/>
          <w:noProof/>
          <w14:ligatures w14:val="standardContextual"/>
        </w:rPr>
      </w:pPr>
      <w:hyperlink w:anchor="_Toc175171446" w:history="1">
        <w:r w:rsidRPr="00451561">
          <w:rPr>
            <w:rStyle w:val="Hipervnculo"/>
            <w:rFonts w:ascii="Times New Roman" w:hAnsi="Times New Roman" w:cs="Times New Roman"/>
            <w:noProof/>
          </w:rPr>
          <w:t>4.2.4.1.2. INDICE DE MORA MAYOR A 30 DIAS</w:t>
        </w:r>
        <w:r w:rsidRPr="00451561">
          <w:rPr>
            <w:rFonts w:ascii="Times New Roman" w:hAnsi="Times New Roman" w:cs="Times New Roman"/>
            <w:noProof/>
            <w:webHidden/>
          </w:rPr>
          <w:tab/>
        </w:r>
        <w:r w:rsidRPr="00451561">
          <w:rPr>
            <w:rFonts w:ascii="Times New Roman" w:hAnsi="Times New Roman" w:cs="Times New Roman"/>
            <w:noProof/>
            <w:webHidden/>
          </w:rPr>
          <w:fldChar w:fldCharType="begin"/>
        </w:r>
        <w:r w:rsidRPr="00451561">
          <w:rPr>
            <w:rFonts w:ascii="Times New Roman" w:hAnsi="Times New Roman" w:cs="Times New Roman"/>
            <w:noProof/>
            <w:webHidden/>
          </w:rPr>
          <w:instrText xml:space="preserve"> PAGEREF _Toc175171446 \h </w:instrText>
        </w:r>
        <w:r w:rsidRPr="00451561">
          <w:rPr>
            <w:rFonts w:ascii="Times New Roman" w:hAnsi="Times New Roman" w:cs="Times New Roman"/>
            <w:noProof/>
            <w:webHidden/>
          </w:rPr>
        </w:r>
        <w:r w:rsidRPr="00451561">
          <w:rPr>
            <w:rFonts w:ascii="Times New Roman" w:hAnsi="Times New Roman" w:cs="Times New Roman"/>
            <w:noProof/>
            <w:webHidden/>
          </w:rPr>
          <w:fldChar w:fldCharType="separate"/>
        </w:r>
        <w:r w:rsidRPr="00451561">
          <w:rPr>
            <w:rFonts w:ascii="Times New Roman" w:hAnsi="Times New Roman" w:cs="Times New Roman"/>
            <w:noProof/>
            <w:webHidden/>
          </w:rPr>
          <w:t>85</w:t>
        </w:r>
        <w:r w:rsidRPr="00451561">
          <w:rPr>
            <w:rFonts w:ascii="Times New Roman" w:hAnsi="Times New Roman" w:cs="Times New Roman"/>
            <w:noProof/>
            <w:webHidden/>
          </w:rPr>
          <w:fldChar w:fldCharType="end"/>
        </w:r>
      </w:hyperlink>
    </w:p>
    <w:p w14:paraId="2D8958CE" w14:textId="1D1BE53C" w:rsidR="00451561" w:rsidRPr="00451561" w:rsidRDefault="00451561" w:rsidP="00451561">
      <w:pPr>
        <w:pStyle w:val="TDC5"/>
        <w:tabs>
          <w:tab w:val="right" w:leader="dot" w:pos="9350"/>
        </w:tabs>
        <w:spacing w:line="360" w:lineRule="auto"/>
        <w:jc w:val="both"/>
        <w:rPr>
          <w:rFonts w:ascii="Times New Roman" w:hAnsi="Times New Roman" w:cs="Times New Roman"/>
          <w:noProof/>
          <w14:ligatures w14:val="standardContextual"/>
        </w:rPr>
      </w:pPr>
      <w:hyperlink w:anchor="_Toc175171447" w:history="1">
        <w:r w:rsidRPr="00451561">
          <w:rPr>
            <w:rStyle w:val="Hipervnculo"/>
            <w:rFonts w:ascii="Times New Roman" w:hAnsi="Times New Roman" w:cs="Times New Roman"/>
            <w:noProof/>
          </w:rPr>
          <w:t>4.2.4.1.3. INDICE DE MORA MAYOR A 60, 90 Y 180 DIAS</w:t>
        </w:r>
        <w:r w:rsidRPr="00451561">
          <w:rPr>
            <w:rFonts w:ascii="Times New Roman" w:hAnsi="Times New Roman" w:cs="Times New Roman"/>
            <w:noProof/>
            <w:webHidden/>
          </w:rPr>
          <w:tab/>
        </w:r>
        <w:r w:rsidRPr="00451561">
          <w:rPr>
            <w:rFonts w:ascii="Times New Roman" w:hAnsi="Times New Roman" w:cs="Times New Roman"/>
            <w:noProof/>
            <w:webHidden/>
          </w:rPr>
          <w:fldChar w:fldCharType="begin"/>
        </w:r>
        <w:r w:rsidRPr="00451561">
          <w:rPr>
            <w:rFonts w:ascii="Times New Roman" w:hAnsi="Times New Roman" w:cs="Times New Roman"/>
            <w:noProof/>
            <w:webHidden/>
          </w:rPr>
          <w:instrText xml:space="preserve"> PAGEREF _Toc175171447 \h </w:instrText>
        </w:r>
        <w:r w:rsidRPr="00451561">
          <w:rPr>
            <w:rFonts w:ascii="Times New Roman" w:hAnsi="Times New Roman" w:cs="Times New Roman"/>
            <w:noProof/>
            <w:webHidden/>
          </w:rPr>
        </w:r>
        <w:r w:rsidRPr="00451561">
          <w:rPr>
            <w:rFonts w:ascii="Times New Roman" w:hAnsi="Times New Roman" w:cs="Times New Roman"/>
            <w:noProof/>
            <w:webHidden/>
          </w:rPr>
          <w:fldChar w:fldCharType="separate"/>
        </w:r>
        <w:r w:rsidRPr="00451561">
          <w:rPr>
            <w:rFonts w:ascii="Times New Roman" w:hAnsi="Times New Roman" w:cs="Times New Roman"/>
            <w:noProof/>
            <w:webHidden/>
          </w:rPr>
          <w:t>86</w:t>
        </w:r>
        <w:r w:rsidRPr="00451561">
          <w:rPr>
            <w:rFonts w:ascii="Times New Roman" w:hAnsi="Times New Roman" w:cs="Times New Roman"/>
            <w:noProof/>
            <w:webHidden/>
          </w:rPr>
          <w:fldChar w:fldCharType="end"/>
        </w:r>
      </w:hyperlink>
    </w:p>
    <w:p w14:paraId="0920AA29" w14:textId="6F56B089" w:rsidR="00451561" w:rsidRPr="00451561" w:rsidRDefault="00451561" w:rsidP="00451561">
      <w:pPr>
        <w:pStyle w:val="TDC5"/>
        <w:tabs>
          <w:tab w:val="right" w:leader="dot" w:pos="9350"/>
        </w:tabs>
        <w:spacing w:line="360" w:lineRule="auto"/>
        <w:jc w:val="both"/>
        <w:rPr>
          <w:rFonts w:ascii="Times New Roman" w:hAnsi="Times New Roman" w:cs="Times New Roman"/>
          <w:noProof/>
          <w14:ligatures w14:val="standardContextual"/>
        </w:rPr>
      </w:pPr>
      <w:hyperlink w:anchor="_Toc175171448" w:history="1">
        <w:r w:rsidRPr="00451561">
          <w:rPr>
            <w:rStyle w:val="Hipervnculo"/>
            <w:rFonts w:ascii="Times New Roman" w:hAnsi="Times New Roman" w:cs="Times New Roman"/>
            <w:noProof/>
          </w:rPr>
          <w:t>4.2.4.1.4. ÍNDICES DE MORA POR PRODUCTOS</w:t>
        </w:r>
        <w:r w:rsidRPr="00451561">
          <w:rPr>
            <w:rFonts w:ascii="Times New Roman" w:hAnsi="Times New Roman" w:cs="Times New Roman"/>
            <w:noProof/>
            <w:webHidden/>
          </w:rPr>
          <w:tab/>
        </w:r>
        <w:r w:rsidRPr="00451561">
          <w:rPr>
            <w:rFonts w:ascii="Times New Roman" w:hAnsi="Times New Roman" w:cs="Times New Roman"/>
            <w:noProof/>
            <w:webHidden/>
          </w:rPr>
          <w:fldChar w:fldCharType="begin"/>
        </w:r>
        <w:r w:rsidRPr="00451561">
          <w:rPr>
            <w:rFonts w:ascii="Times New Roman" w:hAnsi="Times New Roman" w:cs="Times New Roman"/>
            <w:noProof/>
            <w:webHidden/>
          </w:rPr>
          <w:instrText xml:space="preserve"> PAGEREF _Toc175171448 \h </w:instrText>
        </w:r>
        <w:r w:rsidRPr="00451561">
          <w:rPr>
            <w:rFonts w:ascii="Times New Roman" w:hAnsi="Times New Roman" w:cs="Times New Roman"/>
            <w:noProof/>
            <w:webHidden/>
          </w:rPr>
        </w:r>
        <w:r w:rsidRPr="00451561">
          <w:rPr>
            <w:rFonts w:ascii="Times New Roman" w:hAnsi="Times New Roman" w:cs="Times New Roman"/>
            <w:noProof/>
            <w:webHidden/>
          </w:rPr>
          <w:fldChar w:fldCharType="separate"/>
        </w:r>
        <w:r w:rsidRPr="00451561">
          <w:rPr>
            <w:rFonts w:ascii="Times New Roman" w:hAnsi="Times New Roman" w:cs="Times New Roman"/>
            <w:noProof/>
            <w:webHidden/>
          </w:rPr>
          <w:t>88</w:t>
        </w:r>
        <w:r w:rsidRPr="00451561">
          <w:rPr>
            <w:rFonts w:ascii="Times New Roman" w:hAnsi="Times New Roman" w:cs="Times New Roman"/>
            <w:noProof/>
            <w:webHidden/>
          </w:rPr>
          <w:fldChar w:fldCharType="end"/>
        </w:r>
      </w:hyperlink>
    </w:p>
    <w:p w14:paraId="452C99C5" w14:textId="0976A09A" w:rsidR="00451561" w:rsidRPr="00451561" w:rsidRDefault="00451561" w:rsidP="00451561">
      <w:pPr>
        <w:pStyle w:val="TDC5"/>
        <w:tabs>
          <w:tab w:val="right" w:leader="dot" w:pos="9350"/>
        </w:tabs>
        <w:spacing w:line="360" w:lineRule="auto"/>
        <w:jc w:val="both"/>
        <w:rPr>
          <w:rFonts w:ascii="Times New Roman" w:hAnsi="Times New Roman" w:cs="Times New Roman"/>
          <w:noProof/>
          <w14:ligatures w14:val="standardContextual"/>
        </w:rPr>
      </w:pPr>
      <w:hyperlink w:anchor="_Toc175171449" w:history="1">
        <w:r w:rsidRPr="00451561">
          <w:rPr>
            <w:rStyle w:val="Hipervnculo"/>
            <w:rFonts w:ascii="Times New Roman" w:hAnsi="Times New Roman" w:cs="Times New Roman"/>
            <w:noProof/>
          </w:rPr>
          <w:t>4.2.4.1.5. INCOBRABILIDAD</w:t>
        </w:r>
        <w:r w:rsidRPr="00451561">
          <w:rPr>
            <w:rFonts w:ascii="Times New Roman" w:hAnsi="Times New Roman" w:cs="Times New Roman"/>
            <w:noProof/>
            <w:webHidden/>
          </w:rPr>
          <w:tab/>
        </w:r>
        <w:r w:rsidRPr="00451561">
          <w:rPr>
            <w:rFonts w:ascii="Times New Roman" w:hAnsi="Times New Roman" w:cs="Times New Roman"/>
            <w:noProof/>
            <w:webHidden/>
          </w:rPr>
          <w:fldChar w:fldCharType="begin"/>
        </w:r>
        <w:r w:rsidRPr="00451561">
          <w:rPr>
            <w:rFonts w:ascii="Times New Roman" w:hAnsi="Times New Roman" w:cs="Times New Roman"/>
            <w:noProof/>
            <w:webHidden/>
          </w:rPr>
          <w:instrText xml:space="preserve"> PAGEREF _Toc175171449 \h </w:instrText>
        </w:r>
        <w:r w:rsidRPr="00451561">
          <w:rPr>
            <w:rFonts w:ascii="Times New Roman" w:hAnsi="Times New Roman" w:cs="Times New Roman"/>
            <w:noProof/>
            <w:webHidden/>
          </w:rPr>
        </w:r>
        <w:r w:rsidRPr="00451561">
          <w:rPr>
            <w:rFonts w:ascii="Times New Roman" w:hAnsi="Times New Roman" w:cs="Times New Roman"/>
            <w:noProof/>
            <w:webHidden/>
          </w:rPr>
          <w:fldChar w:fldCharType="separate"/>
        </w:r>
        <w:r w:rsidRPr="00451561">
          <w:rPr>
            <w:rFonts w:ascii="Times New Roman" w:hAnsi="Times New Roman" w:cs="Times New Roman"/>
            <w:noProof/>
            <w:webHidden/>
          </w:rPr>
          <w:t>90</w:t>
        </w:r>
        <w:r w:rsidRPr="00451561">
          <w:rPr>
            <w:rFonts w:ascii="Times New Roman" w:hAnsi="Times New Roman" w:cs="Times New Roman"/>
            <w:noProof/>
            <w:webHidden/>
          </w:rPr>
          <w:fldChar w:fldCharType="end"/>
        </w:r>
      </w:hyperlink>
    </w:p>
    <w:p w14:paraId="5B140138" w14:textId="3F3604DE" w:rsidR="00451561" w:rsidRPr="00451561" w:rsidRDefault="00451561" w:rsidP="00451561">
      <w:pPr>
        <w:pStyle w:val="TDC3"/>
        <w:tabs>
          <w:tab w:val="right" w:leader="dot" w:pos="9350"/>
        </w:tabs>
        <w:jc w:val="both"/>
        <w:rPr>
          <w:rFonts w:eastAsiaTheme="minorEastAsia" w:cs="Times New Roman"/>
          <w:noProof/>
          <w:kern w:val="2"/>
          <w:szCs w:val="24"/>
          <w:lang w:eastAsia="es-HN"/>
          <w14:ligatures w14:val="standardContextual"/>
        </w:rPr>
      </w:pPr>
      <w:hyperlink w:anchor="_Toc175171450" w:history="1">
        <w:r w:rsidRPr="00451561">
          <w:rPr>
            <w:rStyle w:val="Hipervnculo"/>
            <w:rFonts w:cs="Times New Roman"/>
            <w:noProof/>
            <w:szCs w:val="24"/>
          </w:rPr>
          <w:t>4.2.5. SEMÁFORO FINANCIERO</w:t>
        </w:r>
        <w:r w:rsidRPr="00451561">
          <w:rPr>
            <w:rFonts w:cs="Times New Roman"/>
            <w:noProof/>
            <w:webHidden/>
            <w:szCs w:val="24"/>
          </w:rPr>
          <w:tab/>
        </w:r>
        <w:r w:rsidRPr="00451561">
          <w:rPr>
            <w:rFonts w:cs="Times New Roman"/>
            <w:noProof/>
            <w:webHidden/>
            <w:szCs w:val="24"/>
          </w:rPr>
          <w:fldChar w:fldCharType="begin"/>
        </w:r>
        <w:r w:rsidRPr="00451561">
          <w:rPr>
            <w:rFonts w:cs="Times New Roman"/>
            <w:noProof/>
            <w:webHidden/>
            <w:szCs w:val="24"/>
          </w:rPr>
          <w:instrText xml:space="preserve"> PAGEREF _Toc175171450 \h </w:instrText>
        </w:r>
        <w:r w:rsidRPr="00451561">
          <w:rPr>
            <w:rFonts w:cs="Times New Roman"/>
            <w:noProof/>
            <w:webHidden/>
            <w:szCs w:val="24"/>
          </w:rPr>
        </w:r>
        <w:r w:rsidRPr="00451561">
          <w:rPr>
            <w:rFonts w:cs="Times New Roman"/>
            <w:noProof/>
            <w:webHidden/>
            <w:szCs w:val="24"/>
          </w:rPr>
          <w:fldChar w:fldCharType="separate"/>
        </w:r>
        <w:r w:rsidRPr="00451561">
          <w:rPr>
            <w:rFonts w:cs="Times New Roman"/>
            <w:noProof/>
            <w:webHidden/>
            <w:szCs w:val="24"/>
          </w:rPr>
          <w:t>92</w:t>
        </w:r>
        <w:r w:rsidRPr="00451561">
          <w:rPr>
            <w:rFonts w:cs="Times New Roman"/>
            <w:noProof/>
            <w:webHidden/>
            <w:szCs w:val="24"/>
          </w:rPr>
          <w:fldChar w:fldCharType="end"/>
        </w:r>
      </w:hyperlink>
    </w:p>
    <w:p w14:paraId="297F9557" w14:textId="40D575FB" w:rsidR="00451561" w:rsidRPr="00451561" w:rsidRDefault="00451561" w:rsidP="00451561">
      <w:pPr>
        <w:pStyle w:val="TDC3"/>
        <w:tabs>
          <w:tab w:val="right" w:leader="dot" w:pos="9350"/>
        </w:tabs>
        <w:jc w:val="both"/>
        <w:rPr>
          <w:rFonts w:eastAsiaTheme="minorEastAsia" w:cs="Times New Roman"/>
          <w:noProof/>
          <w:kern w:val="2"/>
          <w:szCs w:val="24"/>
          <w:lang w:eastAsia="es-HN"/>
          <w14:ligatures w14:val="standardContextual"/>
        </w:rPr>
      </w:pPr>
      <w:hyperlink w:anchor="_Toc175171451" w:history="1">
        <w:r w:rsidRPr="00451561">
          <w:rPr>
            <w:rStyle w:val="Hipervnculo"/>
            <w:rFonts w:cs="Times New Roman"/>
            <w:noProof/>
            <w:szCs w:val="24"/>
          </w:rPr>
          <w:t>4.2.6. INDICADORES FINANCIEROS DE IMF´s REGULADAS EN HONDURAS PERÍODO 2022-2023</w:t>
        </w:r>
        <w:r w:rsidRPr="00451561">
          <w:rPr>
            <w:rFonts w:cs="Times New Roman"/>
            <w:noProof/>
            <w:webHidden/>
            <w:szCs w:val="24"/>
          </w:rPr>
          <w:tab/>
        </w:r>
        <w:r w:rsidRPr="00451561">
          <w:rPr>
            <w:rFonts w:cs="Times New Roman"/>
            <w:noProof/>
            <w:webHidden/>
            <w:szCs w:val="24"/>
          </w:rPr>
          <w:fldChar w:fldCharType="begin"/>
        </w:r>
        <w:r w:rsidRPr="00451561">
          <w:rPr>
            <w:rFonts w:cs="Times New Roman"/>
            <w:noProof/>
            <w:webHidden/>
            <w:szCs w:val="24"/>
          </w:rPr>
          <w:instrText xml:space="preserve"> PAGEREF _Toc175171451 \h </w:instrText>
        </w:r>
        <w:r w:rsidRPr="00451561">
          <w:rPr>
            <w:rFonts w:cs="Times New Roman"/>
            <w:noProof/>
            <w:webHidden/>
            <w:szCs w:val="24"/>
          </w:rPr>
        </w:r>
        <w:r w:rsidRPr="00451561">
          <w:rPr>
            <w:rFonts w:cs="Times New Roman"/>
            <w:noProof/>
            <w:webHidden/>
            <w:szCs w:val="24"/>
          </w:rPr>
          <w:fldChar w:fldCharType="separate"/>
        </w:r>
        <w:r w:rsidRPr="00451561">
          <w:rPr>
            <w:rFonts w:cs="Times New Roman"/>
            <w:noProof/>
            <w:webHidden/>
            <w:szCs w:val="24"/>
          </w:rPr>
          <w:t>94</w:t>
        </w:r>
        <w:r w:rsidRPr="00451561">
          <w:rPr>
            <w:rFonts w:cs="Times New Roman"/>
            <w:noProof/>
            <w:webHidden/>
            <w:szCs w:val="24"/>
          </w:rPr>
          <w:fldChar w:fldCharType="end"/>
        </w:r>
      </w:hyperlink>
    </w:p>
    <w:p w14:paraId="1E90F5D6" w14:textId="349C3663" w:rsidR="00451561" w:rsidRPr="00451561" w:rsidRDefault="00451561" w:rsidP="00451561">
      <w:pPr>
        <w:pStyle w:val="TDC2"/>
        <w:tabs>
          <w:tab w:val="right" w:leader="dot" w:pos="9350"/>
        </w:tabs>
        <w:jc w:val="both"/>
        <w:rPr>
          <w:rFonts w:eastAsiaTheme="minorEastAsia" w:cs="Times New Roman"/>
          <w:noProof/>
          <w:kern w:val="2"/>
          <w:szCs w:val="24"/>
          <w:lang w:eastAsia="es-HN"/>
          <w14:ligatures w14:val="standardContextual"/>
        </w:rPr>
      </w:pPr>
      <w:hyperlink w:anchor="_Toc175171452" w:history="1">
        <w:r w:rsidRPr="00451561">
          <w:rPr>
            <w:rStyle w:val="Hipervnculo"/>
            <w:rFonts w:cs="Times New Roman"/>
            <w:noProof/>
            <w:szCs w:val="24"/>
          </w:rPr>
          <w:t>4.3. RESULTADOS Y ANÁLISIS DE LAS TÉCNICAS CUALITATIVAS</w:t>
        </w:r>
        <w:r w:rsidRPr="00451561">
          <w:rPr>
            <w:rFonts w:cs="Times New Roman"/>
            <w:noProof/>
            <w:webHidden/>
            <w:szCs w:val="24"/>
          </w:rPr>
          <w:tab/>
        </w:r>
        <w:r w:rsidRPr="00451561">
          <w:rPr>
            <w:rFonts w:cs="Times New Roman"/>
            <w:noProof/>
            <w:webHidden/>
            <w:szCs w:val="24"/>
          </w:rPr>
          <w:fldChar w:fldCharType="begin"/>
        </w:r>
        <w:r w:rsidRPr="00451561">
          <w:rPr>
            <w:rFonts w:cs="Times New Roman"/>
            <w:noProof/>
            <w:webHidden/>
            <w:szCs w:val="24"/>
          </w:rPr>
          <w:instrText xml:space="preserve"> PAGEREF _Toc175171452 \h </w:instrText>
        </w:r>
        <w:r w:rsidRPr="00451561">
          <w:rPr>
            <w:rFonts w:cs="Times New Roman"/>
            <w:noProof/>
            <w:webHidden/>
            <w:szCs w:val="24"/>
          </w:rPr>
        </w:r>
        <w:r w:rsidRPr="00451561">
          <w:rPr>
            <w:rFonts w:cs="Times New Roman"/>
            <w:noProof/>
            <w:webHidden/>
            <w:szCs w:val="24"/>
          </w:rPr>
          <w:fldChar w:fldCharType="separate"/>
        </w:r>
        <w:r w:rsidRPr="00451561">
          <w:rPr>
            <w:rFonts w:cs="Times New Roman"/>
            <w:noProof/>
            <w:webHidden/>
            <w:szCs w:val="24"/>
          </w:rPr>
          <w:t>97</w:t>
        </w:r>
        <w:r w:rsidRPr="00451561">
          <w:rPr>
            <w:rFonts w:cs="Times New Roman"/>
            <w:noProof/>
            <w:webHidden/>
            <w:szCs w:val="24"/>
          </w:rPr>
          <w:fldChar w:fldCharType="end"/>
        </w:r>
      </w:hyperlink>
    </w:p>
    <w:p w14:paraId="3A33D44E" w14:textId="62FF4E8E" w:rsidR="00451561" w:rsidRPr="00451561" w:rsidRDefault="00451561" w:rsidP="00451561">
      <w:pPr>
        <w:pStyle w:val="TDC3"/>
        <w:tabs>
          <w:tab w:val="right" w:leader="dot" w:pos="9350"/>
        </w:tabs>
        <w:jc w:val="both"/>
        <w:rPr>
          <w:rFonts w:eastAsiaTheme="minorEastAsia" w:cs="Times New Roman"/>
          <w:noProof/>
          <w:kern w:val="2"/>
          <w:szCs w:val="24"/>
          <w:lang w:eastAsia="es-HN"/>
          <w14:ligatures w14:val="standardContextual"/>
        </w:rPr>
      </w:pPr>
      <w:hyperlink w:anchor="_Toc175171453" w:history="1">
        <w:r w:rsidRPr="00451561">
          <w:rPr>
            <w:rStyle w:val="Hipervnculo"/>
            <w:rFonts w:cs="Times New Roman"/>
            <w:noProof/>
            <w:szCs w:val="24"/>
          </w:rPr>
          <w:t>4.3.1. GESTIÓN DE CRÉDITO</w:t>
        </w:r>
        <w:r w:rsidRPr="00451561">
          <w:rPr>
            <w:rFonts w:cs="Times New Roman"/>
            <w:noProof/>
            <w:webHidden/>
            <w:szCs w:val="24"/>
          </w:rPr>
          <w:tab/>
        </w:r>
        <w:r w:rsidRPr="00451561">
          <w:rPr>
            <w:rFonts w:cs="Times New Roman"/>
            <w:noProof/>
            <w:webHidden/>
            <w:szCs w:val="24"/>
          </w:rPr>
          <w:fldChar w:fldCharType="begin"/>
        </w:r>
        <w:r w:rsidRPr="00451561">
          <w:rPr>
            <w:rFonts w:cs="Times New Roman"/>
            <w:noProof/>
            <w:webHidden/>
            <w:szCs w:val="24"/>
          </w:rPr>
          <w:instrText xml:space="preserve"> PAGEREF _Toc175171453 \h </w:instrText>
        </w:r>
        <w:r w:rsidRPr="00451561">
          <w:rPr>
            <w:rFonts w:cs="Times New Roman"/>
            <w:noProof/>
            <w:webHidden/>
            <w:szCs w:val="24"/>
          </w:rPr>
        </w:r>
        <w:r w:rsidRPr="00451561">
          <w:rPr>
            <w:rFonts w:cs="Times New Roman"/>
            <w:noProof/>
            <w:webHidden/>
            <w:szCs w:val="24"/>
          </w:rPr>
          <w:fldChar w:fldCharType="separate"/>
        </w:r>
        <w:r w:rsidRPr="00451561">
          <w:rPr>
            <w:rFonts w:cs="Times New Roman"/>
            <w:noProof/>
            <w:webHidden/>
            <w:szCs w:val="24"/>
          </w:rPr>
          <w:t>97</w:t>
        </w:r>
        <w:r w:rsidRPr="00451561">
          <w:rPr>
            <w:rFonts w:cs="Times New Roman"/>
            <w:noProof/>
            <w:webHidden/>
            <w:szCs w:val="24"/>
          </w:rPr>
          <w:fldChar w:fldCharType="end"/>
        </w:r>
      </w:hyperlink>
    </w:p>
    <w:p w14:paraId="71648BB3" w14:textId="0DB3FFFD" w:rsidR="00451561" w:rsidRPr="00451561" w:rsidRDefault="00451561" w:rsidP="00451561">
      <w:pPr>
        <w:pStyle w:val="TDC4"/>
        <w:jc w:val="both"/>
        <w:rPr>
          <w:rFonts w:eastAsiaTheme="minorEastAsia"/>
          <w:iCs w:val="0"/>
          <w:kern w:val="2"/>
          <w:szCs w:val="24"/>
          <w:lang w:eastAsia="es-HN"/>
          <w14:ligatures w14:val="standardContextual"/>
        </w:rPr>
      </w:pPr>
      <w:hyperlink w:anchor="_Toc175171454" w:history="1">
        <w:r w:rsidRPr="00451561">
          <w:rPr>
            <w:rStyle w:val="Hipervnculo"/>
            <w:szCs w:val="24"/>
          </w:rPr>
          <w:t>4.3.1.1. DIMENSIÓN PROCESOS DE LA CARTERA DE CREDITOS</w:t>
        </w:r>
        <w:r w:rsidRPr="00451561">
          <w:rPr>
            <w:webHidden/>
            <w:szCs w:val="24"/>
          </w:rPr>
          <w:tab/>
        </w:r>
        <w:r w:rsidRPr="00451561">
          <w:rPr>
            <w:webHidden/>
            <w:szCs w:val="24"/>
          </w:rPr>
          <w:fldChar w:fldCharType="begin"/>
        </w:r>
        <w:r w:rsidRPr="00451561">
          <w:rPr>
            <w:webHidden/>
            <w:szCs w:val="24"/>
          </w:rPr>
          <w:instrText xml:space="preserve"> PAGEREF _Toc175171454 \h </w:instrText>
        </w:r>
        <w:r w:rsidRPr="00451561">
          <w:rPr>
            <w:webHidden/>
            <w:szCs w:val="24"/>
          </w:rPr>
        </w:r>
        <w:r w:rsidRPr="00451561">
          <w:rPr>
            <w:webHidden/>
            <w:szCs w:val="24"/>
          </w:rPr>
          <w:fldChar w:fldCharType="separate"/>
        </w:r>
        <w:r w:rsidRPr="00451561">
          <w:rPr>
            <w:webHidden/>
            <w:szCs w:val="24"/>
          </w:rPr>
          <w:t>97</w:t>
        </w:r>
        <w:r w:rsidRPr="00451561">
          <w:rPr>
            <w:webHidden/>
            <w:szCs w:val="24"/>
          </w:rPr>
          <w:fldChar w:fldCharType="end"/>
        </w:r>
      </w:hyperlink>
    </w:p>
    <w:p w14:paraId="39504A4A" w14:textId="0A94521E" w:rsidR="00451561" w:rsidRPr="00451561" w:rsidRDefault="00451561" w:rsidP="00451561">
      <w:pPr>
        <w:pStyle w:val="TDC5"/>
        <w:tabs>
          <w:tab w:val="right" w:leader="dot" w:pos="9350"/>
        </w:tabs>
        <w:spacing w:line="360" w:lineRule="auto"/>
        <w:jc w:val="both"/>
        <w:rPr>
          <w:rFonts w:ascii="Times New Roman" w:hAnsi="Times New Roman" w:cs="Times New Roman"/>
          <w:noProof/>
          <w14:ligatures w14:val="standardContextual"/>
        </w:rPr>
      </w:pPr>
      <w:hyperlink w:anchor="_Toc175171455" w:history="1">
        <w:r w:rsidRPr="00451561">
          <w:rPr>
            <w:rStyle w:val="Hipervnculo"/>
            <w:rFonts w:ascii="Times New Roman" w:hAnsi="Times New Roman" w:cs="Times New Roman"/>
            <w:noProof/>
          </w:rPr>
          <w:t>4.3.1.1.1. POLITICAS DE CREDITO</w:t>
        </w:r>
        <w:r w:rsidRPr="00451561">
          <w:rPr>
            <w:rFonts w:ascii="Times New Roman" w:hAnsi="Times New Roman" w:cs="Times New Roman"/>
            <w:noProof/>
            <w:webHidden/>
          </w:rPr>
          <w:tab/>
        </w:r>
        <w:r w:rsidRPr="00451561">
          <w:rPr>
            <w:rFonts w:ascii="Times New Roman" w:hAnsi="Times New Roman" w:cs="Times New Roman"/>
            <w:noProof/>
            <w:webHidden/>
          </w:rPr>
          <w:fldChar w:fldCharType="begin"/>
        </w:r>
        <w:r w:rsidRPr="00451561">
          <w:rPr>
            <w:rFonts w:ascii="Times New Roman" w:hAnsi="Times New Roman" w:cs="Times New Roman"/>
            <w:noProof/>
            <w:webHidden/>
          </w:rPr>
          <w:instrText xml:space="preserve"> PAGEREF _Toc175171455 \h </w:instrText>
        </w:r>
        <w:r w:rsidRPr="00451561">
          <w:rPr>
            <w:rFonts w:ascii="Times New Roman" w:hAnsi="Times New Roman" w:cs="Times New Roman"/>
            <w:noProof/>
            <w:webHidden/>
          </w:rPr>
        </w:r>
        <w:r w:rsidRPr="00451561">
          <w:rPr>
            <w:rFonts w:ascii="Times New Roman" w:hAnsi="Times New Roman" w:cs="Times New Roman"/>
            <w:noProof/>
            <w:webHidden/>
          </w:rPr>
          <w:fldChar w:fldCharType="separate"/>
        </w:r>
        <w:r w:rsidRPr="00451561">
          <w:rPr>
            <w:rFonts w:ascii="Times New Roman" w:hAnsi="Times New Roman" w:cs="Times New Roman"/>
            <w:noProof/>
            <w:webHidden/>
          </w:rPr>
          <w:t>98</w:t>
        </w:r>
        <w:r w:rsidRPr="00451561">
          <w:rPr>
            <w:rFonts w:ascii="Times New Roman" w:hAnsi="Times New Roman" w:cs="Times New Roman"/>
            <w:noProof/>
            <w:webHidden/>
          </w:rPr>
          <w:fldChar w:fldCharType="end"/>
        </w:r>
      </w:hyperlink>
    </w:p>
    <w:p w14:paraId="583EC0E3" w14:textId="56E589C9" w:rsidR="00451561" w:rsidRPr="00451561" w:rsidRDefault="00451561" w:rsidP="00451561">
      <w:pPr>
        <w:pStyle w:val="TDC5"/>
        <w:tabs>
          <w:tab w:val="right" w:leader="dot" w:pos="9350"/>
        </w:tabs>
        <w:spacing w:line="360" w:lineRule="auto"/>
        <w:jc w:val="both"/>
        <w:rPr>
          <w:rFonts w:ascii="Times New Roman" w:hAnsi="Times New Roman" w:cs="Times New Roman"/>
          <w:noProof/>
          <w14:ligatures w14:val="standardContextual"/>
        </w:rPr>
      </w:pPr>
      <w:hyperlink w:anchor="_Toc175171456" w:history="1">
        <w:r w:rsidRPr="00451561">
          <w:rPr>
            <w:rStyle w:val="Hipervnculo"/>
            <w:rFonts w:ascii="Times New Roman" w:hAnsi="Times New Roman" w:cs="Times New Roman"/>
            <w:noProof/>
          </w:rPr>
          <w:t>4.3.1.1.2. POLITICAS DE COBRO</w:t>
        </w:r>
        <w:r w:rsidRPr="00451561">
          <w:rPr>
            <w:rFonts w:ascii="Times New Roman" w:hAnsi="Times New Roman" w:cs="Times New Roman"/>
            <w:noProof/>
            <w:webHidden/>
          </w:rPr>
          <w:tab/>
        </w:r>
        <w:r w:rsidRPr="00451561">
          <w:rPr>
            <w:rFonts w:ascii="Times New Roman" w:hAnsi="Times New Roman" w:cs="Times New Roman"/>
            <w:noProof/>
            <w:webHidden/>
          </w:rPr>
          <w:fldChar w:fldCharType="begin"/>
        </w:r>
        <w:r w:rsidRPr="00451561">
          <w:rPr>
            <w:rFonts w:ascii="Times New Roman" w:hAnsi="Times New Roman" w:cs="Times New Roman"/>
            <w:noProof/>
            <w:webHidden/>
          </w:rPr>
          <w:instrText xml:space="preserve"> PAGEREF _Toc175171456 \h </w:instrText>
        </w:r>
        <w:r w:rsidRPr="00451561">
          <w:rPr>
            <w:rFonts w:ascii="Times New Roman" w:hAnsi="Times New Roman" w:cs="Times New Roman"/>
            <w:noProof/>
            <w:webHidden/>
          </w:rPr>
        </w:r>
        <w:r w:rsidRPr="00451561">
          <w:rPr>
            <w:rFonts w:ascii="Times New Roman" w:hAnsi="Times New Roman" w:cs="Times New Roman"/>
            <w:noProof/>
            <w:webHidden/>
          </w:rPr>
          <w:fldChar w:fldCharType="separate"/>
        </w:r>
        <w:r w:rsidRPr="00451561">
          <w:rPr>
            <w:rFonts w:ascii="Times New Roman" w:hAnsi="Times New Roman" w:cs="Times New Roman"/>
            <w:noProof/>
            <w:webHidden/>
          </w:rPr>
          <w:t>101</w:t>
        </w:r>
        <w:r w:rsidRPr="00451561">
          <w:rPr>
            <w:rFonts w:ascii="Times New Roman" w:hAnsi="Times New Roman" w:cs="Times New Roman"/>
            <w:noProof/>
            <w:webHidden/>
          </w:rPr>
          <w:fldChar w:fldCharType="end"/>
        </w:r>
      </w:hyperlink>
    </w:p>
    <w:p w14:paraId="7A7AB3A8" w14:textId="11770A8F" w:rsidR="00451561" w:rsidRPr="00451561" w:rsidRDefault="00451561" w:rsidP="00451561">
      <w:pPr>
        <w:pStyle w:val="TDC1"/>
        <w:tabs>
          <w:tab w:val="right" w:leader="dot" w:pos="9350"/>
        </w:tabs>
        <w:jc w:val="both"/>
        <w:rPr>
          <w:rFonts w:eastAsiaTheme="minorEastAsia" w:cs="Times New Roman"/>
          <w:noProof/>
          <w:kern w:val="2"/>
          <w:szCs w:val="24"/>
          <w:lang w:eastAsia="es-HN"/>
          <w14:ligatures w14:val="standardContextual"/>
        </w:rPr>
      </w:pPr>
      <w:hyperlink w:anchor="_Toc175171457" w:history="1">
        <w:r w:rsidRPr="00451561">
          <w:rPr>
            <w:rStyle w:val="Hipervnculo"/>
            <w:rFonts w:cs="Times New Roman"/>
            <w:noProof/>
            <w:szCs w:val="24"/>
          </w:rPr>
          <w:t>CAPÍTULO V. CONCLUSIONES Y RECOMENDACIONES</w:t>
        </w:r>
        <w:r w:rsidRPr="00451561">
          <w:rPr>
            <w:rFonts w:cs="Times New Roman"/>
            <w:noProof/>
            <w:webHidden/>
            <w:szCs w:val="24"/>
          </w:rPr>
          <w:tab/>
        </w:r>
        <w:r w:rsidRPr="00451561">
          <w:rPr>
            <w:rFonts w:cs="Times New Roman"/>
            <w:noProof/>
            <w:webHidden/>
            <w:szCs w:val="24"/>
          </w:rPr>
          <w:fldChar w:fldCharType="begin"/>
        </w:r>
        <w:r w:rsidRPr="00451561">
          <w:rPr>
            <w:rFonts w:cs="Times New Roman"/>
            <w:noProof/>
            <w:webHidden/>
            <w:szCs w:val="24"/>
          </w:rPr>
          <w:instrText xml:space="preserve"> PAGEREF _Toc175171457 \h </w:instrText>
        </w:r>
        <w:r w:rsidRPr="00451561">
          <w:rPr>
            <w:rFonts w:cs="Times New Roman"/>
            <w:noProof/>
            <w:webHidden/>
            <w:szCs w:val="24"/>
          </w:rPr>
        </w:r>
        <w:r w:rsidRPr="00451561">
          <w:rPr>
            <w:rFonts w:cs="Times New Roman"/>
            <w:noProof/>
            <w:webHidden/>
            <w:szCs w:val="24"/>
          </w:rPr>
          <w:fldChar w:fldCharType="separate"/>
        </w:r>
        <w:r w:rsidRPr="00451561">
          <w:rPr>
            <w:rFonts w:cs="Times New Roman"/>
            <w:noProof/>
            <w:webHidden/>
            <w:szCs w:val="24"/>
          </w:rPr>
          <w:t>106</w:t>
        </w:r>
        <w:r w:rsidRPr="00451561">
          <w:rPr>
            <w:rFonts w:cs="Times New Roman"/>
            <w:noProof/>
            <w:webHidden/>
            <w:szCs w:val="24"/>
          </w:rPr>
          <w:fldChar w:fldCharType="end"/>
        </w:r>
      </w:hyperlink>
    </w:p>
    <w:p w14:paraId="504B2326" w14:textId="7509C917" w:rsidR="00451561" w:rsidRPr="00451561" w:rsidRDefault="00451561" w:rsidP="00451561">
      <w:pPr>
        <w:pStyle w:val="TDC2"/>
        <w:tabs>
          <w:tab w:val="left" w:pos="960"/>
          <w:tab w:val="right" w:leader="dot" w:pos="9350"/>
        </w:tabs>
        <w:jc w:val="both"/>
        <w:rPr>
          <w:rFonts w:eastAsiaTheme="minorEastAsia" w:cs="Times New Roman"/>
          <w:noProof/>
          <w:kern w:val="2"/>
          <w:szCs w:val="24"/>
          <w:lang w:eastAsia="es-HN"/>
          <w14:ligatures w14:val="standardContextual"/>
        </w:rPr>
      </w:pPr>
      <w:hyperlink w:anchor="_Toc175171459" w:history="1">
        <w:r w:rsidRPr="00451561">
          <w:rPr>
            <w:rStyle w:val="Hipervnculo"/>
            <w:rFonts w:cs="Times New Roman"/>
            <w:noProof/>
            <w:szCs w:val="24"/>
          </w:rPr>
          <w:t>5.1.</w:t>
        </w:r>
        <w:r w:rsidRPr="00451561">
          <w:rPr>
            <w:rFonts w:eastAsiaTheme="minorEastAsia" w:cs="Times New Roman"/>
            <w:noProof/>
            <w:kern w:val="2"/>
            <w:szCs w:val="24"/>
            <w:lang w:eastAsia="es-HN"/>
            <w14:ligatures w14:val="standardContextual"/>
          </w:rPr>
          <w:tab/>
        </w:r>
        <w:r w:rsidRPr="00451561">
          <w:rPr>
            <w:rStyle w:val="Hipervnculo"/>
            <w:rFonts w:cs="Times New Roman"/>
            <w:noProof/>
            <w:szCs w:val="24"/>
          </w:rPr>
          <w:t>CONCLUSIONES</w:t>
        </w:r>
        <w:r w:rsidRPr="00451561">
          <w:rPr>
            <w:rFonts w:cs="Times New Roman"/>
            <w:noProof/>
            <w:webHidden/>
            <w:szCs w:val="24"/>
          </w:rPr>
          <w:tab/>
        </w:r>
        <w:r w:rsidRPr="00451561">
          <w:rPr>
            <w:rFonts w:cs="Times New Roman"/>
            <w:noProof/>
            <w:webHidden/>
            <w:szCs w:val="24"/>
          </w:rPr>
          <w:fldChar w:fldCharType="begin"/>
        </w:r>
        <w:r w:rsidRPr="00451561">
          <w:rPr>
            <w:rFonts w:cs="Times New Roman"/>
            <w:noProof/>
            <w:webHidden/>
            <w:szCs w:val="24"/>
          </w:rPr>
          <w:instrText xml:space="preserve"> PAGEREF _Toc175171459 \h </w:instrText>
        </w:r>
        <w:r w:rsidRPr="00451561">
          <w:rPr>
            <w:rFonts w:cs="Times New Roman"/>
            <w:noProof/>
            <w:webHidden/>
            <w:szCs w:val="24"/>
          </w:rPr>
        </w:r>
        <w:r w:rsidRPr="00451561">
          <w:rPr>
            <w:rFonts w:cs="Times New Roman"/>
            <w:noProof/>
            <w:webHidden/>
            <w:szCs w:val="24"/>
          </w:rPr>
          <w:fldChar w:fldCharType="separate"/>
        </w:r>
        <w:r w:rsidRPr="00451561">
          <w:rPr>
            <w:rFonts w:cs="Times New Roman"/>
            <w:noProof/>
            <w:webHidden/>
            <w:szCs w:val="24"/>
          </w:rPr>
          <w:t>106</w:t>
        </w:r>
        <w:r w:rsidRPr="00451561">
          <w:rPr>
            <w:rFonts w:cs="Times New Roman"/>
            <w:noProof/>
            <w:webHidden/>
            <w:szCs w:val="24"/>
          </w:rPr>
          <w:fldChar w:fldCharType="end"/>
        </w:r>
      </w:hyperlink>
    </w:p>
    <w:p w14:paraId="6D905107" w14:textId="38CB272D" w:rsidR="00451561" w:rsidRPr="00451561" w:rsidRDefault="00451561" w:rsidP="00451561">
      <w:pPr>
        <w:pStyle w:val="TDC2"/>
        <w:tabs>
          <w:tab w:val="left" w:pos="960"/>
          <w:tab w:val="right" w:leader="dot" w:pos="9350"/>
        </w:tabs>
        <w:jc w:val="both"/>
        <w:rPr>
          <w:rFonts w:eastAsiaTheme="minorEastAsia" w:cs="Times New Roman"/>
          <w:noProof/>
          <w:kern w:val="2"/>
          <w:szCs w:val="24"/>
          <w:lang w:eastAsia="es-HN"/>
          <w14:ligatures w14:val="standardContextual"/>
        </w:rPr>
      </w:pPr>
      <w:hyperlink w:anchor="_Toc175171460" w:history="1">
        <w:r w:rsidRPr="00451561">
          <w:rPr>
            <w:rStyle w:val="Hipervnculo"/>
            <w:rFonts w:cs="Times New Roman"/>
            <w:noProof/>
            <w:szCs w:val="24"/>
          </w:rPr>
          <w:t>5.2.</w:t>
        </w:r>
        <w:r w:rsidRPr="00451561">
          <w:rPr>
            <w:rFonts w:eastAsiaTheme="minorEastAsia" w:cs="Times New Roman"/>
            <w:noProof/>
            <w:kern w:val="2"/>
            <w:szCs w:val="24"/>
            <w:lang w:eastAsia="es-HN"/>
            <w14:ligatures w14:val="standardContextual"/>
          </w:rPr>
          <w:tab/>
        </w:r>
        <w:r w:rsidRPr="00451561">
          <w:rPr>
            <w:rStyle w:val="Hipervnculo"/>
            <w:rFonts w:cs="Times New Roman"/>
            <w:noProof/>
            <w:szCs w:val="24"/>
          </w:rPr>
          <w:t>RECOMENDACIONES</w:t>
        </w:r>
        <w:r w:rsidRPr="00451561">
          <w:rPr>
            <w:rFonts w:cs="Times New Roman"/>
            <w:noProof/>
            <w:webHidden/>
            <w:szCs w:val="24"/>
          </w:rPr>
          <w:tab/>
        </w:r>
        <w:r w:rsidRPr="00451561">
          <w:rPr>
            <w:rFonts w:cs="Times New Roman"/>
            <w:noProof/>
            <w:webHidden/>
            <w:szCs w:val="24"/>
          </w:rPr>
          <w:fldChar w:fldCharType="begin"/>
        </w:r>
        <w:r w:rsidRPr="00451561">
          <w:rPr>
            <w:rFonts w:cs="Times New Roman"/>
            <w:noProof/>
            <w:webHidden/>
            <w:szCs w:val="24"/>
          </w:rPr>
          <w:instrText xml:space="preserve"> PAGEREF _Toc175171460 \h </w:instrText>
        </w:r>
        <w:r w:rsidRPr="00451561">
          <w:rPr>
            <w:rFonts w:cs="Times New Roman"/>
            <w:noProof/>
            <w:webHidden/>
            <w:szCs w:val="24"/>
          </w:rPr>
        </w:r>
        <w:r w:rsidRPr="00451561">
          <w:rPr>
            <w:rFonts w:cs="Times New Roman"/>
            <w:noProof/>
            <w:webHidden/>
            <w:szCs w:val="24"/>
          </w:rPr>
          <w:fldChar w:fldCharType="separate"/>
        </w:r>
        <w:r w:rsidRPr="00451561">
          <w:rPr>
            <w:rFonts w:cs="Times New Roman"/>
            <w:noProof/>
            <w:webHidden/>
            <w:szCs w:val="24"/>
          </w:rPr>
          <w:t>107</w:t>
        </w:r>
        <w:r w:rsidRPr="00451561">
          <w:rPr>
            <w:rFonts w:cs="Times New Roman"/>
            <w:noProof/>
            <w:webHidden/>
            <w:szCs w:val="24"/>
          </w:rPr>
          <w:fldChar w:fldCharType="end"/>
        </w:r>
      </w:hyperlink>
    </w:p>
    <w:p w14:paraId="54816CC8" w14:textId="41A09151" w:rsidR="00451561" w:rsidRPr="00451561" w:rsidRDefault="00451561" w:rsidP="00451561">
      <w:pPr>
        <w:pStyle w:val="TDC1"/>
        <w:tabs>
          <w:tab w:val="right" w:leader="dot" w:pos="9350"/>
        </w:tabs>
        <w:jc w:val="both"/>
        <w:rPr>
          <w:rFonts w:eastAsiaTheme="minorEastAsia" w:cs="Times New Roman"/>
          <w:noProof/>
          <w:kern w:val="2"/>
          <w:szCs w:val="24"/>
          <w:lang w:eastAsia="es-HN"/>
          <w14:ligatures w14:val="standardContextual"/>
        </w:rPr>
      </w:pPr>
      <w:hyperlink w:anchor="_Toc175171461" w:history="1">
        <w:r w:rsidRPr="00451561">
          <w:rPr>
            <w:rStyle w:val="Hipervnculo"/>
            <w:rFonts w:cs="Times New Roman"/>
            <w:noProof/>
            <w:szCs w:val="24"/>
          </w:rPr>
          <w:t>CAPÍTULO VI. APLICABILIDAD</w:t>
        </w:r>
        <w:r w:rsidRPr="00451561">
          <w:rPr>
            <w:rFonts w:cs="Times New Roman"/>
            <w:noProof/>
            <w:webHidden/>
            <w:szCs w:val="24"/>
          </w:rPr>
          <w:tab/>
        </w:r>
        <w:r w:rsidRPr="00451561">
          <w:rPr>
            <w:rFonts w:cs="Times New Roman"/>
            <w:noProof/>
            <w:webHidden/>
            <w:szCs w:val="24"/>
          </w:rPr>
          <w:fldChar w:fldCharType="begin"/>
        </w:r>
        <w:r w:rsidRPr="00451561">
          <w:rPr>
            <w:rFonts w:cs="Times New Roman"/>
            <w:noProof/>
            <w:webHidden/>
            <w:szCs w:val="24"/>
          </w:rPr>
          <w:instrText xml:space="preserve"> PAGEREF _Toc175171461 \h </w:instrText>
        </w:r>
        <w:r w:rsidRPr="00451561">
          <w:rPr>
            <w:rFonts w:cs="Times New Roman"/>
            <w:noProof/>
            <w:webHidden/>
            <w:szCs w:val="24"/>
          </w:rPr>
        </w:r>
        <w:r w:rsidRPr="00451561">
          <w:rPr>
            <w:rFonts w:cs="Times New Roman"/>
            <w:noProof/>
            <w:webHidden/>
            <w:szCs w:val="24"/>
          </w:rPr>
          <w:fldChar w:fldCharType="separate"/>
        </w:r>
        <w:r w:rsidRPr="00451561">
          <w:rPr>
            <w:rFonts w:cs="Times New Roman"/>
            <w:noProof/>
            <w:webHidden/>
            <w:szCs w:val="24"/>
          </w:rPr>
          <w:t>109</w:t>
        </w:r>
        <w:r w:rsidRPr="00451561">
          <w:rPr>
            <w:rFonts w:cs="Times New Roman"/>
            <w:noProof/>
            <w:webHidden/>
            <w:szCs w:val="24"/>
          </w:rPr>
          <w:fldChar w:fldCharType="end"/>
        </w:r>
      </w:hyperlink>
    </w:p>
    <w:p w14:paraId="04371C96" w14:textId="7E272DF6" w:rsidR="00451561" w:rsidRPr="00451561" w:rsidRDefault="00451561" w:rsidP="00451561">
      <w:pPr>
        <w:pStyle w:val="TDC2"/>
        <w:tabs>
          <w:tab w:val="left" w:pos="960"/>
          <w:tab w:val="right" w:leader="dot" w:pos="9350"/>
        </w:tabs>
        <w:jc w:val="both"/>
        <w:rPr>
          <w:rFonts w:eastAsiaTheme="minorEastAsia" w:cs="Times New Roman"/>
          <w:noProof/>
          <w:kern w:val="2"/>
          <w:szCs w:val="24"/>
          <w:lang w:eastAsia="es-HN"/>
          <w14:ligatures w14:val="standardContextual"/>
        </w:rPr>
      </w:pPr>
      <w:hyperlink w:anchor="_Toc175171463" w:history="1">
        <w:r w:rsidRPr="00451561">
          <w:rPr>
            <w:rStyle w:val="Hipervnculo"/>
            <w:rFonts w:cs="Times New Roman"/>
            <w:noProof/>
            <w:szCs w:val="24"/>
          </w:rPr>
          <w:t>6.1.</w:t>
        </w:r>
        <w:r w:rsidRPr="00451561">
          <w:rPr>
            <w:rFonts w:eastAsiaTheme="minorEastAsia" w:cs="Times New Roman"/>
            <w:noProof/>
            <w:kern w:val="2"/>
            <w:szCs w:val="24"/>
            <w:lang w:eastAsia="es-HN"/>
            <w14:ligatures w14:val="standardContextual"/>
          </w:rPr>
          <w:tab/>
        </w:r>
        <w:r w:rsidRPr="00451561">
          <w:rPr>
            <w:rStyle w:val="Hipervnculo"/>
            <w:rFonts w:cs="Times New Roman"/>
            <w:noProof/>
            <w:szCs w:val="24"/>
          </w:rPr>
          <w:t>NOMBRE DE LA PROPUESTA</w:t>
        </w:r>
        <w:r w:rsidRPr="00451561">
          <w:rPr>
            <w:rFonts w:cs="Times New Roman"/>
            <w:noProof/>
            <w:webHidden/>
            <w:szCs w:val="24"/>
          </w:rPr>
          <w:tab/>
        </w:r>
        <w:r w:rsidRPr="00451561">
          <w:rPr>
            <w:rFonts w:cs="Times New Roman"/>
            <w:noProof/>
            <w:webHidden/>
            <w:szCs w:val="24"/>
          </w:rPr>
          <w:fldChar w:fldCharType="begin"/>
        </w:r>
        <w:r w:rsidRPr="00451561">
          <w:rPr>
            <w:rFonts w:cs="Times New Roman"/>
            <w:noProof/>
            <w:webHidden/>
            <w:szCs w:val="24"/>
          </w:rPr>
          <w:instrText xml:space="preserve"> PAGEREF _Toc175171463 \h </w:instrText>
        </w:r>
        <w:r w:rsidRPr="00451561">
          <w:rPr>
            <w:rFonts w:cs="Times New Roman"/>
            <w:noProof/>
            <w:webHidden/>
            <w:szCs w:val="24"/>
          </w:rPr>
        </w:r>
        <w:r w:rsidRPr="00451561">
          <w:rPr>
            <w:rFonts w:cs="Times New Roman"/>
            <w:noProof/>
            <w:webHidden/>
            <w:szCs w:val="24"/>
          </w:rPr>
          <w:fldChar w:fldCharType="separate"/>
        </w:r>
        <w:r w:rsidRPr="00451561">
          <w:rPr>
            <w:rFonts w:cs="Times New Roman"/>
            <w:noProof/>
            <w:webHidden/>
            <w:szCs w:val="24"/>
          </w:rPr>
          <w:t>109</w:t>
        </w:r>
        <w:r w:rsidRPr="00451561">
          <w:rPr>
            <w:rFonts w:cs="Times New Roman"/>
            <w:noProof/>
            <w:webHidden/>
            <w:szCs w:val="24"/>
          </w:rPr>
          <w:fldChar w:fldCharType="end"/>
        </w:r>
      </w:hyperlink>
    </w:p>
    <w:p w14:paraId="5150577F" w14:textId="26776ED7" w:rsidR="00451561" w:rsidRPr="00451561" w:rsidRDefault="00451561" w:rsidP="00451561">
      <w:pPr>
        <w:pStyle w:val="TDC2"/>
        <w:tabs>
          <w:tab w:val="left" w:pos="960"/>
          <w:tab w:val="right" w:leader="dot" w:pos="9350"/>
        </w:tabs>
        <w:jc w:val="both"/>
        <w:rPr>
          <w:rFonts w:eastAsiaTheme="minorEastAsia" w:cs="Times New Roman"/>
          <w:noProof/>
          <w:kern w:val="2"/>
          <w:szCs w:val="24"/>
          <w:lang w:eastAsia="es-HN"/>
          <w14:ligatures w14:val="standardContextual"/>
        </w:rPr>
      </w:pPr>
      <w:hyperlink w:anchor="_Toc175171464" w:history="1">
        <w:r w:rsidRPr="00451561">
          <w:rPr>
            <w:rStyle w:val="Hipervnculo"/>
            <w:rFonts w:cs="Times New Roman"/>
            <w:noProof/>
            <w:szCs w:val="24"/>
          </w:rPr>
          <w:t>6.2.</w:t>
        </w:r>
        <w:r w:rsidRPr="00451561">
          <w:rPr>
            <w:rFonts w:eastAsiaTheme="minorEastAsia" w:cs="Times New Roman"/>
            <w:noProof/>
            <w:kern w:val="2"/>
            <w:szCs w:val="24"/>
            <w:lang w:eastAsia="es-HN"/>
            <w14:ligatures w14:val="standardContextual"/>
          </w:rPr>
          <w:tab/>
        </w:r>
        <w:r w:rsidRPr="00451561">
          <w:rPr>
            <w:rStyle w:val="Hipervnculo"/>
            <w:rFonts w:cs="Times New Roman"/>
            <w:noProof/>
            <w:szCs w:val="24"/>
          </w:rPr>
          <w:t>JUSTIFICACIÓN DE LA PROPUESTA</w:t>
        </w:r>
        <w:r w:rsidRPr="00451561">
          <w:rPr>
            <w:rFonts w:cs="Times New Roman"/>
            <w:noProof/>
            <w:webHidden/>
            <w:szCs w:val="24"/>
          </w:rPr>
          <w:tab/>
        </w:r>
        <w:r w:rsidRPr="00451561">
          <w:rPr>
            <w:rFonts w:cs="Times New Roman"/>
            <w:noProof/>
            <w:webHidden/>
            <w:szCs w:val="24"/>
          </w:rPr>
          <w:fldChar w:fldCharType="begin"/>
        </w:r>
        <w:r w:rsidRPr="00451561">
          <w:rPr>
            <w:rFonts w:cs="Times New Roman"/>
            <w:noProof/>
            <w:webHidden/>
            <w:szCs w:val="24"/>
          </w:rPr>
          <w:instrText xml:space="preserve"> PAGEREF _Toc175171464 \h </w:instrText>
        </w:r>
        <w:r w:rsidRPr="00451561">
          <w:rPr>
            <w:rFonts w:cs="Times New Roman"/>
            <w:noProof/>
            <w:webHidden/>
            <w:szCs w:val="24"/>
          </w:rPr>
        </w:r>
        <w:r w:rsidRPr="00451561">
          <w:rPr>
            <w:rFonts w:cs="Times New Roman"/>
            <w:noProof/>
            <w:webHidden/>
            <w:szCs w:val="24"/>
          </w:rPr>
          <w:fldChar w:fldCharType="separate"/>
        </w:r>
        <w:r w:rsidRPr="00451561">
          <w:rPr>
            <w:rFonts w:cs="Times New Roman"/>
            <w:noProof/>
            <w:webHidden/>
            <w:szCs w:val="24"/>
          </w:rPr>
          <w:t>109</w:t>
        </w:r>
        <w:r w:rsidRPr="00451561">
          <w:rPr>
            <w:rFonts w:cs="Times New Roman"/>
            <w:noProof/>
            <w:webHidden/>
            <w:szCs w:val="24"/>
          </w:rPr>
          <w:fldChar w:fldCharType="end"/>
        </w:r>
      </w:hyperlink>
    </w:p>
    <w:p w14:paraId="12397509" w14:textId="0B630432" w:rsidR="00451561" w:rsidRPr="00451561" w:rsidRDefault="00451561" w:rsidP="00451561">
      <w:pPr>
        <w:pStyle w:val="TDC2"/>
        <w:tabs>
          <w:tab w:val="left" w:pos="960"/>
          <w:tab w:val="right" w:leader="dot" w:pos="9350"/>
        </w:tabs>
        <w:jc w:val="both"/>
        <w:rPr>
          <w:rFonts w:eastAsiaTheme="minorEastAsia" w:cs="Times New Roman"/>
          <w:noProof/>
          <w:kern w:val="2"/>
          <w:szCs w:val="24"/>
          <w:lang w:eastAsia="es-HN"/>
          <w14:ligatures w14:val="standardContextual"/>
        </w:rPr>
      </w:pPr>
      <w:hyperlink w:anchor="_Toc175171465" w:history="1">
        <w:r w:rsidRPr="00451561">
          <w:rPr>
            <w:rStyle w:val="Hipervnculo"/>
            <w:rFonts w:cs="Times New Roman"/>
            <w:noProof/>
            <w:szCs w:val="24"/>
          </w:rPr>
          <w:t>6.3.</w:t>
        </w:r>
        <w:r w:rsidRPr="00451561">
          <w:rPr>
            <w:rFonts w:eastAsiaTheme="minorEastAsia" w:cs="Times New Roman"/>
            <w:noProof/>
            <w:kern w:val="2"/>
            <w:szCs w:val="24"/>
            <w:lang w:eastAsia="es-HN"/>
            <w14:ligatures w14:val="standardContextual"/>
          </w:rPr>
          <w:tab/>
        </w:r>
        <w:r w:rsidRPr="00451561">
          <w:rPr>
            <w:rStyle w:val="Hipervnculo"/>
            <w:rFonts w:cs="Times New Roman"/>
            <w:noProof/>
            <w:szCs w:val="24"/>
          </w:rPr>
          <w:t>ALCANCE DE LA PROPUESTA</w:t>
        </w:r>
        <w:r w:rsidRPr="00451561">
          <w:rPr>
            <w:rFonts w:cs="Times New Roman"/>
            <w:noProof/>
            <w:webHidden/>
            <w:szCs w:val="24"/>
          </w:rPr>
          <w:tab/>
        </w:r>
        <w:r w:rsidRPr="00451561">
          <w:rPr>
            <w:rFonts w:cs="Times New Roman"/>
            <w:noProof/>
            <w:webHidden/>
            <w:szCs w:val="24"/>
          </w:rPr>
          <w:fldChar w:fldCharType="begin"/>
        </w:r>
        <w:r w:rsidRPr="00451561">
          <w:rPr>
            <w:rFonts w:cs="Times New Roman"/>
            <w:noProof/>
            <w:webHidden/>
            <w:szCs w:val="24"/>
          </w:rPr>
          <w:instrText xml:space="preserve"> PAGEREF _Toc175171465 \h </w:instrText>
        </w:r>
        <w:r w:rsidRPr="00451561">
          <w:rPr>
            <w:rFonts w:cs="Times New Roman"/>
            <w:noProof/>
            <w:webHidden/>
            <w:szCs w:val="24"/>
          </w:rPr>
        </w:r>
        <w:r w:rsidRPr="00451561">
          <w:rPr>
            <w:rFonts w:cs="Times New Roman"/>
            <w:noProof/>
            <w:webHidden/>
            <w:szCs w:val="24"/>
          </w:rPr>
          <w:fldChar w:fldCharType="separate"/>
        </w:r>
        <w:r w:rsidRPr="00451561">
          <w:rPr>
            <w:rFonts w:cs="Times New Roman"/>
            <w:noProof/>
            <w:webHidden/>
            <w:szCs w:val="24"/>
          </w:rPr>
          <w:t>110</w:t>
        </w:r>
        <w:r w:rsidRPr="00451561">
          <w:rPr>
            <w:rFonts w:cs="Times New Roman"/>
            <w:noProof/>
            <w:webHidden/>
            <w:szCs w:val="24"/>
          </w:rPr>
          <w:fldChar w:fldCharType="end"/>
        </w:r>
      </w:hyperlink>
    </w:p>
    <w:p w14:paraId="414BA233" w14:textId="366D2B3B" w:rsidR="00451561" w:rsidRPr="00451561" w:rsidRDefault="00451561" w:rsidP="00451561">
      <w:pPr>
        <w:pStyle w:val="TDC2"/>
        <w:tabs>
          <w:tab w:val="right" w:leader="dot" w:pos="9350"/>
        </w:tabs>
        <w:jc w:val="both"/>
        <w:rPr>
          <w:rFonts w:eastAsiaTheme="minorEastAsia" w:cs="Times New Roman"/>
          <w:noProof/>
          <w:kern w:val="2"/>
          <w:szCs w:val="24"/>
          <w:lang w:eastAsia="es-HN"/>
          <w14:ligatures w14:val="standardContextual"/>
        </w:rPr>
      </w:pPr>
      <w:hyperlink w:anchor="_Toc175171466" w:history="1">
        <w:r w:rsidRPr="00451561">
          <w:rPr>
            <w:rStyle w:val="Hipervnculo"/>
            <w:rFonts w:cs="Times New Roman"/>
            <w:noProof/>
            <w:szCs w:val="24"/>
          </w:rPr>
          <w:t>6.3.1. OBJETIVO GENERAL</w:t>
        </w:r>
        <w:r w:rsidRPr="00451561">
          <w:rPr>
            <w:rFonts w:cs="Times New Roman"/>
            <w:noProof/>
            <w:webHidden/>
            <w:szCs w:val="24"/>
          </w:rPr>
          <w:tab/>
        </w:r>
        <w:r w:rsidRPr="00451561">
          <w:rPr>
            <w:rFonts w:cs="Times New Roman"/>
            <w:noProof/>
            <w:webHidden/>
            <w:szCs w:val="24"/>
          </w:rPr>
          <w:fldChar w:fldCharType="begin"/>
        </w:r>
        <w:r w:rsidRPr="00451561">
          <w:rPr>
            <w:rFonts w:cs="Times New Roman"/>
            <w:noProof/>
            <w:webHidden/>
            <w:szCs w:val="24"/>
          </w:rPr>
          <w:instrText xml:space="preserve"> PAGEREF _Toc175171466 \h </w:instrText>
        </w:r>
        <w:r w:rsidRPr="00451561">
          <w:rPr>
            <w:rFonts w:cs="Times New Roman"/>
            <w:noProof/>
            <w:webHidden/>
            <w:szCs w:val="24"/>
          </w:rPr>
        </w:r>
        <w:r w:rsidRPr="00451561">
          <w:rPr>
            <w:rFonts w:cs="Times New Roman"/>
            <w:noProof/>
            <w:webHidden/>
            <w:szCs w:val="24"/>
          </w:rPr>
          <w:fldChar w:fldCharType="separate"/>
        </w:r>
        <w:r w:rsidRPr="00451561">
          <w:rPr>
            <w:rFonts w:cs="Times New Roman"/>
            <w:noProof/>
            <w:webHidden/>
            <w:szCs w:val="24"/>
          </w:rPr>
          <w:t>110</w:t>
        </w:r>
        <w:r w:rsidRPr="00451561">
          <w:rPr>
            <w:rFonts w:cs="Times New Roman"/>
            <w:noProof/>
            <w:webHidden/>
            <w:szCs w:val="24"/>
          </w:rPr>
          <w:fldChar w:fldCharType="end"/>
        </w:r>
      </w:hyperlink>
    </w:p>
    <w:p w14:paraId="0D9A66C2" w14:textId="39487514" w:rsidR="00451561" w:rsidRPr="00451561" w:rsidRDefault="00451561" w:rsidP="00451561">
      <w:pPr>
        <w:pStyle w:val="TDC2"/>
        <w:tabs>
          <w:tab w:val="right" w:leader="dot" w:pos="9350"/>
        </w:tabs>
        <w:jc w:val="both"/>
        <w:rPr>
          <w:rFonts w:eastAsiaTheme="minorEastAsia" w:cs="Times New Roman"/>
          <w:noProof/>
          <w:kern w:val="2"/>
          <w:szCs w:val="24"/>
          <w:lang w:eastAsia="es-HN"/>
          <w14:ligatures w14:val="standardContextual"/>
        </w:rPr>
      </w:pPr>
      <w:hyperlink w:anchor="_Toc175171467" w:history="1">
        <w:r w:rsidRPr="00451561">
          <w:rPr>
            <w:rStyle w:val="Hipervnculo"/>
            <w:rFonts w:cs="Times New Roman"/>
            <w:noProof/>
            <w:szCs w:val="24"/>
          </w:rPr>
          <w:t>6.3.2. OBJETIVOS ESPECIFICOS</w:t>
        </w:r>
        <w:r w:rsidRPr="00451561">
          <w:rPr>
            <w:rFonts w:cs="Times New Roman"/>
            <w:noProof/>
            <w:webHidden/>
            <w:szCs w:val="24"/>
          </w:rPr>
          <w:tab/>
        </w:r>
        <w:r w:rsidRPr="00451561">
          <w:rPr>
            <w:rFonts w:cs="Times New Roman"/>
            <w:noProof/>
            <w:webHidden/>
            <w:szCs w:val="24"/>
          </w:rPr>
          <w:fldChar w:fldCharType="begin"/>
        </w:r>
        <w:r w:rsidRPr="00451561">
          <w:rPr>
            <w:rFonts w:cs="Times New Roman"/>
            <w:noProof/>
            <w:webHidden/>
            <w:szCs w:val="24"/>
          </w:rPr>
          <w:instrText xml:space="preserve"> PAGEREF _Toc175171467 \h </w:instrText>
        </w:r>
        <w:r w:rsidRPr="00451561">
          <w:rPr>
            <w:rFonts w:cs="Times New Roman"/>
            <w:noProof/>
            <w:webHidden/>
            <w:szCs w:val="24"/>
          </w:rPr>
        </w:r>
        <w:r w:rsidRPr="00451561">
          <w:rPr>
            <w:rFonts w:cs="Times New Roman"/>
            <w:noProof/>
            <w:webHidden/>
            <w:szCs w:val="24"/>
          </w:rPr>
          <w:fldChar w:fldCharType="separate"/>
        </w:r>
        <w:r w:rsidRPr="00451561">
          <w:rPr>
            <w:rFonts w:cs="Times New Roman"/>
            <w:noProof/>
            <w:webHidden/>
            <w:szCs w:val="24"/>
          </w:rPr>
          <w:t>110</w:t>
        </w:r>
        <w:r w:rsidRPr="00451561">
          <w:rPr>
            <w:rFonts w:cs="Times New Roman"/>
            <w:noProof/>
            <w:webHidden/>
            <w:szCs w:val="24"/>
          </w:rPr>
          <w:fldChar w:fldCharType="end"/>
        </w:r>
      </w:hyperlink>
    </w:p>
    <w:p w14:paraId="7764C6FD" w14:textId="367FAE47" w:rsidR="00451561" w:rsidRPr="00451561" w:rsidRDefault="00451561" w:rsidP="00451561">
      <w:pPr>
        <w:pStyle w:val="TDC2"/>
        <w:tabs>
          <w:tab w:val="left" w:pos="960"/>
          <w:tab w:val="right" w:leader="dot" w:pos="9350"/>
        </w:tabs>
        <w:jc w:val="both"/>
        <w:rPr>
          <w:rFonts w:eastAsiaTheme="minorEastAsia" w:cs="Times New Roman"/>
          <w:noProof/>
          <w:kern w:val="2"/>
          <w:szCs w:val="24"/>
          <w:lang w:eastAsia="es-HN"/>
          <w14:ligatures w14:val="standardContextual"/>
        </w:rPr>
      </w:pPr>
      <w:hyperlink w:anchor="_Toc175171468" w:history="1">
        <w:r w:rsidRPr="00451561">
          <w:rPr>
            <w:rStyle w:val="Hipervnculo"/>
            <w:rFonts w:cs="Times New Roman"/>
            <w:noProof/>
            <w:szCs w:val="24"/>
          </w:rPr>
          <w:t>6.4.</w:t>
        </w:r>
        <w:r w:rsidRPr="00451561">
          <w:rPr>
            <w:rFonts w:eastAsiaTheme="minorEastAsia" w:cs="Times New Roman"/>
            <w:noProof/>
            <w:kern w:val="2"/>
            <w:szCs w:val="24"/>
            <w:lang w:eastAsia="es-HN"/>
            <w14:ligatures w14:val="standardContextual"/>
          </w:rPr>
          <w:tab/>
        </w:r>
        <w:r w:rsidRPr="00451561">
          <w:rPr>
            <w:rStyle w:val="Hipervnculo"/>
            <w:rFonts w:cs="Times New Roman"/>
            <w:noProof/>
            <w:szCs w:val="24"/>
          </w:rPr>
          <w:t>DESCRIPCIÓN Y DESARROLLO DE LA PROPUESTA</w:t>
        </w:r>
        <w:r w:rsidRPr="00451561">
          <w:rPr>
            <w:rFonts w:cs="Times New Roman"/>
            <w:noProof/>
            <w:webHidden/>
            <w:szCs w:val="24"/>
          </w:rPr>
          <w:tab/>
        </w:r>
        <w:r w:rsidRPr="00451561">
          <w:rPr>
            <w:rFonts w:cs="Times New Roman"/>
            <w:noProof/>
            <w:webHidden/>
            <w:szCs w:val="24"/>
          </w:rPr>
          <w:fldChar w:fldCharType="begin"/>
        </w:r>
        <w:r w:rsidRPr="00451561">
          <w:rPr>
            <w:rFonts w:cs="Times New Roman"/>
            <w:noProof/>
            <w:webHidden/>
            <w:szCs w:val="24"/>
          </w:rPr>
          <w:instrText xml:space="preserve"> PAGEREF _Toc175171468 \h </w:instrText>
        </w:r>
        <w:r w:rsidRPr="00451561">
          <w:rPr>
            <w:rFonts w:cs="Times New Roman"/>
            <w:noProof/>
            <w:webHidden/>
            <w:szCs w:val="24"/>
          </w:rPr>
        </w:r>
        <w:r w:rsidRPr="00451561">
          <w:rPr>
            <w:rFonts w:cs="Times New Roman"/>
            <w:noProof/>
            <w:webHidden/>
            <w:szCs w:val="24"/>
          </w:rPr>
          <w:fldChar w:fldCharType="separate"/>
        </w:r>
        <w:r w:rsidRPr="00451561">
          <w:rPr>
            <w:rFonts w:cs="Times New Roman"/>
            <w:noProof/>
            <w:webHidden/>
            <w:szCs w:val="24"/>
          </w:rPr>
          <w:t>111</w:t>
        </w:r>
        <w:r w:rsidRPr="00451561">
          <w:rPr>
            <w:rFonts w:cs="Times New Roman"/>
            <w:noProof/>
            <w:webHidden/>
            <w:szCs w:val="24"/>
          </w:rPr>
          <w:fldChar w:fldCharType="end"/>
        </w:r>
      </w:hyperlink>
    </w:p>
    <w:p w14:paraId="7032BFAF" w14:textId="1D905408" w:rsidR="00451561" w:rsidRPr="00451561" w:rsidRDefault="00451561" w:rsidP="00451561">
      <w:pPr>
        <w:pStyle w:val="TDC3"/>
        <w:tabs>
          <w:tab w:val="right" w:leader="dot" w:pos="9350"/>
        </w:tabs>
        <w:jc w:val="both"/>
        <w:rPr>
          <w:rFonts w:eastAsiaTheme="minorEastAsia" w:cs="Times New Roman"/>
          <w:noProof/>
          <w:kern w:val="2"/>
          <w:szCs w:val="24"/>
          <w:lang w:eastAsia="es-HN"/>
          <w14:ligatures w14:val="standardContextual"/>
        </w:rPr>
      </w:pPr>
      <w:hyperlink w:anchor="_Toc175171469" w:history="1">
        <w:r w:rsidRPr="00451561">
          <w:rPr>
            <w:rStyle w:val="Hipervnculo"/>
            <w:rFonts w:cs="Times New Roman"/>
            <w:noProof/>
            <w:szCs w:val="24"/>
          </w:rPr>
          <w:t>6.4.1. DESCRIPCIÓN CLARA DEL QUÉ Y CÓMO SE HARA</w:t>
        </w:r>
        <w:r w:rsidRPr="00451561">
          <w:rPr>
            <w:rFonts w:cs="Times New Roman"/>
            <w:noProof/>
            <w:webHidden/>
            <w:szCs w:val="24"/>
          </w:rPr>
          <w:tab/>
        </w:r>
        <w:r w:rsidRPr="00451561">
          <w:rPr>
            <w:rFonts w:cs="Times New Roman"/>
            <w:noProof/>
            <w:webHidden/>
            <w:szCs w:val="24"/>
          </w:rPr>
          <w:fldChar w:fldCharType="begin"/>
        </w:r>
        <w:r w:rsidRPr="00451561">
          <w:rPr>
            <w:rFonts w:cs="Times New Roman"/>
            <w:noProof/>
            <w:webHidden/>
            <w:szCs w:val="24"/>
          </w:rPr>
          <w:instrText xml:space="preserve"> PAGEREF _Toc175171469 \h </w:instrText>
        </w:r>
        <w:r w:rsidRPr="00451561">
          <w:rPr>
            <w:rFonts w:cs="Times New Roman"/>
            <w:noProof/>
            <w:webHidden/>
            <w:szCs w:val="24"/>
          </w:rPr>
        </w:r>
        <w:r w:rsidRPr="00451561">
          <w:rPr>
            <w:rFonts w:cs="Times New Roman"/>
            <w:noProof/>
            <w:webHidden/>
            <w:szCs w:val="24"/>
          </w:rPr>
          <w:fldChar w:fldCharType="separate"/>
        </w:r>
        <w:r w:rsidRPr="00451561">
          <w:rPr>
            <w:rFonts w:cs="Times New Roman"/>
            <w:noProof/>
            <w:webHidden/>
            <w:szCs w:val="24"/>
          </w:rPr>
          <w:t>111</w:t>
        </w:r>
        <w:r w:rsidRPr="00451561">
          <w:rPr>
            <w:rFonts w:cs="Times New Roman"/>
            <w:noProof/>
            <w:webHidden/>
            <w:szCs w:val="24"/>
          </w:rPr>
          <w:fldChar w:fldCharType="end"/>
        </w:r>
      </w:hyperlink>
    </w:p>
    <w:p w14:paraId="65F08C71" w14:textId="4A6F57A1" w:rsidR="00451561" w:rsidRPr="00451561" w:rsidRDefault="00451561" w:rsidP="00451561">
      <w:pPr>
        <w:pStyle w:val="TDC3"/>
        <w:tabs>
          <w:tab w:val="right" w:leader="dot" w:pos="9350"/>
        </w:tabs>
        <w:jc w:val="both"/>
        <w:rPr>
          <w:rFonts w:eastAsiaTheme="minorEastAsia" w:cs="Times New Roman"/>
          <w:noProof/>
          <w:kern w:val="2"/>
          <w:szCs w:val="24"/>
          <w:lang w:eastAsia="es-HN"/>
          <w14:ligatures w14:val="standardContextual"/>
        </w:rPr>
      </w:pPr>
      <w:hyperlink w:anchor="_Toc175171470" w:history="1">
        <w:r w:rsidRPr="00451561">
          <w:rPr>
            <w:rStyle w:val="Hipervnculo"/>
            <w:rFonts w:cs="Times New Roman"/>
            <w:noProof/>
            <w:szCs w:val="24"/>
          </w:rPr>
          <w:t>6.4.2. DESARROLLO DE TODOS LOS ELEMENTOS NECESARIOS</w:t>
        </w:r>
        <w:r w:rsidRPr="00451561">
          <w:rPr>
            <w:rFonts w:cs="Times New Roman"/>
            <w:noProof/>
            <w:webHidden/>
            <w:szCs w:val="24"/>
          </w:rPr>
          <w:tab/>
        </w:r>
        <w:r w:rsidRPr="00451561">
          <w:rPr>
            <w:rFonts w:cs="Times New Roman"/>
            <w:noProof/>
            <w:webHidden/>
            <w:szCs w:val="24"/>
          </w:rPr>
          <w:fldChar w:fldCharType="begin"/>
        </w:r>
        <w:r w:rsidRPr="00451561">
          <w:rPr>
            <w:rFonts w:cs="Times New Roman"/>
            <w:noProof/>
            <w:webHidden/>
            <w:szCs w:val="24"/>
          </w:rPr>
          <w:instrText xml:space="preserve"> PAGEREF _Toc175171470 \h </w:instrText>
        </w:r>
        <w:r w:rsidRPr="00451561">
          <w:rPr>
            <w:rFonts w:cs="Times New Roman"/>
            <w:noProof/>
            <w:webHidden/>
            <w:szCs w:val="24"/>
          </w:rPr>
        </w:r>
        <w:r w:rsidRPr="00451561">
          <w:rPr>
            <w:rFonts w:cs="Times New Roman"/>
            <w:noProof/>
            <w:webHidden/>
            <w:szCs w:val="24"/>
          </w:rPr>
          <w:fldChar w:fldCharType="separate"/>
        </w:r>
        <w:r w:rsidRPr="00451561">
          <w:rPr>
            <w:rFonts w:cs="Times New Roman"/>
            <w:noProof/>
            <w:webHidden/>
            <w:szCs w:val="24"/>
          </w:rPr>
          <w:t>112</w:t>
        </w:r>
        <w:r w:rsidRPr="00451561">
          <w:rPr>
            <w:rFonts w:cs="Times New Roman"/>
            <w:noProof/>
            <w:webHidden/>
            <w:szCs w:val="24"/>
          </w:rPr>
          <w:fldChar w:fldCharType="end"/>
        </w:r>
      </w:hyperlink>
    </w:p>
    <w:p w14:paraId="5848AC3B" w14:textId="7E96EBC2" w:rsidR="00451561" w:rsidRPr="00451561" w:rsidRDefault="00451561" w:rsidP="00451561">
      <w:pPr>
        <w:pStyle w:val="TDC4"/>
        <w:jc w:val="both"/>
        <w:rPr>
          <w:rFonts w:eastAsiaTheme="minorEastAsia"/>
          <w:iCs w:val="0"/>
          <w:kern w:val="2"/>
          <w:szCs w:val="24"/>
          <w:lang w:eastAsia="es-HN"/>
          <w14:ligatures w14:val="standardContextual"/>
        </w:rPr>
      </w:pPr>
      <w:hyperlink w:anchor="_Toc175171471" w:history="1">
        <w:r w:rsidRPr="00451561">
          <w:rPr>
            <w:rStyle w:val="Hipervnculo"/>
            <w:szCs w:val="24"/>
          </w:rPr>
          <w:t>6.4.2.1. REDUCIR EL MONTO TOTAL DE MOROSIDAD &gt;30 DÍAS EN LA CARTERA DE CRÉDITO DE LA MICROFINANCIERA “XYZ”.</w:t>
        </w:r>
        <w:r w:rsidRPr="00451561">
          <w:rPr>
            <w:webHidden/>
            <w:szCs w:val="24"/>
          </w:rPr>
          <w:tab/>
        </w:r>
        <w:r w:rsidRPr="00451561">
          <w:rPr>
            <w:webHidden/>
            <w:szCs w:val="24"/>
          </w:rPr>
          <w:fldChar w:fldCharType="begin"/>
        </w:r>
        <w:r w:rsidRPr="00451561">
          <w:rPr>
            <w:webHidden/>
            <w:szCs w:val="24"/>
          </w:rPr>
          <w:instrText xml:space="preserve"> PAGEREF _Toc175171471 \h </w:instrText>
        </w:r>
        <w:r w:rsidRPr="00451561">
          <w:rPr>
            <w:webHidden/>
            <w:szCs w:val="24"/>
          </w:rPr>
        </w:r>
        <w:r w:rsidRPr="00451561">
          <w:rPr>
            <w:webHidden/>
            <w:szCs w:val="24"/>
          </w:rPr>
          <w:fldChar w:fldCharType="separate"/>
        </w:r>
        <w:r w:rsidRPr="00451561">
          <w:rPr>
            <w:webHidden/>
            <w:szCs w:val="24"/>
          </w:rPr>
          <w:t>112</w:t>
        </w:r>
        <w:r w:rsidRPr="00451561">
          <w:rPr>
            <w:webHidden/>
            <w:szCs w:val="24"/>
          </w:rPr>
          <w:fldChar w:fldCharType="end"/>
        </w:r>
      </w:hyperlink>
    </w:p>
    <w:p w14:paraId="770443D3" w14:textId="6328D361" w:rsidR="00451561" w:rsidRPr="00451561" w:rsidRDefault="00451561" w:rsidP="00451561">
      <w:pPr>
        <w:pStyle w:val="TDC4"/>
        <w:jc w:val="both"/>
        <w:rPr>
          <w:rFonts w:eastAsiaTheme="minorEastAsia"/>
          <w:iCs w:val="0"/>
          <w:kern w:val="2"/>
          <w:szCs w:val="24"/>
          <w:lang w:eastAsia="es-HN"/>
          <w14:ligatures w14:val="standardContextual"/>
        </w:rPr>
      </w:pPr>
      <w:hyperlink w:anchor="_Toc175171472" w:history="1">
        <w:r w:rsidRPr="00451561">
          <w:rPr>
            <w:rStyle w:val="Hipervnculo"/>
            <w:szCs w:val="24"/>
          </w:rPr>
          <w:t>6.4.2.2. IMPLEMENTAR ESTRATEGIAS PARA REDUCIR EL MONTO DE MOROSIDAD EN LA CARTERA DE CRÉDITO Y EVALUAR SU IMPACTO.</w:t>
        </w:r>
        <w:r w:rsidRPr="00451561">
          <w:rPr>
            <w:webHidden/>
            <w:szCs w:val="24"/>
          </w:rPr>
          <w:tab/>
        </w:r>
        <w:r w:rsidRPr="00451561">
          <w:rPr>
            <w:webHidden/>
            <w:szCs w:val="24"/>
          </w:rPr>
          <w:fldChar w:fldCharType="begin"/>
        </w:r>
        <w:r w:rsidRPr="00451561">
          <w:rPr>
            <w:webHidden/>
            <w:szCs w:val="24"/>
          </w:rPr>
          <w:instrText xml:space="preserve"> PAGEREF _Toc175171472 \h </w:instrText>
        </w:r>
        <w:r w:rsidRPr="00451561">
          <w:rPr>
            <w:webHidden/>
            <w:szCs w:val="24"/>
          </w:rPr>
        </w:r>
        <w:r w:rsidRPr="00451561">
          <w:rPr>
            <w:webHidden/>
            <w:szCs w:val="24"/>
          </w:rPr>
          <w:fldChar w:fldCharType="separate"/>
        </w:r>
        <w:r w:rsidRPr="00451561">
          <w:rPr>
            <w:webHidden/>
            <w:szCs w:val="24"/>
          </w:rPr>
          <w:t>114</w:t>
        </w:r>
        <w:r w:rsidRPr="00451561">
          <w:rPr>
            <w:webHidden/>
            <w:szCs w:val="24"/>
          </w:rPr>
          <w:fldChar w:fldCharType="end"/>
        </w:r>
      </w:hyperlink>
    </w:p>
    <w:p w14:paraId="79AAE12C" w14:textId="677BAB62" w:rsidR="00451561" w:rsidRPr="00451561" w:rsidRDefault="00451561" w:rsidP="00451561">
      <w:pPr>
        <w:pStyle w:val="TDC4"/>
        <w:jc w:val="both"/>
        <w:rPr>
          <w:rFonts w:eastAsiaTheme="minorEastAsia"/>
          <w:iCs w:val="0"/>
          <w:kern w:val="2"/>
          <w:szCs w:val="24"/>
          <w:lang w:eastAsia="es-HN"/>
          <w14:ligatures w14:val="standardContextual"/>
        </w:rPr>
      </w:pPr>
      <w:hyperlink w:anchor="_Toc175171473" w:history="1">
        <w:r w:rsidRPr="00451561">
          <w:rPr>
            <w:rStyle w:val="Hipervnculo"/>
            <w:szCs w:val="24"/>
          </w:rPr>
          <w:t>6.4.2.3. PROPONER UNA RESTRUCTURACIÓN EN EL ORGANIGRAMA DEL DEPARTAMENTO DE COBROS.</w:t>
        </w:r>
        <w:r w:rsidRPr="00451561">
          <w:rPr>
            <w:webHidden/>
            <w:szCs w:val="24"/>
          </w:rPr>
          <w:tab/>
        </w:r>
        <w:r w:rsidRPr="00451561">
          <w:rPr>
            <w:webHidden/>
            <w:szCs w:val="24"/>
          </w:rPr>
          <w:fldChar w:fldCharType="begin"/>
        </w:r>
        <w:r w:rsidRPr="00451561">
          <w:rPr>
            <w:webHidden/>
            <w:szCs w:val="24"/>
          </w:rPr>
          <w:instrText xml:space="preserve"> PAGEREF _Toc175171473 \h </w:instrText>
        </w:r>
        <w:r w:rsidRPr="00451561">
          <w:rPr>
            <w:webHidden/>
            <w:szCs w:val="24"/>
          </w:rPr>
        </w:r>
        <w:r w:rsidRPr="00451561">
          <w:rPr>
            <w:webHidden/>
            <w:szCs w:val="24"/>
          </w:rPr>
          <w:fldChar w:fldCharType="separate"/>
        </w:r>
        <w:r w:rsidRPr="00451561">
          <w:rPr>
            <w:webHidden/>
            <w:szCs w:val="24"/>
          </w:rPr>
          <w:t>116</w:t>
        </w:r>
        <w:r w:rsidRPr="00451561">
          <w:rPr>
            <w:webHidden/>
            <w:szCs w:val="24"/>
          </w:rPr>
          <w:fldChar w:fldCharType="end"/>
        </w:r>
      </w:hyperlink>
    </w:p>
    <w:p w14:paraId="2B8D4800" w14:textId="7A25C189" w:rsidR="00451561" w:rsidRPr="00451561" w:rsidRDefault="00451561" w:rsidP="00451561">
      <w:pPr>
        <w:pStyle w:val="TDC4"/>
        <w:jc w:val="both"/>
        <w:rPr>
          <w:rFonts w:eastAsiaTheme="minorEastAsia"/>
          <w:iCs w:val="0"/>
          <w:kern w:val="2"/>
          <w:szCs w:val="24"/>
          <w:lang w:eastAsia="es-HN"/>
          <w14:ligatures w14:val="standardContextual"/>
        </w:rPr>
      </w:pPr>
      <w:hyperlink w:anchor="_Toc175171474" w:history="1">
        <w:r w:rsidRPr="00451561">
          <w:rPr>
            <w:rStyle w:val="Hipervnculo"/>
            <w:szCs w:val="24"/>
          </w:rPr>
          <w:t>6.4.2.4. ESTABLECER PARÁMETROS DE MEDICIÓN PARA LOS INDICADORES DE CARTERA</w:t>
        </w:r>
        <w:r w:rsidRPr="00451561">
          <w:rPr>
            <w:webHidden/>
            <w:szCs w:val="24"/>
          </w:rPr>
          <w:tab/>
        </w:r>
        <w:r w:rsidRPr="00451561">
          <w:rPr>
            <w:webHidden/>
            <w:szCs w:val="24"/>
          </w:rPr>
          <w:fldChar w:fldCharType="begin"/>
        </w:r>
        <w:r w:rsidRPr="00451561">
          <w:rPr>
            <w:webHidden/>
            <w:szCs w:val="24"/>
          </w:rPr>
          <w:instrText xml:space="preserve"> PAGEREF _Toc175171474 \h </w:instrText>
        </w:r>
        <w:r w:rsidRPr="00451561">
          <w:rPr>
            <w:webHidden/>
            <w:szCs w:val="24"/>
          </w:rPr>
        </w:r>
        <w:r w:rsidRPr="00451561">
          <w:rPr>
            <w:webHidden/>
            <w:szCs w:val="24"/>
          </w:rPr>
          <w:fldChar w:fldCharType="separate"/>
        </w:r>
        <w:r w:rsidRPr="00451561">
          <w:rPr>
            <w:webHidden/>
            <w:szCs w:val="24"/>
          </w:rPr>
          <w:t>118</w:t>
        </w:r>
        <w:r w:rsidRPr="00451561">
          <w:rPr>
            <w:webHidden/>
            <w:szCs w:val="24"/>
          </w:rPr>
          <w:fldChar w:fldCharType="end"/>
        </w:r>
      </w:hyperlink>
    </w:p>
    <w:p w14:paraId="660FFAF2" w14:textId="55EBA706" w:rsidR="00451561" w:rsidRPr="00451561" w:rsidRDefault="00451561" w:rsidP="00451561">
      <w:pPr>
        <w:pStyle w:val="TDC4"/>
        <w:jc w:val="both"/>
        <w:rPr>
          <w:rFonts w:eastAsiaTheme="minorEastAsia"/>
          <w:iCs w:val="0"/>
          <w:kern w:val="2"/>
          <w:szCs w:val="24"/>
          <w:lang w:eastAsia="es-HN"/>
          <w14:ligatures w14:val="standardContextual"/>
        </w:rPr>
      </w:pPr>
      <w:hyperlink w:anchor="_Toc175171475" w:history="1">
        <w:r w:rsidRPr="00451561">
          <w:rPr>
            <w:rStyle w:val="Hipervnculo"/>
            <w:szCs w:val="24"/>
          </w:rPr>
          <w:t>6.4.2.5. MEJORAR LA SALUD FINANCIERA DE LA MICROFINANCIERA “XYZ”</w:t>
        </w:r>
        <w:r w:rsidRPr="00451561">
          <w:rPr>
            <w:webHidden/>
            <w:szCs w:val="24"/>
          </w:rPr>
          <w:tab/>
        </w:r>
        <w:r w:rsidRPr="00451561">
          <w:rPr>
            <w:webHidden/>
            <w:szCs w:val="24"/>
          </w:rPr>
          <w:fldChar w:fldCharType="begin"/>
        </w:r>
        <w:r w:rsidRPr="00451561">
          <w:rPr>
            <w:webHidden/>
            <w:szCs w:val="24"/>
          </w:rPr>
          <w:instrText xml:space="preserve"> PAGEREF _Toc175171475 \h </w:instrText>
        </w:r>
        <w:r w:rsidRPr="00451561">
          <w:rPr>
            <w:webHidden/>
            <w:szCs w:val="24"/>
          </w:rPr>
        </w:r>
        <w:r w:rsidRPr="00451561">
          <w:rPr>
            <w:webHidden/>
            <w:szCs w:val="24"/>
          </w:rPr>
          <w:fldChar w:fldCharType="separate"/>
        </w:r>
        <w:r w:rsidRPr="00451561">
          <w:rPr>
            <w:webHidden/>
            <w:szCs w:val="24"/>
          </w:rPr>
          <w:t>120</w:t>
        </w:r>
        <w:r w:rsidRPr="00451561">
          <w:rPr>
            <w:webHidden/>
            <w:szCs w:val="24"/>
          </w:rPr>
          <w:fldChar w:fldCharType="end"/>
        </w:r>
      </w:hyperlink>
    </w:p>
    <w:p w14:paraId="0E1AF2AE" w14:textId="142313F4" w:rsidR="00451561" w:rsidRPr="00451561" w:rsidRDefault="00451561" w:rsidP="00451561">
      <w:pPr>
        <w:pStyle w:val="TDC2"/>
        <w:tabs>
          <w:tab w:val="left" w:pos="960"/>
          <w:tab w:val="right" w:leader="dot" w:pos="9350"/>
        </w:tabs>
        <w:jc w:val="both"/>
        <w:rPr>
          <w:rFonts w:eastAsiaTheme="minorEastAsia" w:cs="Times New Roman"/>
          <w:noProof/>
          <w:kern w:val="2"/>
          <w:szCs w:val="24"/>
          <w:lang w:eastAsia="es-HN"/>
          <w14:ligatures w14:val="standardContextual"/>
        </w:rPr>
      </w:pPr>
      <w:hyperlink w:anchor="_Toc175171476" w:history="1">
        <w:r w:rsidRPr="00451561">
          <w:rPr>
            <w:rStyle w:val="Hipervnculo"/>
            <w:rFonts w:cs="Times New Roman"/>
            <w:noProof/>
            <w:szCs w:val="24"/>
          </w:rPr>
          <w:t>6.5.</w:t>
        </w:r>
        <w:r w:rsidRPr="00451561">
          <w:rPr>
            <w:rFonts w:eastAsiaTheme="minorEastAsia" w:cs="Times New Roman"/>
            <w:noProof/>
            <w:kern w:val="2"/>
            <w:szCs w:val="24"/>
            <w:lang w:eastAsia="es-HN"/>
            <w14:ligatures w14:val="standardContextual"/>
          </w:rPr>
          <w:tab/>
        </w:r>
        <w:r w:rsidRPr="00451561">
          <w:rPr>
            <w:rStyle w:val="Hipervnculo"/>
            <w:rFonts w:cs="Times New Roman"/>
            <w:noProof/>
            <w:szCs w:val="24"/>
          </w:rPr>
          <w:t>MEDIDAS DE CONTROL</w:t>
        </w:r>
        <w:r w:rsidRPr="00451561">
          <w:rPr>
            <w:rFonts w:cs="Times New Roman"/>
            <w:noProof/>
            <w:webHidden/>
            <w:szCs w:val="24"/>
          </w:rPr>
          <w:tab/>
        </w:r>
        <w:r w:rsidRPr="00451561">
          <w:rPr>
            <w:rFonts w:cs="Times New Roman"/>
            <w:noProof/>
            <w:webHidden/>
            <w:szCs w:val="24"/>
          </w:rPr>
          <w:fldChar w:fldCharType="begin"/>
        </w:r>
        <w:r w:rsidRPr="00451561">
          <w:rPr>
            <w:rFonts w:cs="Times New Roman"/>
            <w:noProof/>
            <w:webHidden/>
            <w:szCs w:val="24"/>
          </w:rPr>
          <w:instrText xml:space="preserve"> PAGEREF _Toc175171476 \h </w:instrText>
        </w:r>
        <w:r w:rsidRPr="00451561">
          <w:rPr>
            <w:rFonts w:cs="Times New Roman"/>
            <w:noProof/>
            <w:webHidden/>
            <w:szCs w:val="24"/>
          </w:rPr>
        </w:r>
        <w:r w:rsidRPr="00451561">
          <w:rPr>
            <w:rFonts w:cs="Times New Roman"/>
            <w:noProof/>
            <w:webHidden/>
            <w:szCs w:val="24"/>
          </w:rPr>
          <w:fldChar w:fldCharType="separate"/>
        </w:r>
        <w:r w:rsidRPr="00451561">
          <w:rPr>
            <w:rFonts w:cs="Times New Roman"/>
            <w:noProof/>
            <w:webHidden/>
            <w:szCs w:val="24"/>
          </w:rPr>
          <w:t>127</w:t>
        </w:r>
        <w:r w:rsidRPr="00451561">
          <w:rPr>
            <w:rFonts w:cs="Times New Roman"/>
            <w:noProof/>
            <w:webHidden/>
            <w:szCs w:val="24"/>
          </w:rPr>
          <w:fldChar w:fldCharType="end"/>
        </w:r>
      </w:hyperlink>
    </w:p>
    <w:p w14:paraId="3ADCABBE" w14:textId="13E7847A" w:rsidR="00451561" w:rsidRPr="00451561" w:rsidRDefault="00451561" w:rsidP="00451561">
      <w:pPr>
        <w:pStyle w:val="TDC2"/>
        <w:tabs>
          <w:tab w:val="right" w:leader="dot" w:pos="9350"/>
        </w:tabs>
        <w:jc w:val="both"/>
        <w:rPr>
          <w:rFonts w:eastAsiaTheme="minorEastAsia" w:cs="Times New Roman"/>
          <w:noProof/>
          <w:kern w:val="2"/>
          <w:szCs w:val="24"/>
          <w:lang w:eastAsia="es-HN"/>
          <w14:ligatures w14:val="standardContextual"/>
        </w:rPr>
      </w:pPr>
      <w:hyperlink w:anchor="_Toc175171477" w:history="1">
        <w:r w:rsidRPr="00451561">
          <w:rPr>
            <w:rStyle w:val="Hipervnculo"/>
            <w:rFonts w:cs="Times New Roman"/>
            <w:noProof/>
            <w:szCs w:val="24"/>
          </w:rPr>
          <w:t>6.6. CRONOGRAMA DE IMPLEMENTACIÓN Y PRESUPUESTO</w:t>
        </w:r>
        <w:r w:rsidRPr="00451561">
          <w:rPr>
            <w:rFonts w:cs="Times New Roman"/>
            <w:noProof/>
            <w:webHidden/>
            <w:szCs w:val="24"/>
          </w:rPr>
          <w:tab/>
        </w:r>
        <w:r w:rsidRPr="00451561">
          <w:rPr>
            <w:rFonts w:cs="Times New Roman"/>
            <w:noProof/>
            <w:webHidden/>
            <w:szCs w:val="24"/>
          </w:rPr>
          <w:fldChar w:fldCharType="begin"/>
        </w:r>
        <w:r w:rsidRPr="00451561">
          <w:rPr>
            <w:rFonts w:cs="Times New Roman"/>
            <w:noProof/>
            <w:webHidden/>
            <w:szCs w:val="24"/>
          </w:rPr>
          <w:instrText xml:space="preserve"> PAGEREF _Toc175171477 \h </w:instrText>
        </w:r>
        <w:r w:rsidRPr="00451561">
          <w:rPr>
            <w:rFonts w:cs="Times New Roman"/>
            <w:noProof/>
            <w:webHidden/>
            <w:szCs w:val="24"/>
          </w:rPr>
        </w:r>
        <w:r w:rsidRPr="00451561">
          <w:rPr>
            <w:rFonts w:cs="Times New Roman"/>
            <w:noProof/>
            <w:webHidden/>
            <w:szCs w:val="24"/>
          </w:rPr>
          <w:fldChar w:fldCharType="separate"/>
        </w:r>
        <w:r w:rsidRPr="00451561">
          <w:rPr>
            <w:rFonts w:cs="Times New Roman"/>
            <w:noProof/>
            <w:webHidden/>
            <w:szCs w:val="24"/>
          </w:rPr>
          <w:t>130</w:t>
        </w:r>
        <w:r w:rsidRPr="00451561">
          <w:rPr>
            <w:rFonts w:cs="Times New Roman"/>
            <w:noProof/>
            <w:webHidden/>
            <w:szCs w:val="24"/>
          </w:rPr>
          <w:fldChar w:fldCharType="end"/>
        </w:r>
      </w:hyperlink>
    </w:p>
    <w:p w14:paraId="3EB56A25" w14:textId="72890178" w:rsidR="00451561" w:rsidRPr="00451561" w:rsidRDefault="00451561" w:rsidP="00451561">
      <w:pPr>
        <w:pStyle w:val="TDC3"/>
        <w:tabs>
          <w:tab w:val="right" w:leader="dot" w:pos="9350"/>
        </w:tabs>
        <w:jc w:val="both"/>
        <w:rPr>
          <w:rFonts w:eastAsiaTheme="minorEastAsia" w:cs="Times New Roman"/>
          <w:noProof/>
          <w:kern w:val="2"/>
          <w:szCs w:val="24"/>
          <w:lang w:eastAsia="es-HN"/>
          <w14:ligatures w14:val="standardContextual"/>
        </w:rPr>
      </w:pPr>
      <w:hyperlink w:anchor="_Toc175171478" w:history="1">
        <w:r w:rsidRPr="00451561">
          <w:rPr>
            <w:rStyle w:val="Hipervnculo"/>
            <w:rFonts w:cs="Times New Roman"/>
            <w:noProof/>
            <w:szCs w:val="24"/>
          </w:rPr>
          <w:t>6.6.1. CRONOGRAMA DE IMPLEMENTACIÓN</w:t>
        </w:r>
        <w:r w:rsidRPr="00451561">
          <w:rPr>
            <w:rFonts w:cs="Times New Roman"/>
            <w:noProof/>
            <w:webHidden/>
            <w:szCs w:val="24"/>
          </w:rPr>
          <w:tab/>
        </w:r>
        <w:r w:rsidRPr="00451561">
          <w:rPr>
            <w:rFonts w:cs="Times New Roman"/>
            <w:noProof/>
            <w:webHidden/>
            <w:szCs w:val="24"/>
          </w:rPr>
          <w:fldChar w:fldCharType="begin"/>
        </w:r>
        <w:r w:rsidRPr="00451561">
          <w:rPr>
            <w:rFonts w:cs="Times New Roman"/>
            <w:noProof/>
            <w:webHidden/>
            <w:szCs w:val="24"/>
          </w:rPr>
          <w:instrText xml:space="preserve"> PAGEREF _Toc175171478 \h </w:instrText>
        </w:r>
        <w:r w:rsidRPr="00451561">
          <w:rPr>
            <w:rFonts w:cs="Times New Roman"/>
            <w:noProof/>
            <w:webHidden/>
            <w:szCs w:val="24"/>
          </w:rPr>
        </w:r>
        <w:r w:rsidRPr="00451561">
          <w:rPr>
            <w:rFonts w:cs="Times New Roman"/>
            <w:noProof/>
            <w:webHidden/>
            <w:szCs w:val="24"/>
          </w:rPr>
          <w:fldChar w:fldCharType="separate"/>
        </w:r>
        <w:r w:rsidRPr="00451561">
          <w:rPr>
            <w:rFonts w:cs="Times New Roman"/>
            <w:noProof/>
            <w:webHidden/>
            <w:szCs w:val="24"/>
          </w:rPr>
          <w:t>130</w:t>
        </w:r>
        <w:r w:rsidRPr="00451561">
          <w:rPr>
            <w:rFonts w:cs="Times New Roman"/>
            <w:noProof/>
            <w:webHidden/>
            <w:szCs w:val="24"/>
          </w:rPr>
          <w:fldChar w:fldCharType="end"/>
        </w:r>
      </w:hyperlink>
    </w:p>
    <w:p w14:paraId="50B5EA47" w14:textId="516BB2FA" w:rsidR="00451561" w:rsidRPr="00451561" w:rsidRDefault="00451561" w:rsidP="00451561">
      <w:pPr>
        <w:pStyle w:val="TDC3"/>
        <w:tabs>
          <w:tab w:val="right" w:leader="dot" w:pos="9350"/>
        </w:tabs>
        <w:jc w:val="both"/>
        <w:rPr>
          <w:rFonts w:eastAsiaTheme="minorEastAsia" w:cs="Times New Roman"/>
          <w:noProof/>
          <w:kern w:val="2"/>
          <w:szCs w:val="24"/>
          <w:lang w:eastAsia="es-HN"/>
          <w14:ligatures w14:val="standardContextual"/>
        </w:rPr>
      </w:pPr>
      <w:hyperlink w:anchor="_Toc175171479" w:history="1">
        <w:r w:rsidRPr="00451561">
          <w:rPr>
            <w:rStyle w:val="Hipervnculo"/>
            <w:rFonts w:cs="Times New Roman"/>
            <w:noProof/>
            <w:szCs w:val="24"/>
          </w:rPr>
          <w:t>6.6.2. PRESUPUESTO</w:t>
        </w:r>
        <w:r w:rsidRPr="00451561">
          <w:rPr>
            <w:rFonts w:cs="Times New Roman"/>
            <w:noProof/>
            <w:webHidden/>
            <w:szCs w:val="24"/>
          </w:rPr>
          <w:tab/>
        </w:r>
        <w:r w:rsidRPr="00451561">
          <w:rPr>
            <w:rFonts w:cs="Times New Roman"/>
            <w:noProof/>
            <w:webHidden/>
            <w:szCs w:val="24"/>
          </w:rPr>
          <w:fldChar w:fldCharType="begin"/>
        </w:r>
        <w:r w:rsidRPr="00451561">
          <w:rPr>
            <w:rFonts w:cs="Times New Roman"/>
            <w:noProof/>
            <w:webHidden/>
            <w:szCs w:val="24"/>
          </w:rPr>
          <w:instrText xml:space="preserve"> PAGEREF _Toc175171479 \h </w:instrText>
        </w:r>
        <w:r w:rsidRPr="00451561">
          <w:rPr>
            <w:rFonts w:cs="Times New Roman"/>
            <w:noProof/>
            <w:webHidden/>
            <w:szCs w:val="24"/>
          </w:rPr>
        </w:r>
        <w:r w:rsidRPr="00451561">
          <w:rPr>
            <w:rFonts w:cs="Times New Roman"/>
            <w:noProof/>
            <w:webHidden/>
            <w:szCs w:val="24"/>
          </w:rPr>
          <w:fldChar w:fldCharType="separate"/>
        </w:r>
        <w:r w:rsidRPr="00451561">
          <w:rPr>
            <w:rFonts w:cs="Times New Roman"/>
            <w:noProof/>
            <w:webHidden/>
            <w:szCs w:val="24"/>
          </w:rPr>
          <w:t>131</w:t>
        </w:r>
        <w:r w:rsidRPr="00451561">
          <w:rPr>
            <w:rFonts w:cs="Times New Roman"/>
            <w:noProof/>
            <w:webHidden/>
            <w:szCs w:val="24"/>
          </w:rPr>
          <w:fldChar w:fldCharType="end"/>
        </w:r>
      </w:hyperlink>
    </w:p>
    <w:p w14:paraId="6DE981A7" w14:textId="31AEC5D7" w:rsidR="00451561" w:rsidRPr="00451561" w:rsidRDefault="00451561" w:rsidP="00451561">
      <w:pPr>
        <w:pStyle w:val="TDC2"/>
        <w:tabs>
          <w:tab w:val="right" w:leader="dot" w:pos="9350"/>
        </w:tabs>
        <w:jc w:val="both"/>
        <w:rPr>
          <w:rFonts w:eastAsiaTheme="minorEastAsia" w:cs="Times New Roman"/>
          <w:noProof/>
          <w:kern w:val="2"/>
          <w:szCs w:val="24"/>
          <w:lang w:eastAsia="es-HN"/>
          <w14:ligatures w14:val="standardContextual"/>
        </w:rPr>
      </w:pPr>
      <w:hyperlink w:anchor="_Toc175171480" w:history="1">
        <w:r w:rsidRPr="00451561">
          <w:rPr>
            <w:rStyle w:val="Hipervnculo"/>
            <w:rFonts w:cs="Times New Roman"/>
            <w:noProof/>
            <w:szCs w:val="24"/>
          </w:rPr>
          <w:t>6.7. CONCORDANCIA DE LOS SEGMENTOS DE LA TESIS CON LA PROPUESTA</w:t>
        </w:r>
        <w:r w:rsidRPr="00451561">
          <w:rPr>
            <w:rFonts w:cs="Times New Roman"/>
            <w:noProof/>
            <w:webHidden/>
            <w:szCs w:val="24"/>
          </w:rPr>
          <w:tab/>
        </w:r>
        <w:r w:rsidRPr="00451561">
          <w:rPr>
            <w:rFonts w:cs="Times New Roman"/>
            <w:noProof/>
            <w:webHidden/>
            <w:szCs w:val="24"/>
          </w:rPr>
          <w:fldChar w:fldCharType="begin"/>
        </w:r>
        <w:r w:rsidRPr="00451561">
          <w:rPr>
            <w:rFonts w:cs="Times New Roman"/>
            <w:noProof/>
            <w:webHidden/>
            <w:szCs w:val="24"/>
          </w:rPr>
          <w:instrText xml:space="preserve"> PAGEREF _Toc175171480 \h </w:instrText>
        </w:r>
        <w:r w:rsidRPr="00451561">
          <w:rPr>
            <w:rFonts w:cs="Times New Roman"/>
            <w:noProof/>
            <w:webHidden/>
            <w:szCs w:val="24"/>
          </w:rPr>
        </w:r>
        <w:r w:rsidRPr="00451561">
          <w:rPr>
            <w:rFonts w:cs="Times New Roman"/>
            <w:noProof/>
            <w:webHidden/>
            <w:szCs w:val="24"/>
          </w:rPr>
          <w:fldChar w:fldCharType="separate"/>
        </w:r>
        <w:r w:rsidRPr="00451561">
          <w:rPr>
            <w:rFonts w:cs="Times New Roman"/>
            <w:noProof/>
            <w:webHidden/>
            <w:szCs w:val="24"/>
          </w:rPr>
          <w:t>131</w:t>
        </w:r>
        <w:r w:rsidRPr="00451561">
          <w:rPr>
            <w:rFonts w:cs="Times New Roman"/>
            <w:noProof/>
            <w:webHidden/>
            <w:szCs w:val="24"/>
          </w:rPr>
          <w:fldChar w:fldCharType="end"/>
        </w:r>
      </w:hyperlink>
    </w:p>
    <w:p w14:paraId="321FD808" w14:textId="7911D43E" w:rsidR="00451561" w:rsidRPr="00451561" w:rsidRDefault="00451561" w:rsidP="00451561">
      <w:pPr>
        <w:pStyle w:val="TDC1"/>
        <w:tabs>
          <w:tab w:val="right" w:leader="dot" w:pos="9350"/>
        </w:tabs>
        <w:jc w:val="both"/>
        <w:rPr>
          <w:rFonts w:eastAsiaTheme="minorEastAsia" w:cs="Times New Roman"/>
          <w:noProof/>
          <w:kern w:val="2"/>
          <w:szCs w:val="24"/>
          <w:lang w:eastAsia="es-HN"/>
          <w14:ligatures w14:val="standardContextual"/>
        </w:rPr>
      </w:pPr>
      <w:hyperlink w:anchor="_Toc175171481" w:history="1">
        <w:r w:rsidRPr="00451561">
          <w:rPr>
            <w:rStyle w:val="Hipervnculo"/>
            <w:rFonts w:cs="Times New Roman"/>
            <w:noProof/>
            <w:szCs w:val="24"/>
          </w:rPr>
          <w:t>REFERENCIAS BIBLIOGRÁFICAS</w:t>
        </w:r>
        <w:r w:rsidRPr="00451561">
          <w:rPr>
            <w:rFonts w:cs="Times New Roman"/>
            <w:noProof/>
            <w:webHidden/>
            <w:szCs w:val="24"/>
          </w:rPr>
          <w:tab/>
        </w:r>
        <w:r w:rsidRPr="00451561">
          <w:rPr>
            <w:rFonts w:cs="Times New Roman"/>
            <w:noProof/>
            <w:webHidden/>
            <w:szCs w:val="24"/>
          </w:rPr>
          <w:fldChar w:fldCharType="begin"/>
        </w:r>
        <w:r w:rsidRPr="00451561">
          <w:rPr>
            <w:rFonts w:cs="Times New Roman"/>
            <w:noProof/>
            <w:webHidden/>
            <w:szCs w:val="24"/>
          </w:rPr>
          <w:instrText xml:space="preserve"> PAGEREF _Toc175171481 \h </w:instrText>
        </w:r>
        <w:r w:rsidRPr="00451561">
          <w:rPr>
            <w:rFonts w:cs="Times New Roman"/>
            <w:noProof/>
            <w:webHidden/>
            <w:szCs w:val="24"/>
          </w:rPr>
        </w:r>
        <w:r w:rsidRPr="00451561">
          <w:rPr>
            <w:rFonts w:cs="Times New Roman"/>
            <w:noProof/>
            <w:webHidden/>
            <w:szCs w:val="24"/>
          </w:rPr>
          <w:fldChar w:fldCharType="separate"/>
        </w:r>
        <w:r w:rsidRPr="00451561">
          <w:rPr>
            <w:rFonts w:cs="Times New Roman"/>
            <w:noProof/>
            <w:webHidden/>
            <w:szCs w:val="24"/>
          </w:rPr>
          <w:t>138</w:t>
        </w:r>
        <w:r w:rsidRPr="00451561">
          <w:rPr>
            <w:rFonts w:cs="Times New Roman"/>
            <w:noProof/>
            <w:webHidden/>
            <w:szCs w:val="24"/>
          </w:rPr>
          <w:fldChar w:fldCharType="end"/>
        </w:r>
      </w:hyperlink>
    </w:p>
    <w:p w14:paraId="0AAF8832" w14:textId="4E720C86" w:rsidR="00451561" w:rsidRPr="00451561" w:rsidRDefault="00451561" w:rsidP="00451561">
      <w:pPr>
        <w:pStyle w:val="TDC1"/>
        <w:tabs>
          <w:tab w:val="right" w:leader="dot" w:pos="9350"/>
        </w:tabs>
        <w:jc w:val="both"/>
        <w:rPr>
          <w:rFonts w:eastAsiaTheme="minorEastAsia" w:cs="Times New Roman"/>
          <w:noProof/>
          <w:kern w:val="2"/>
          <w:szCs w:val="24"/>
          <w:lang w:eastAsia="es-HN"/>
          <w14:ligatures w14:val="standardContextual"/>
        </w:rPr>
      </w:pPr>
      <w:hyperlink w:anchor="_Toc175171482" w:history="1">
        <w:r w:rsidRPr="00451561">
          <w:rPr>
            <w:rStyle w:val="Hipervnculo"/>
            <w:rFonts w:cs="Times New Roman"/>
            <w:noProof/>
            <w:szCs w:val="24"/>
          </w:rPr>
          <w:t>ANEXOS</w:t>
        </w:r>
        <w:r w:rsidRPr="00451561">
          <w:rPr>
            <w:rFonts w:cs="Times New Roman"/>
            <w:noProof/>
            <w:webHidden/>
            <w:szCs w:val="24"/>
          </w:rPr>
          <w:tab/>
        </w:r>
        <w:r w:rsidRPr="00451561">
          <w:rPr>
            <w:rFonts w:cs="Times New Roman"/>
            <w:noProof/>
            <w:webHidden/>
            <w:szCs w:val="24"/>
          </w:rPr>
          <w:fldChar w:fldCharType="begin"/>
        </w:r>
        <w:r w:rsidRPr="00451561">
          <w:rPr>
            <w:rFonts w:cs="Times New Roman"/>
            <w:noProof/>
            <w:webHidden/>
            <w:szCs w:val="24"/>
          </w:rPr>
          <w:instrText xml:space="preserve"> PAGEREF _Toc175171482 \h </w:instrText>
        </w:r>
        <w:r w:rsidRPr="00451561">
          <w:rPr>
            <w:rFonts w:cs="Times New Roman"/>
            <w:noProof/>
            <w:webHidden/>
            <w:szCs w:val="24"/>
          </w:rPr>
        </w:r>
        <w:r w:rsidRPr="00451561">
          <w:rPr>
            <w:rFonts w:cs="Times New Roman"/>
            <w:noProof/>
            <w:webHidden/>
            <w:szCs w:val="24"/>
          </w:rPr>
          <w:fldChar w:fldCharType="separate"/>
        </w:r>
        <w:r w:rsidRPr="00451561">
          <w:rPr>
            <w:rFonts w:cs="Times New Roman"/>
            <w:noProof/>
            <w:webHidden/>
            <w:szCs w:val="24"/>
          </w:rPr>
          <w:t>142</w:t>
        </w:r>
        <w:r w:rsidRPr="00451561">
          <w:rPr>
            <w:rFonts w:cs="Times New Roman"/>
            <w:noProof/>
            <w:webHidden/>
            <w:szCs w:val="24"/>
          </w:rPr>
          <w:fldChar w:fldCharType="end"/>
        </w:r>
      </w:hyperlink>
    </w:p>
    <w:p w14:paraId="0B089F1D" w14:textId="61433004" w:rsidR="00451561" w:rsidRPr="00451561" w:rsidRDefault="00451561" w:rsidP="00451561">
      <w:pPr>
        <w:pStyle w:val="TDC2"/>
        <w:tabs>
          <w:tab w:val="right" w:leader="dot" w:pos="9350"/>
        </w:tabs>
        <w:jc w:val="both"/>
        <w:rPr>
          <w:rFonts w:eastAsiaTheme="minorEastAsia" w:cs="Times New Roman"/>
          <w:noProof/>
          <w:kern w:val="2"/>
          <w:szCs w:val="24"/>
          <w:lang w:eastAsia="es-HN"/>
          <w14:ligatures w14:val="standardContextual"/>
        </w:rPr>
      </w:pPr>
      <w:hyperlink w:anchor="_Toc175171483" w:history="1">
        <w:r w:rsidRPr="00451561">
          <w:rPr>
            <w:rStyle w:val="Hipervnculo"/>
            <w:rFonts w:cs="Times New Roman"/>
            <w:noProof/>
            <w:szCs w:val="24"/>
            <w:lang w:val="es-MX"/>
          </w:rPr>
          <w:t>ANEXO 1 VALIDACIÓN DE INSTRUMENTO DE INVESTIGACIÓN</w:t>
        </w:r>
        <w:r w:rsidRPr="00451561">
          <w:rPr>
            <w:rFonts w:cs="Times New Roman"/>
            <w:noProof/>
            <w:webHidden/>
            <w:szCs w:val="24"/>
          </w:rPr>
          <w:tab/>
        </w:r>
        <w:r w:rsidRPr="00451561">
          <w:rPr>
            <w:rFonts w:cs="Times New Roman"/>
            <w:noProof/>
            <w:webHidden/>
            <w:szCs w:val="24"/>
          </w:rPr>
          <w:fldChar w:fldCharType="begin"/>
        </w:r>
        <w:r w:rsidRPr="00451561">
          <w:rPr>
            <w:rFonts w:cs="Times New Roman"/>
            <w:noProof/>
            <w:webHidden/>
            <w:szCs w:val="24"/>
          </w:rPr>
          <w:instrText xml:space="preserve"> PAGEREF _Toc175171483 \h </w:instrText>
        </w:r>
        <w:r w:rsidRPr="00451561">
          <w:rPr>
            <w:rFonts w:cs="Times New Roman"/>
            <w:noProof/>
            <w:webHidden/>
            <w:szCs w:val="24"/>
          </w:rPr>
        </w:r>
        <w:r w:rsidRPr="00451561">
          <w:rPr>
            <w:rFonts w:cs="Times New Roman"/>
            <w:noProof/>
            <w:webHidden/>
            <w:szCs w:val="24"/>
          </w:rPr>
          <w:fldChar w:fldCharType="separate"/>
        </w:r>
        <w:r w:rsidRPr="00451561">
          <w:rPr>
            <w:rFonts w:cs="Times New Roman"/>
            <w:noProof/>
            <w:webHidden/>
            <w:szCs w:val="24"/>
          </w:rPr>
          <w:t>142</w:t>
        </w:r>
        <w:r w:rsidRPr="00451561">
          <w:rPr>
            <w:rFonts w:cs="Times New Roman"/>
            <w:noProof/>
            <w:webHidden/>
            <w:szCs w:val="24"/>
          </w:rPr>
          <w:fldChar w:fldCharType="end"/>
        </w:r>
      </w:hyperlink>
    </w:p>
    <w:p w14:paraId="64CCD0CF" w14:textId="7EB6BB50" w:rsidR="00451561" w:rsidRPr="00451561" w:rsidRDefault="00451561" w:rsidP="00451561">
      <w:pPr>
        <w:pStyle w:val="TDC2"/>
        <w:tabs>
          <w:tab w:val="right" w:leader="dot" w:pos="9350"/>
        </w:tabs>
        <w:jc w:val="both"/>
        <w:rPr>
          <w:rFonts w:eastAsiaTheme="minorEastAsia" w:cs="Times New Roman"/>
          <w:noProof/>
          <w:kern w:val="2"/>
          <w:szCs w:val="24"/>
          <w:lang w:eastAsia="es-HN"/>
          <w14:ligatures w14:val="standardContextual"/>
        </w:rPr>
      </w:pPr>
      <w:hyperlink w:anchor="_Toc175171484" w:history="1">
        <w:r w:rsidRPr="00451561">
          <w:rPr>
            <w:rStyle w:val="Hipervnculo"/>
            <w:rFonts w:cs="Times New Roman"/>
            <w:noProof/>
            <w:szCs w:val="24"/>
            <w:lang w:val="es-MX"/>
          </w:rPr>
          <w:t>ANEXO 2. VALIDACIÓN DE INSTRUMENTO DE INVESTIGACIÓN</w:t>
        </w:r>
        <w:r w:rsidRPr="00451561">
          <w:rPr>
            <w:rFonts w:cs="Times New Roman"/>
            <w:noProof/>
            <w:webHidden/>
            <w:szCs w:val="24"/>
          </w:rPr>
          <w:tab/>
        </w:r>
        <w:r w:rsidRPr="00451561">
          <w:rPr>
            <w:rFonts w:cs="Times New Roman"/>
            <w:noProof/>
            <w:webHidden/>
            <w:szCs w:val="24"/>
          </w:rPr>
          <w:fldChar w:fldCharType="begin"/>
        </w:r>
        <w:r w:rsidRPr="00451561">
          <w:rPr>
            <w:rFonts w:cs="Times New Roman"/>
            <w:noProof/>
            <w:webHidden/>
            <w:szCs w:val="24"/>
          </w:rPr>
          <w:instrText xml:space="preserve"> PAGEREF _Toc175171484 \h </w:instrText>
        </w:r>
        <w:r w:rsidRPr="00451561">
          <w:rPr>
            <w:rFonts w:cs="Times New Roman"/>
            <w:noProof/>
            <w:webHidden/>
            <w:szCs w:val="24"/>
          </w:rPr>
        </w:r>
        <w:r w:rsidRPr="00451561">
          <w:rPr>
            <w:rFonts w:cs="Times New Roman"/>
            <w:noProof/>
            <w:webHidden/>
            <w:szCs w:val="24"/>
          </w:rPr>
          <w:fldChar w:fldCharType="separate"/>
        </w:r>
        <w:r w:rsidRPr="00451561">
          <w:rPr>
            <w:rFonts w:cs="Times New Roman"/>
            <w:noProof/>
            <w:webHidden/>
            <w:szCs w:val="24"/>
          </w:rPr>
          <w:t>143</w:t>
        </w:r>
        <w:r w:rsidRPr="00451561">
          <w:rPr>
            <w:rFonts w:cs="Times New Roman"/>
            <w:noProof/>
            <w:webHidden/>
            <w:szCs w:val="24"/>
          </w:rPr>
          <w:fldChar w:fldCharType="end"/>
        </w:r>
      </w:hyperlink>
    </w:p>
    <w:p w14:paraId="207374A9" w14:textId="1ABA34D1" w:rsidR="00451561" w:rsidRPr="00451561" w:rsidRDefault="00451561" w:rsidP="00451561">
      <w:pPr>
        <w:pStyle w:val="TDC2"/>
        <w:tabs>
          <w:tab w:val="right" w:leader="dot" w:pos="9350"/>
        </w:tabs>
        <w:jc w:val="both"/>
        <w:rPr>
          <w:rFonts w:eastAsiaTheme="minorEastAsia" w:cs="Times New Roman"/>
          <w:noProof/>
          <w:kern w:val="2"/>
          <w:szCs w:val="24"/>
          <w:lang w:eastAsia="es-HN"/>
          <w14:ligatures w14:val="standardContextual"/>
        </w:rPr>
      </w:pPr>
      <w:hyperlink w:anchor="_Toc175171485" w:history="1">
        <w:r w:rsidRPr="00451561">
          <w:rPr>
            <w:rStyle w:val="Hipervnculo"/>
            <w:rFonts w:cs="Times New Roman"/>
            <w:noProof/>
            <w:szCs w:val="24"/>
            <w:lang w:val="es-MX"/>
          </w:rPr>
          <w:t>ANEXO 3. ESTADO DE RESULTADOS DE MICROFINANCIERA “XYZ”</w:t>
        </w:r>
        <w:r w:rsidRPr="00451561">
          <w:rPr>
            <w:rFonts w:cs="Times New Roman"/>
            <w:noProof/>
            <w:webHidden/>
            <w:szCs w:val="24"/>
          </w:rPr>
          <w:tab/>
        </w:r>
        <w:r w:rsidRPr="00451561">
          <w:rPr>
            <w:rFonts w:cs="Times New Roman"/>
            <w:noProof/>
            <w:webHidden/>
            <w:szCs w:val="24"/>
          </w:rPr>
          <w:fldChar w:fldCharType="begin"/>
        </w:r>
        <w:r w:rsidRPr="00451561">
          <w:rPr>
            <w:rFonts w:cs="Times New Roman"/>
            <w:noProof/>
            <w:webHidden/>
            <w:szCs w:val="24"/>
          </w:rPr>
          <w:instrText xml:space="preserve"> PAGEREF _Toc175171485 \h </w:instrText>
        </w:r>
        <w:r w:rsidRPr="00451561">
          <w:rPr>
            <w:rFonts w:cs="Times New Roman"/>
            <w:noProof/>
            <w:webHidden/>
            <w:szCs w:val="24"/>
          </w:rPr>
        </w:r>
        <w:r w:rsidRPr="00451561">
          <w:rPr>
            <w:rFonts w:cs="Times New Roman"/>
            <w:noProof/>
            <w:webHidden/>
            <w:szCs w:val="24"/>
          </w:rPr>
          <w:fldChar w:fldCharType="separate"/>
        </w:r>
        <w:r w:rsidRPr="00451561">
          <w:rPr>
            <w:rFonts w:cs="Times New Roman"/>
            <w:noProof/>
            <w:webHidden/>
            <w:szCs w:val="24"/>
          </w:rPr>
          <w:t>144</w:t>
        </w:r>
        <w:r w:rsidRPr="00451561">
          <w:rPr>
            <w:rFonts w:cs="Times New Roman"/>
            <w:noProof/>
            <w:webHidden/>
            <w:szCs w:val="24"/>
          </w:rPr>
          <w:fldChar w:fldCharType="end"/>
        </w:r>
      </w:hyperlink>
    </w:p>
    <w:p w14:paraId="084F3A9C" w14:textId="39A5B228" w:rsidR="00451561" w:rsidRPr="00451561" w:rsidRDefault="00451561" w:rsidP="00451561">
      <w:pPr>
        <w:pStyle w:val="TDC2"/>
        <w:tabs>
          <w:tab w:val="right" w:leader="dot" w:pos="9350"/>
        </w:tabs>
        <w:jc w:val="both"/>
        <w:rPr>
          <w:rFonts w:eastAsiaTheme="minorEastAsia" w:cs="Times New Roman"/>
          <w:noProof/>
          <w:kern w:val="2"/>
          <w:szCs w:val="24"/>
          <w:lang w:eastAsia="es-HN"/>
          <w14:ligatures w14:val="standardContextual"/>
        </w:rPr>
      </w:pPr>
      <w:hyperlink w:anchor="_Toc175171486" w:history="1">
        <w:r w:rsidRPr="00451561">
          <w:rPr>
            <w:rStyle w:val="Hipervnculo"/>
            <w:rFonts w:cs="Times New Roman"/>
            <w:noProof/>
            <w:szCs w:val="24"/>
            <w:lang w:val="es-MX"/>
          </w:rPr>
          <w:t>ANEXO 4. BALANCE GENERAL DE MICROFINANCIERA “XYZ”</w:t>
        </w:r>
        <w:r w:rsidRPr="00451561">
          <w:rPr>
            <w:rFonts w:cs="Times New Roman"/>
            <w:noProof/>
            <w:webHidden/>
            <w:szCs w:val="24"/>
          </w:rPr>
          <w:tab/>
        </w:r>
        <w:r w:rsidRPr="00451561">
          <w:rPr>
            <w:rFonts w:cs="Times New Roman"/>
            <w:noProof/>
            <w:webHidden/>
            <w:szCs w:val="24"/>
          </w:rPr>
          <w:fldChar w:fldCharType="begin"/>
        </w:r>
        <w:r w:rsidRPr="00451561">
          <w:rPr>
            <w:rFonts w:cs="Times New Roman"/>
            <w:noProof/>
            <w:webHidden/>
            <w:szCs w:val="24"/>
          </w:rPr>
          <w:instrText xml:space="preserve"> PAGEREF _Toc175171486 \h </w:instrText>
        </w:r>
        <w:r w:rsidRPr="00451561">
          <w:rPr>
            <w:rFonts w:cs="Times New Roman"/>
            <w:noProof/>
            <w:webHidden/>
            <w:szCs w:val="24"/>
          </w:rPr>
        </w:r>
        <w:r w:rsidRPr="00451561">
          <w:rPr>
            <w:rFonts w:cs="Times New Roman"/>
            <w:noProof/>
            <w:webHidden/>
            <w:szCs w:val="24"/>
          </w:rPr>
          <w:fldChar w:fldCharType="separate"/>
        </w:r>
        <w:r w:rsidRPr="00451561">
          <w:rPr>
            <w:rFonts w:cs="Times New Roman"/>
            <w:noProof/>
            <w:webHidden/>
            <w:szCs w:val="24"/>
          </w:rPr>
          <w:t>145</w:t>
        </w:r>
        <w:r w:rsidRPr="00451561">
          <w:rPr>
            <w:rFonts w:cs="Times New Roman"/>
            <w:noProof/>
            <w:webHidden/>
            <w:szCs w:val="24"/>
          </w:rPr>
          <w:fldChar w:fldCharType="end"/>
        </w:r>
      </w:hyperlink>
    </w:p>
    <w:p w14:paraId="62882386" w14:textId="10DD6172" w:rsidR="00451561" w:rsidRPr="00451561" w:rsidRDefault="00451561" w:rsidP="00451561">
      <w:pPr>
        <w:pStyle w:val="TDC2"/>
        <w:tabs>
          <w:tab w:val="right" w:leader="dot" w:pos="9350"/>
        </w:tabs>
        <w:jc w:val="both"/>
        <w:rPr>
          <w:rFonts w:eastAsiaTheme="minorEastAsia" w:cs="Times New Roman"/>
          <w:noProof/>
          <w:kern w:val="2"/>
          <w:szCs w:val="24"/>
          <w:lang w:eastAsia="es-HN"/>
          <w14:ligatures w14:val="standardContextual"/>
        </w:rPr>
      </w:pPr>
      <w:hyperlink w:anchor="_Toc175171487" w:history="1">
        <w:r w:rsidRPr="00451561">
          <w:rPr>
            <w:rStyle w:val="Hipervnculo"/>
            <w:rFonts w:cs="Times New Roman"/>
            <w:noProof/>
            <w:szCs w:val="24"/>
            <w:lang w:val="es-MX"/>
          </w:rPr>
          <w:t>ANEXO 5. CARTA DE COMPROMISO PARA ASESORÍA TEMÁ</w:t>
        </w:r>
        <w:r w:rsidRPr="00451561">
          <w:rPr>
            <w:rStyle w:val="Hipervnculo"/>
            <w:rFonts w:cs="Times New Roman"/>
            <w:noProof/>
            <w:szCs w:val="24"/>
            <w:lang w:val="es-MX"/>
          </w:rPr>
          <w:t>T</w:t>
        </w:r>
        <w:r w:rsidRPr="00451561">
          <w:rPr>
            <w:rStyle w:val="Hipervnculo"/>
            <w:rFonts w:cs="Times New Roman"/>
            <w:noProof/>
            <w:szCs w:val="24"/>
            <w:lang w:val="es-MX"/>
          </w:rPr>
          <w:t>ICA</w:t>
        </w:r>
        <w:r w:rsidRPr="00451561">
          <w:rPr>
            <w:rFonts w:cs="Times New Roman"/>
            <w:noProof/>
            <w:webHidden/>
            <w:szCs w:val="24"/>
          </w:rPr>
          <w:tab/>
        </w:r>
        <w:r w:rsidRPr="00451561">
          <w:rPr>
            <w:rFonts w:cs="Times New Roman"/>
            <w:noProof/>
            <w:webHidden/>
            <w:szCs w:val="24"/>
          </w:rPr>
          <w:fldChar w:fldCharType="begin"/>
        </w:r>
        <w:r w:rsidRPr="00451561">
          <w:rPr>
            <w:rFonts w:cs="Times New Roman"/>
            <w:noProof/>
            <w:webHidden/>
            <w:szCs w:val="24"/>
          </w:rPr>
          <w:instrText xml:space="preserve"> PAGEREF _Toc175171487 \h </w:instrText>
        </w:r>
        <w:r w:rsidRPr="00451561">
          <w:rPr>
            <w:rFonts w:cs="Times New Roman"/>
            <w:noProof/>
            <w:webHidden/>
            <w:szCs w:val="24"/>
          </w:rPr>
        </w:r>
        <w:r w:rsidRPr="00451561">
          <w:rPr>
            <w:rFonts w:cs="Times New Roman"/>
            <w:noProof/>
            <w:webHidden/>
            <w:szCs w:val="24"/>
          </w:rPr>
          <w:fldChar w:fldCharType="separate"/>
        </w:r>
        <w:r w:rsidRPr="00451561">
          <w:rPr>
            <w:rFonts w:cs="Times New Roman"/>
            <w:noProof/>
            <w:webHidden/>
            <w:szCs w:val="24"/>
          </w:rPr>
          <w:t>146</w:t>
        </w:r>
        <w:r w:rsidRPr="00451561">
          <w:rPr>
            <w:rFonts w:cs="Times New Roman"/>
            <w:noProof/>
            <w:webHidden/>
            <w:szCs w:val="24"/>
          </w:rPr>
          <w:fldChar w:fldCharType="end"/>
        </w:r>
      </w:hyperlink>
    </w:p>
    <w:p w14:paraId="3700773E" w14:textId="1BC7B601" w:rsidR="005F2D6D" w:rsidRPr="00D17A7A" w:rsidRDefault="00A300AA" w:rsidP="00451561">
      <w:pPr>
        <w:pStyle w:val="TextoPrincipal"/>
        <w:spacing w:line="360" w:lineRule="auto"/>
        <w:ind w:firstLine="0"/>
        <w:sectPr w:rsidR="005F2D6D" w:rsidRPr="00D17A7A" w:rsidSect="00342E08">
          <w:footerReference w:type="default" r:id="rId12"/>
          <w:pgSz w:w="12240" w:h="15840" w:code="1"/>
          <w:pgMar w:top="1440" w:right="1440" w:bottom="1440" w:left="1440" w:header="709" w:footer="709" w:gutter="0"/>
          <w:pgNumType w:fmt="lowerRoman"/>
          <w:cols w:space="708"/>
          <w:docGrid w:linePitch="360"/>
        </w:sectPr>
      </w:pPr>
      <w:r w:rsidRPr="00451561">
        <w:fldChar w:fldCharType="end"/>
      </w:r>
    </w:p>
    <w:p w14:paraId="162A8697" w14:textId="5AA3CC41" w:rsidR="00737E89" w:rsidRDefault="00210E95" w:rsidP="00FB7E7A">
      <w:pPr>
        <w:pStyle w:val="Ttulo1"/>
        <w:spacing w:before="0" w:after="120" w:line="360" w:lineRule="auto"/>
      </w:pPr>
      <w:bookmarkStart w:id="18" w:name="_Toc474331176"/>
      <w:bookmarkStart w:id="19" w:name="_Toc474331375"/>
      <w:bookmarkStart w:id="20" w:name="_Toc166705742"/>
      <w:bookmarkStart w:id="21" w:name="_Toc175171344"/>
      <w:r>
        <w:lastRenderedPageBreak/>
        <w:t xml:space="preserve">CAPÍTULO I. </w:t>
      </w:r>
      <w:r w:rsidR="00737E89">
        <w:t>PLANTEAMIENTO DE LA INVESTIGACIÓN</w:t>
      </w:r>
      <w:bookmarkEnd w:id="18"/>
      <w:bookmarkEnd w:id="19"/>
      <w:bookmarkEnd w:id="20"/>
      <w:bookmarkEnd w:id="21"/>
    </w:p>
    <w:p w14:paraId="670E1318" w14:textId="51C9D6DA" w:rsidR="00737E89" w:rsidRDefault="004D17BE" w:rsidP="00FB7E7A">
      <w:pPr>
        <w:pStyle w:val="Ttulo2"/>
        <w:numPr>
          <w:ilvl w:val="1"/>
          <w:numId w:val="2"/>
        </w:numPr>
        <w:spacing w:line="360" w:lineRule="auto"/>
        <w:ind w:left="357" w:hanging="357"/>
      </w:pPr>
      <w:bookmarkStart w:id="22" w:name="_Toc474331177"/>
      <w:bookmarkStart w:id="23" w:name="_Toc474331376"/>
      <w:bookmarkStart w:id="24" w:name="_Toc166705743"/>
      <w:bookmarkStart w:id="25" w:name="_Toc175171345"/>
      <w:r w:rsidRPr="00210E95">
        <w:t>INTRODUCCIÓN</w:t>
      </w:r>
      <w:bookmarkEnd w:id="22"/>
      <w:bookmarkEnd w:id="23"/>
      <w:bookmarkEnd w:id="24"/>
      <w:bookmarkEnd w:id="25"/>
    </w:p>
    <w:p w14:paraId="06486E3B" w14:textId="3C65B907" w:rsidR="00511048" w:rsidRDefault="00511048" w:rsidP="00511048">
      <w:pPr>
        <w:pStyle w:val="TextoPrincipal"/>
        <w:spacing w:line="360" w:lineRule="auto"/>
      </w:pPr>
      <w:r>
        <w:t>En el entorno económico actual, las microfinancieras desempeñan un papel crucial al facilitar el acceso al crédito para individuos y pequeñas empresas, especialmente en países en desarrollo como Honduras. Sin embargo, el riesgo de morosidad en la cartera de crédito es un desafío significativo que enfrentan estas instituciones financieras, ya que puede impactar su estabilidad financiera y su capacidad para continuar brindando servicios a quienes más lo necesitan.</w:t>
      </w:r>
    </w:p>
    <w:p w14:paraId="20CC62B6" w14:textId="31CCD1E4" w:rsidR="00511048" w:rsidRDefault="00511048" w:rsidP="00511048">
      <w:pPr>
        <w:pStyle w:val="TextoPrincipal"/>
        <w:spacing w:line="360" w:lineRule="auto"/>
      </w:pPr>
      <w:r>
        <w:t xml:space="preserve">La microfinanciera </w:t>
      </w:r>
      <w:r w:rsidR="00E5074B">
        <w:t>“XYZ”</w:t>
      </w:r>
      <w:r>
        <w:t xml:space="preserve"> en Honduras no es ajena a este desafío, ya que se enfrenta a la complejidad de gestionar una cartera de crédito diversificada en un contexto económico y social dinámico. En el período comprendido entre 2019 y 2023, varios factores internos y externos han influido en la morosidad de sus préstamos, lo que hace imperativo un análisis detallado para comprender mejor esta situación y proponer estrategias efectivas de gestión del riesgo crediticio.</w:t>
      </w:r>
    </w:p>
    <w:p w14:paraId="2E93D04D" w14:textId="2F80A360" w:rsidR="00511048" w:rsidRDefault="00511048" w:rsidP="004F0A2E">
      <w:pPr>
        <w:pStyle w:val="TextoPrincipal"/>
        <w:spacing w:line="360" w:lineRule="auto"/>
      </w:pPr>
      <w:r>
        <w:t xml:space="preserve">En esta investigación, se </w:t>
      </w:r>
      <w:r w:rsidR="00DF31D0">
        <w:t>realizó</w:t>
      </w:r>
      <w:r>
        <w:t xml:space="preserve"> un análisis exhaustivo de la morosidad en la cartera de crédito de la microfinanciera </w:t>
      </w:r>
      <w:r w:rsidR="00E5074B">
        <w:t>“XYZ”</w:t>
      </w:r>
      <w:r>
        <w:t xml:space="preserve"> en Honduras durante el período mencionado. Este análisis abord</w:t>
      </w:r>
      <w:r w:rsidR="00DF31D0">
        <w:t>ó</w:t>
      </w:r>
      <w:r>
        <w:t xml:space="preserve"> aspectos clave como las tendencias de morosidad a lo largo del tiempo, los factores que contribuyen a la morosidad, las políticas de gestión del riesgo crediticio implementadas por la microfinanciera y su efectividad, así como las recomendaciones para mejorar la gestión de la morosidad y fortalecer la posición financiera de la institución.</w:t>
      </w:r>
    </w:p>
    <w:p w14:paraId="77AADEFB" w14:textId="4D730764" w:rsidR="00511048" w:rsidRDefault="00511048" w:rsidP="00511048">
      <w:pPr>
        <w:pStyle w:val="TextoPrincipal"/>
        <w:spacing w:line="360" w:lineRule="auto"/>
      </w:pPr>
      <w:r>
        <w:t xml:space="preserve">El </w:t>
      </w:r>
      <w:r w:rsidR="004F0A2E">
        <w:t>motivo</w:t>
      </w:r>
      <w:r>
        <w:t xml:space="preserve"> principal de esta investigación es proporcionar una visión integral de la situación de morosidad en la cartera de crédito de la microfinanciera </w:t>
      </w:r>
      <w:r w:rsidR="00E5074B">
        <w:t>“XYZ”</w:t>
      </w:r>
      <w:r>
        <w:t xml:space="preserve"> en Honduras, identificando áreas de mejora y desarrollando estrategias efectivas para mitigar el riesgo crediticio. A través de este estudio, se contribu</w:t>
      </w:r>
      <w:r w:rsidR="00DF31D0">
        <w:t>ye</w:t>
      </w:r>
      <w:r>
        <w:t xml:space="preserve"> al conocimiento académico en el campo de las finanzas y </w:t>
      </w:r>
      <w:r w:rsidR="00FA171C">
        <w:t>se ofrecen</w:t>
      </w:r>
      <w:r>
        <w:t xml:space="preserve"> recomendaciones prácticas que puedan beneficiar a la microfinanciera y a su comunidad de clientes en el futuro.</w:t>
      </w:r>
    </w:p>
    <w:p w14:paraId="28DC9D0E" w14:textId="77777777" w:rsidR="004F0A2E" w:rsidRDefault="004F0A2E" w:rsidP="004F0A2E">
      <w:pPr>
        <w:pStyle w:val="TextoPrincipal"/>
        <w:spacing w:line="360" w:lineRule="auto"/>
        <w:ind w:firstLine="0"/>
      </w:pPr>
    </w:p>
    <w:p w14:paraId="3B189968" w14:textId="77777777" w:rsidR="004F0A2E" w:rsidRDefault="004F0A2E" w:rsidP="004F0A2E">
      <w:pPr>
        <w:pStyle w:val="TextoPrincipal"/>
        <w:spacing w:line="360" w:lineRule="auto"/>
        <w:ind w:firstLine="0"/>
      </w:pPr>
    </w:p>
    <w:p w14:paraId="24F452EB" w14:textId="77777777" w:rsidR="00D727C5" w:rsidRPr="00210E95" w:rsidRDefault="00D727C5" w:rsidP="00FB7E7A">
      <w:pPr>
        <w:pStyle w:val="TextoPrincipal"/>
        <w:spacing w:line="360" w:lineRule="auto"/>
      </w:pPr>
    </w:p>
    <w:p w14:paraId="090B3A92" w14:textId="369172FC" w:rsidR="00210E95" w:rsidRDefault="004D17BE" w:rsidP="00FB7E7A">
      <w:pPr>
        <w:pStyle w:val="Ttulo2"/>
        <w:numPr>
          <w:ilvl w:val="1"/>
          <w:numId w:val="2"/>
        </w:numPr>
        <w:spacing w:line="360" w:lineRule="auto"/>
        <w:ind w:left="357" w:hanging="357"/>
      </w:pPr>
      <w:bookmarkStart w:id="26" w:name="_Toc474331178"/>
      <w:bookmarkStart w:id="27" w:name="_Toc474331377"/>
      <w:bookmarkStart w:id="28" w:name="_Toc166705744"/>
      <w:bookmarkStart w:id="29" w:name="_Toc175171346"/>
      <w:r>
        <w:lastRenderedPageBreak/>
        <w:t>ANTECEDENTES DEL PROBLEMA</w:t>
      </w:r>
      <w:bookmarkEnd w:id="26"/>
      <w:bookmarkEnd w:id="27"/>
      <w:bookmarkEnd w:id="28"/>
      <w:bookmarkEnd w:id="29"/>
    </w:p>
    <w:p w14:paraId="31251B4B" w14:textId="1691D0A3" w:rsidR="00A95B9E" w:rsidRDefault="00A95B9E" w:rsidP="00A4092F">
      <w:pPr>
        <w:pStyle w:val="TextoPrincipal"/>
        <w:spacing w:line="360" w:lineRule="auto"/>
      </w:pPr>
      <w:r w:rsidRPr="00A4092F">
        <w:t xml:space="preserve">La morosidad en la cartera crediticia es un problema temible por las instituciones que se dedican a otorgar créditos, debido a que mantener y/o alcanzar un porcentaje de mora muy elevado representa un </w:t>
      </w:r>
      <w:r w:rsidR="00D219D4" w:rsidRPr="00A4092F">
        <w:t xml:space="preserve">alto </w:t>
      </w:r>
      <w:r w:rsidRPr="00A4092F">
        <w:t>riesgo</w:t>
      </w:r>
      <w:r w:rsidR="00D219D4" w:rsidRPr="00A4092F">
        <w:t xml:space="preserve"> </w:t>
      </w:r>
      <w:r w:rsidRPr="00A4092F">
        <w:t>para la</w:t>
      </w:r>
      <w:r w:rsidR="001C7852" w:rsidRPr="00A4092F">
        <w:t>s</w:t>
      </w:r>
      <w:r w:rsidRPr="00A4092F">
        <w:t xml:space="preserve"> misma</w:t>
      </w:r>
      <w:r w:rsidR="001C7852" w:rsidRPr="00A4092F">
        <w:t>s</w:t>
      </w:r>
      <w:r w:rsidRPr="00A4092F">
        <w:t xml:space="preserve">, </w:t>
      </w:r>
      <w:r w:rsidR="001C7852" w:rsidRPr="00A4092F">
        <w:t>esto</w:t>
      </w:r>
      <w:r w:rsidRPr="00A4092F">
        <w:t xml:space="preserve"> puede provocar diversas dificultades financieras e incluso la intervención </w:t>
      </w:r>
      <w:r w:rsidR="001C7852" w:rsidRPr="00A4092F">
        <w:t xml:space="preserve">de los entes reguladores </w:t>
      </w:r>
      <w:r w:rsidRPr="00A4092F">
        <w:t xml:space="preserve">o </w:t>
      </w:r>
      <w:r w:rsidR="001C7852" w:rsidRPr="00A4092F">
        <w:t>entrar en la bancarrota</w:t>
      </w:r>
      <w:r w:rsidR="004A579E" w:rsidRPr="00A4092F">
        <w:t>.</w:t>
      </w:r>
    </w:p>
    <w:p w14:paraId="7931F89D" w14:textId="62B5C0E6" w:rsidR="00512638" w:rsidRPr="00A4092F" w:rsidRDefault="00512638" w:rsidP="00A4092F">
      <w:pPr>
        <w:pStyle w:val="TextoPrincipal"/>
        <w:spacing w:line="360" w:lineRule="auto"/>
      </w:pPr>
      <w:r w:rsidRPr="00512638">
        <w:t>La morosidad se describe como la condición en la cual tanto personas como entidades incumplen con las obligaciones de pago establecidas en la fecha acordada contractualmente. En el ámbito financiero, la morosidad con frecuencia se manifiesta como el retraso en saldar deudas, préstamos o facturas.</w:t>
      </w:r>
    </w:p>
    <w:p w14:paraId="5B36BA29" w14:textId="1DEB8CEB" w:rsidR="00606764" w:rsidRPr="005065C1" w:rsidRDefault="00006E81" w:rsidP="00A51115">
      <w:pPr>
        <w:pStyle w:val="TextoPrincipal"/>
        <w:spacing w:line="240" w:lineRule="auto"/>
        <w:ind w:left="720" w:firstLine="0"/>
        <w:rPr>
          <w:sz w:val="22"/>
          <w:szCs w:val="22"/>
        </w:rPr>
      </w:pPr>
      <w:r w:rsidRPr="005065C1">
        <w:rPr>
          <w:sz w:val="22"/>
          <w:szCs w:val="22"/>
        </w:rPr>
        <w:t xml:space="preserve">A finales de los años 60 y principios de los 70, surgieron las microfinanzas de manos de dos hombres en diferentes lugares del planeta. Por una parte, Muhammad Yunus, meritorio Premio Nobel de la Paz en 2006 por el logro de un sistema económico apropiado para las clases pobres, inició la actividad microfinanciera en Bangladesh, un país inmerso en la precariedad en la que viven la gran mayoría de sus habitantes, creando el </w:t>
      </w:r>
      <w:proofErr w:type="spellStart"/>
      <w:r w:rsidRPr="005065C1">
        <w:rPr>
          <w:sz w:val="22"/>
          <w:szCs w:val="22"/>
        </w:rPr>
        <w:t>Grameen</w:t>
      </w:r>
      <w:proofErr w:type="spellEnd"/>
      <w:r w:rsidRPr="005065C1">
        <w:rPr>
          <w:sz w:val="22"/>
          <w:szCs w:val="22"/>
        </w:rPr>
        <w:t xml:space="preserve"> Bank. De otra parte, un idealista estudiante de derecho llamado Joseph </w:t>
      </w:r>
      <w:proofErr w:type="spellStart"/>
      <w:r w:rsidRPr="005065C1">
        <w:rPr>
          <w:sz w:val="22"/>
          <w:szCs w:val="22"/>
        </w:rPr>
        <w:t>Blatchford</w:t>
      </w:r>
      <w:proofErr w:type="spellEnd"/>
      <w:r w:rsidRPr="005065C1">
        <w:rPr>
          <w:sz w:val="22"/>
          <w:szCs w:val="22"/>
        </w:rPr>
        <w:t xml:space="preserve"> fundó ACCION International con un número reducido de voluntarios. </w:t>
      </w:r>
      <w:proofErr w:type="spellStart"/>
      <w:r w:rsidRPr="005065C1">
        <w:rPr>
          <w:sz w:val="22"/>
          <w:szCs w:val="22"/>
        </w:rPr>
        <w:t>Blatchford</w:t>
      </w:r>
      <w:proofErr w:type="spellEnd"/>
      <w:r w:rsidRPr="005065C1">
        <w:rPr>
          <w:sz w:val="22"/>
          <w:szCs w:val="22"/>
        </w:rPr>
        <w:t xml:space="preserve"> comenzó una actividad de ayuda y respaldo a gente pobre de Venezuela, propagándose su empeño en Brasil, Perú, Colombia y Bolivia, poco después.</w:t>
      </w:r>
    </w:p>
    <w:p w14:paraId="330CD772" w14:textId="206F0F58" w:rsidR="00A86B6A" w:rsidRPr="005065C1" w:rsidRDefault="00006E81" w:rsidP="00A51115">
      <w:pPr>
        <w:pStyle w:val="TextoPrincipal"/>
        <w:spacing w:line="240" w:lineRule="auto"/>
        <w:ind w:left="720" w:firstLine="0"/>
        <w:rPr>
          <w:sz w:val="22"/>
          <w:szCs w:val="22"/>
        </w:rPr>
      </w:pPr>
      <w:r w:rsidRPr="005065C1">
        <w:rPr>
          <w:sz w:val="22"/>
          <w:szCs w:val="22"/>
        </w:rPr>
        <w:t>De este modo, el objetivo final de las microfinanzas es proporcionar servicios financieros sostenibles a personas de bajos ingresos, aunque no exclusivamente a personas que viven en la extrema precariedad. Consideramos importante la sostenibilidad financiera dado que la existencia de Instituciones de Microfinanzas (</w:t>
      </w:r>
      <w:proofErr w:type="spellStart"/>
      <w:r w:rsidRPr="005065C1">
        <w:rPr>
          <w:sz w:val="22"/>
          <w:szCs w:val="22"/>
        </w:rPr>
        <w:t>IMFs</w:t>
      </w:r>
      <w:proofErr w:type="spellEnd"/>
      <w:r w:rsidRPr="005065C1">
        <w:rPr>
          <w:sz w:val="22"/>
          <w:szCs w:val="22"/>
        </w:rPr>
        <w:t xml:space="preserve">) sostenibles implica la posibilidad de crecer y seguir ofertando operaciones financieras en el futuro. Téngase también en cuenta que, para muchos autores, el crédito no es el instrumento más importante para la reducción de la pobreza, al sostener que la falta de préstamos formales no es el problema más importante de estas personas. </w:t>
      </w:r>
      <w:r w:rsidRPr="005065C1">
        <w:rPr>
          <w:sz w:val="22"/>
          <w:szCs w:val="22"/>
        </w:rPr>
        <w:fldChar w:fldCharType="begin"/>
      </w:r>
      <w:r w:rsidR="000F6563">
        <w:rPr>
          <w:sz w:val="22"/>
          <w:szCs w:val="22"/>
        </w:rPr>
        <w:instrText xml:space="preserve"> ADDIN ZOTERO_ITEM CSL_CITATION {"citationID":"6GYiwH0c","properties":{"formattedCitation":"(Lara Rubio, 2010, p. 40)","plainCitation":"(Lara Rubio, 2010, p. 40)","noteIndex":0},"citationItems":[{"id":18,"uris":["http://zotero.org/users/13562074/items/D5PLVD47"],"itemData":{"id":18,"type":"document","abstract":"Tesis Doctoral","title":"La gestión del riesgo de crédito en las instituciones de microfinanzas","author":[{"family":"Lara Rubio","given":"Juan"}],"issued":{"date-parts":[["2010"]]}},"locator":"40","label":"page"}],"schema":"https://github.com/citation-style-language/schema/raw/master/csl-citation.json"} </w:instrText>
      </w:r>
      <w:r w:rsidRPr="005065C1">
        <w:rPr>
          <w:sz w:val="22"/>
          <w:szCs w:val="22"/>
        </w:rPr>
        <w:fldChar w:fldCharType="separate"/>
      </w:r>
      <w:r w:rsidRPr="005065C1">
        <w:rPr>
          <w:sz w:val="22"/>
          <w:szCs w:val="22"/>
        </w:rPr>
        <w:t>(Lara Rubio, 2010, p. 40)</w:t>
      </w:r>
      <w:r w:rsidRPr="005065C1">
        <w:rPr>
          <w:sz w:val="22"/>
          <w:szCs w:val="22"/>
        </w:rPr>
        <w:fldChar w:fldCharType="end"/>
      </w:r>
    </w:p>
    <w:p w14:paraId="79FCA303" w14:textId="77777777" w:rsidR="00A86B6A" w:rsidRDefault="00A86B6A" w:rsidP="00A86B6A">
      <w:pPr>
        <w:pStyle w:val="TextoPrincipal"/>
        <w:spacing w:line="360" w:lineRule="auto"/>
      </w:pPr>
      <w:r>
        <w:t>La gestión de crédito es un componente vital en la salud financiera de cualquier empresa. Consiste en el proceso de evaluar la solvencia crediticia de los clientes, establecer límites de crédito adecuados, monitorear el cumplimiento de los pagos y tomar medidas para minimizar los riesgos asociados con el otorgamiento de crédito.</w:t>
      </w:r>
    </w:p>
    <w:p w14:paraId="6EAF19E4" w14:textId="595EC62F" w:rsidR="00A86B6A" w:rsidRDefault="00A86B6A" w:rsidP="00A86B6A">
      <w:pPr>
        <w:pStyle w:val="TextoPrincipal"/>
        <w:spacing w:line="360" w:lineRule="auto"/>
      </w:pPr>
      <w:r>
        <w:t xml:space="preserve">Es </w:t>
      </w:r>
      <w:r w:rsidR="00601AFF">
        <w:t>importante</w:t>
      </w:r>
      <w:r>
        <w:t xml:space="preserve"> realizar una evaluación exhaustiva de la capacidad de crédito de cada cliente potencial. Esto implica analizar su historial crediticio, sus ingresos y su estabilidad financiera. Basándose en esta evaluación, se establecen límites de crédito que reflejen el nivel de riesgo que la empresa está dispuesta a asumir.</w:t>
      </w:r>
    </w:p>
    <w:p w14:paraId="34D2CECE" w14:textId="1C49B8DD" w:rsidR="00A67AE8" w:rsidRPr="00485398" w:rsidRDefault="000932CA" w:rsidP="00A51115">
      <w:pPr>
        <w:pStyle w:val="TextoPrincipal"/>
        <w:spacing w:line="240" w:lineRule="auto"/>
        <w:ind w:left="720" w:firstLine="0"/>
        <w:rPr>
          <w:sz w:val="22"/>
          <w:szCs w:val="22"/>
        </w:rPr>
      </w:pPr>
      <w:r w:rsidRPr="00485398">
        <w:rPr>
          <w:sz w:val="22"/>
          <w:szCs w:val="22"/>
        </w:rPr>
        <w:t xml:space="preserve">La minimización del riesgo -método tradicional de las instituciones financieras formales- se convirtió en la variable que dificultó el acceso al crédito a la población de más bajos ingresos. Ellos no estaban en la capacidad de aportar los documentos y garantías necesarias para cubrir sus préstamos. La necesidad inmediata del crédito frente al monto, tiempo y esfuerzo requerido para </w:t>
      </w:r>
      <w:r w:rsidRPr="00485398">
        <w:rPr>
          <w:sz w:val="22"/>
          <w:szCs w:val="22"/>
        </w:rPr>
        <w:lastRenderedPageBreak/>
        <w:t>completar el proceso de solicitud, lo hacían inapropiado.</w:t>
      </w:r>
      <w:r w:rsidR="005E281E" w:rsidRPr="00485398">
        <w:rPr>
          <w:sz w:val="22"/>
          <w:szCs w:val="22"/>
        </w:rPr>
        <w:t xml:space="preserve"> </w:t>
      </w:r>
      <w:r w:rsidR="005E281E" w:rsidRPr="00485398">
        <w:rPr>
          <w:sz w:val="22"/>
          <w:szCs w:val="22"/>
        </w:rPr>
        <w:fldChar w:fldCharType="begin"/>
      </w:r>
      <w:r w:rsidR="000F6563">
        <w:rPr>
          <w:sz w:val="22"/>
          <w:szCs w:val="22"/>
        </w:rPr>
        <w:instrText xml:space="preserve"> ADDIN ZOTERO_ITEM CSL_CITATION {"citationID":"jbBk6zUC","properties":{"formattedCitation":"(Pati\\uc0\\u241{}o, 2008, p. 43)","plainCitation":"(Patiño, 2008, p. 43)","noteIndex":0},"citationItems":[{"id":19,"uris":["http://zotero.org/users/13562074/items/RFZKMIVU"],"itemData":{"id":19,"type":"document","title":"Microcrédito, historia y experiencias exitosas de su implementación en América Latina.","author":[{"family":"Patiño","given":"Omar Alonzo"}],"issued":{"date-parts":[["2008",8]]}},"locator":"43","label":"page"}],"schema":"https://github.com/citation-style-language/schema/raw/master/csl-citation.json"} </w:instrText>
      </w:r>
      <w:r w:rsidR="005E281E" w:rsidRPr="00485398">
        <w:rPr>
          <w:sz w:val="22"/>
          <w:szCs w:val="22"/>
        </w:rPr>
        <w:fldChar w:fldCharType="separate"/>
      </w:r>
      <w:r w:rsidR="005E281E" w:rsidRPr="00485398">
        <w:rPr>
          <w:sz w:val="22"/>
          <w:szCs w:val="22"/>
        </w:rPr>
        <w:t>(Patiño, 2008, p. 43)</w:t>
      </w:r>
      <w:r w:rsidR="005E281E" w:rsidRPr="00485398">
        <w:rPr>
          <w:sz w:val="22"/>
          <w:szCs w:val="22"/>
        </w:rPr>
        <w:fldChar w:fldCharType="end"/>
      </w:r>
    </w:p>
    <w:p w14:paraId="20B55693" w14:textId="75C5389A" w:rsidR="00A67AE8" w:rsidRDefault="00A67AE8" w:rsidP="00A67AE8">
      <w:pPr>
        <w:pStyle w:val="TextoPrincipal"/>
        <w:spacing w:line="360" w:lineRule="auto"/>
      </w:pPr>
      <w:r w:rsidRPr="00A67AE8">
        <w:t>Las microfinanzas han emergido como un poderoso instrumento para combatir la pobreza y promover la inclusión financiera en todo el mundo, y su impacto es especialmente notable en países como Bolivia, Nicaragua y Guatemala. Estas naciones, caracterizadas por una alta proporción de población vulnerable y un acceso limitado a servicios financieros tradicionales, han encontrado en las microfinanzas una herramienta eficaz para empoderar a las comunidades de bajos ingresos y estimular el desarrollo económico a nivel local.</w:t>
      </w:r>
    </w:p>
    <w:p w14:paraId="0F544882" w14:textId="185C5439" w:rsidR="009F074A" w:rsidRDefault="0034361D" w:rsidP="00A51115">
      <w:pPr>
        <w:pStyle w:val="TextoPrincipal"/>
        <w:spacing w:line="240" w:lineRule="auto"/>
        <w:ind w:left="708" w:firstLine="0"/>
        <w:rPr>
          <w:sz w:val="22"/>
          <w:szCs w:val="22"/>
        </w:rPr>
      </w:pPr>
      <w:r w:rsidRPr="00485398">
        <w:rPr>
          <w:sz w:val="22"/>
          <w:szCs w:val="22"/>
        </w:rPr>
        <w:t>Bolivia cuenta con una de las instituciones microfinancieras más reconocidas a nivel latinoamericano y mundial. Se trata del Banco Solidario S.A. (BANCOSOL), banco comercial privado. Este banco tuvo su origen en la Fundación para Promoción y Desarrollo de la Microempresa, PRODEM, que inició operaciones en 1987 como una ONG dedicada a proveer créditos a pequeños proyectos empresariales a personas con escasos recursos.</w:t>
      </w:r>
      <w:r w:rsidR="00F936F9">
        <w:rPr>
          <w:sz w:val="22"/>
          <w:szCs w:val="22"/>
        </w:rPr>
        <w:t xml:space="preserve"> </w:t>
      </w:r>
      <w:r w:rsidR="00F936F9">
        <w:rPr>
          <w:sz w:val="22"/>
          <w:szCs w:val="22"/>
        </w:rPr>
        <w:fldChar w:fldCharType="begin"/>
      </w:r>
      <w:r w:rsidR="000F6563">
        <w:rPr>
          <w:sz w:val="22"/>
          <w:szCs w:val="22"/>
        </w:rPr>
        <w:instrText xml:space="preserve"> ADDIN ZOTERO_ITEM CSL_CITATION {"citationID":"B44Bk7D0","properties":{"formattedCitation":"(Pati\\uc0\\u241{}o, 2008, p. 49)","plainCitation":"(Patiño, 2008, p. 49)","noteIndex":0},"citationItems":[{"id":19,"uris":["http://zotero.org/users/13562074/items/RFZKMIVU"],"itemData":{"id":19,"type":"document","title":"Microcrédito, historia y experiencias exitosas de su implementación en América Latina.","author":[{"family":"Patiño","given":"Omar Alonzo"}],"issued":{"date-parts":[["2008",8]]}},"locator":"49","label":"page"}],"schema":"https://github.com/citation-style-language/schema/raw/master/csl-citation.json"} </w:instrText>
      </w:r>
      <w:r w:rsidR="00F936F9">
        <w:rPr>
          <w:sz w:val="22"/>
          <w:szCs w:val="22"/>
        </w:rPr>
        <w:fldChar w:fldCharType="separate"/>
      </w:r>
      <w:r w:rsidR="00F936F9" w:rsidRPr="00F936F9">
        <w:rPr>
          <w:sz w:val="22"/>
        </w:rPr>
        <w:t>(Patiño, 2008, p. 49)</w:t>
      </w:r>
      <w:r w:rsidR="00F936F9">
        <w:rPr>
          <w:sz w:val="22"/>
          <w:szCs w:val="22"/>
        </w:rPr>
        <w:fldChar w:fldCharType="end"/>
      </w:r>
    </w:p>
    <w:p w14:paraId="14A3ABF0" w14:textId="32485780" w:rsidR="00AA06D3" w:rsidRPr="00AA06D3" w:rsidRDefault="00AA06D3" w:rsidP="00661BE6">
      <w:pPr>
        <w:pStyle w:val="TextoPrincipal"/>
        <w:spacing w:line="360" w:lineRule="auto"/>
      </w:pPr>
      <w:r w:rsidRPr="00AA06D3">
        <w:t>El sector de microfinanzas en México comenzó hace poco más de 15 años, impulsado por organizaciones con un fuerte sentido de altruismo. Estas entidades se centraron en ayudar a las personas y comunidades sin fines de lucro como principal motivación.</w:t>
      </w:r>
      <w:r>
        <w:t xml:space="preserve"> </w:t>
      </w:r>
      <w:r w:rsidRPr="00AA06D3">
        <w:t>Surgieron nuevas organizaciones, influenciadas por un enfoque más comercial en sus prácticas financieras. Estas iniciativas se orientan hacia modelos de negocio rentables, adaptándose a un entorno económico y financiero en constante evolución.</w:t>
      </w:r>
    </w:p>
    <w:p w14:paraId="796B34DC" w14:textId="1F4EAAE2" w:rsidR="00AA06D3" w:rsidRPr="00EA28BE" w:rsidRDefault="00AA06D3" w:rsidP="00A51115">
      <w:pPr>
        <w:pStyle w:val="TextoPrincipal"/>
        <w:spacing w:line="240" w:lineRule="auto"/>
        <w:ind w:left="708" w:firstLine="0"/>
        <w:rPr>
          <w:sz w:val="22"/>
          <w:szCs w:val="22"/>
        </w:rPr>
      </w:pPr>
      <w:r w:rsidRPr="00EA28BE">
        <w:rPr>
          <w:sz w:val="22"/>
          <w:szCs w:val="22"/>
        </w:rPr>
        <w:t xml:space="preserve">Las instituciones que tuvieron un origen altruista comenzaron, por lo general, como organizaciones de la sociedad civil, con el objetivo de brindar un desarrollo integral, tanto económico como comunitario, a las personas de escasos recursos. Estas organizaciones comenzaron ofreciendo servicios financieros como parte de una canasta de servicios. Algunos de los otros servicios incluidos en estas canastas eran por lo general asistencia en la producción, nutrición, salud y educación, entre otros. Además, algunas de estas organizaciones iniciaron operaciones con lazos importantes a organizaciones religiosas, como el Opus Dei y los Legionarios de Cristo. </w:t>
      </w:r>
      <w:r w:rsidRPr="00EA28BE">
        <w:rPr>
          <w:sz w:val="22"/>
          <w:szCs w:val="22"/>
        </w:rPr>
        <w:fldChar w:fldCharType="begin"/>
      </w:r>
      <w:r w:rsidR="000F6563">
        <w:rPr>
          <w:sz w:val="22"/>
          <w:szCs w:val="22"/>
        </w:rPr>
        <w:instrText xml:space="preserve"> ADDIN ZOTERO_ITEM CSL_CITATION {"citationID":"p5iUBwX0","properties":{"formattedCitation":"(Alp\\uc0\\u237{}zar &amp; Gonz\\uc0\\u225{}lez-Vega, 2006, p. 47)","plainCitation":"(Alpízar &amp; González-Vega, 2006, p. 47)","noteIndex":0},"citationItems":[{"id":31,"uris":["http://zotero.org/users/13562074/items/3NYVCUNM"],"itemData":{"id":31,"type":"article-journal","language":"es","source":"Zotero","title":"El Sector de las Microfinanzas en México","author":[{"family":"Alpízar","given":"Carlos A"},{"family":"González-Vega","given":"Claudio"}],"issued":{"date-parts":[["2006",7]]}},"locator":"47","label":"page"}],"schema":"https://github.com/citation-style-language/schema/raw/master/csl-citation.json"} </w:instrText>
      </w:r>
      <w:r w:rsidRPr="00EA28BE">
        <w:rPr>
          <w:sz w:val="22"/>
          <w:szCs w:val="22"/>
        </w:rPr>
        <w:fldChar w:fldCharType="separate"/>
      </w:r>
      <w:r w:rsidRPr="00EA28BE">
        <w:rPr>
          <w:sz w:val="22"/>
          <w:szCs w:val="22"/>
        </w:rPr>
        <w:t>(Alpízar &amp; González-Vega, 2006, p. 47)</w:t>
      </w:r>
      <w:r w:rsidRPr="00EA28BE">
        <w:rPr>
          <w:sz w:val="22"/>
          <w:szCs w:val="22"/>
        </w:rPr>
        <w:fldChar w:fldCharType="end"/>
      </w:r>
    </w:p>
    <w:p w14:paraId="06D34E3F" w14:textId="6A9E9BA5" w:rsidR="00EA28BE" w:rsidRPr="00EA28BE" w:rsidRDefault="00EA28BE" w:rsidP="00EA28BE">
      <w:pPr>
        <w:pStyle w:val="TextoPrincipal"/>
        <w:spacing w:line="360" w:lineRule="auto"/>
      </w:pPr>
      <w:r>
        <w:t>Por otra parte, el sistema financiero guatemalteco está regulado por la Superintendencia de Bancos (SIB) y otras entidades reguladoras, que supervisan y regulan las actividades financieras para garantizar la estabilidad y solidez del sistema. Guatemala enfrenta desafíos en el sector financiero, incluyendo la necesidad de promover una mayor inclusión financiera, mejorar la transparencia y la gobernanza en el sistema bancario, y abordar la informalidad económica.</w:t>
      </w:r>
    </w:p>
    <w:p w14:paraId="715E7EE8" w14:textId="2670818C" w:rsidR="0034361D" w:rsidRDefault="009F074A" w:rsidP="00A51115">
      <w:pPr>
        <w:pStyle w:val="TextoPrincipal"/>
        <w:spacing w:line="240" w:lineRule="auto"/>
        <w:ind w:left="708" w:firstLine="0"/>
        <w:rPr>
          <w:sz w:val="22"/>
          <w:szCs w:val="22"/>
        </w:rPr>
      </w:pPr>
      <w:r w:rsidRPr="009F074A">
        <w:rPr>
          <w:sz w:val="22"/>
          <w:szCs w:val="22"/>
        </w:rPr>
        <w:t>E</w:t>
      </w:r>
      <w:r w:rsidR="008F182D" w:rsidRPr="009F074A">
        <w:rPr>
          <w:sz w:val="22"/>
          <w:szCs w:val="22"/>
        </w:rPr>
        <w:t xml:space="preserve">n Guatemala, la forma actual de su actividad microfinanciera surge en los años ochenta, promovida en parte por el Programa Nacional de la Microempresa. En esa época la estrategia era coordinar los esfuerzos del Estado con los de las ONG para ejecutar programas que contemplaban una mezcla de capacitación, crédito y asistencia técnica dirigida a los microempresarios. El enfoque se orientaba a fortalecer actividades de manufactura y servicios, por considerar que estas generan valor agregado y empleo, dejando de lado las actividades de comercio para el apoyo financiero. </w:t>
      </w:r>
      <w:r w:rsidRPr="009F074A">
        <w:rPr>
          <w:sz w:val="22"/>
          <w:szCs w:val="22"/>
        </w:rPr>
        <w:lastRenderedPageBreak/>
        <w:fldChar w:fldCharType="begin"/>
      </w:r>
      <w:r w:rsidR="000F6563">
        <w:rPr>
          <w:sz w:val="22"/>
          <w:szCs w:val="22"/>
        </w:rPr>
        <w:instrText xml:space="preserve"> ADDIN ZOTERO_ITEM CSL_CITATION {"citationID":"2TlWpTru","properties":{"formattedCitation":"(Pati\\uc0\\u241{}o, 2008, p. 53)","plainCitation":"(Patiño, 2008, p. 53)","noteIndex":0},"citationItems":[{"id":19,"uris":["http://zotero.org/users/13562074/items/RFZKMIVU"],"itemData":{"id":19,"type":"document","title":"Microcrédito, historia y experiencias exitosas de su implementación en América Latina.","author":[{"family":"Patiño","given":"Omar Alonzo"}],"issued":{"date-parts":[["2008",8]]}},"locator":"53","label":"page"}],"schema":"https://github.com/citation-style-language/schema/raw/master/csl-citation.json"} </w:instrText>
      </w:r>
      <w:r w:rsidRPr="009F074A">
        <w:rPr>
          <w:sz w:val="22"/>
          <w:szCs w:val="22"/>
        </w:rPr>
        <w:fldChar w:fldCharType="separate"/>
      </w:r>
      <w:r w:rsidRPr="009F074A">
        <w:rPr>
          <w:sz w:val="22"/>
          <w:szCs w:val="22"/>
        </w:rPr>
        <w:t>(Patiño, 2008, p. 53)</w:t>
      </w:r>
      <w:r w:rsidRPr="009F074A">
        <w:rPr>
          <w:sz w:val="22"/>
          <w:szCs w:val="22"/>
        </w:rPr>
        <w:fldChar w:fldCharType="end"/>
      </w:r>
    </w:p>
    <w:p w14:paraId="483CE1D3" w14:textId="6FDD385D" w:rsidR="00757229" w:rsidRPr="00757229" w:rsidRDefault="00757229" w:rsidP="00757229">
      <w:pPr>
        <w:pStyle w:val="TextoPrincipal"/>
        <w:spacing w:line="360" w:lineRule="auto"/>
      </w:pPr>
      <w:r>
        <w:t>El sistema bancario salvadoreño está compuesto por una variedad de bancos comerciales, bancos de desarrollo, cooperativas de ahorro y crédito, así como instituciones financieras no bancarias. Las microfinanzas también desempeñan un papel importante en El Salvador, brindando acceso a servicios financieros a segmentos de la población que tradicionalmente no tienen acceso a la banca formal.</w:t>
      </w:r>
    </w:p>
    <w:p w14:paraId="133AFFF7" w14:textId="5FDE73D9" w:rsidR="00757229" w:rsidRDefault="00757229" w:rsidP="00A51115">
      <w:pPr>
        <w:widowControl/>
        <w:spacing w:after="160"/>
        <w:ind w:left="708"/>
        <w:jc w:val="both"/>
        <w:rPr>
          <w:rFonts w:ascii="Times New Roman" w:hAnsi="Times New Roman" w:cs="Times New Roman"/>
        </w:rPr>
      </w:pPr>
      <w:r w:rsidRPr="00757229">
        <w:rPr>
          <w:rFonts w:ascii="Times New Roman" w:hAnsi="Times New Roman" w:cs="Times New Roman"/>
        </w:rPr>
        <w:t xml:space="preserve">El desarrollo del sistema financiero moderno en El Salvador comenzó con la creación del Banco Central de Reserva (BCR) en 1934. En 1979, se llevaron a cabo reformas estructurales, como la reforma agraria, la nacionalización del comercio exterior y del sistema financiero formal, que no llegan a modificar la distribución del crédito. En el sistema salvadoreño, las instituciones financieras comerciales operan con muy pocas regulaciones —en comparación con Bolivia y Ecuador—, salvo las que se consideran indispensables en materia de garantías para que los depositantes o usuarios no sean víctima de abusos. La normativa no prevé orientar recursos crediticios a regiones importantes para el desarrollo, financiar proyectos a largo plazo y proporcionar créditos a la micro y pequeña empresa. Las instancias reguladoras del sistema financiero formal no ejercen un control adecuado y eficiente. </w:t>
      </w:r>
      <w:r w:rsidRPr="00757229">
        <w:rPr>
          <w:rFonts w:ascii="Times New Roman" w:hAnsi="Times New Roman" w:cs="Times New Roman"/>
        </w:rPr>
        <w:fldChar w:fldCharType="begin"/>
      </w:r>
      <w:r w:rsidR="000F6563">
        <w:rPr>
          <w:rFonts w:ascii="Times New Roman" w:hAnsi="Times New Roman" w:cs="Times New Roman"/>
        </w:rPr>
        <w:instrText xml:space="preserve"> ADDIN ZOTERO_ITEM CSL_CITATION {"citationID":"NsN4Lqb3","properties":{"formattedCitation":"(Bicciato et\\uc0\\u160{}al., 2002, p. 44)","plainCitation":"(Bicciato et al., 2002, p. 44)","noteIndex":0},"citationItems":[{"id":33,"uris":["http://zotero.org/users/13562074/items/VLXFSTGB"],"itemData":{"id":33,"type":"book","call-number":"HG178.33.E2 M53 2002","collection-number":"121","collection-title":"Serie Desarrollo productivo","event-place":"Santiago de Chile","ISBN":"978-92-1-321998-0","language":"es","note":"OCLC: ocm50231138","number-of-pages":"61","publisher":"Naciones Unidas, CEPAL, División de Desarrollo Productivo y Empresarial","publisher-place":"Santiago de Chile","source":"Library of Congress ISBN","title":"Microfinanzas en países pequeños de América Latina: Bolivia, Ecuador y El Salvador","title-short":"Microfinanzas en países pequeños de América Latina","editor":[{"family":"Bicciato","given":"Francesco"},{"family":"Foschi","given":"Laura"},{"family":"Bottaro","given":"Elisabetta"},{"family":"Ivardi Ganapini","given":"Filippo"}],"issued":{"date-parts":[["2002",2]]}},"locator":"44","label":"page"}],"schema":"https://github.com/citation-style-language/schema/raw/master/csl-citation.json"} </w:instrText>
      </w:r>
      <w:r w:rsidRPr="00757229">
        <w:rPr>
          <w:rFonts w:ascii="Times New Roman" w:hAnsi="Times New Roman" w:cs="Times New Roman"/>
        </w:rPr>
        <w:fldChar w:fldCharType="separate"/>
      </w:r>
      <w:r w:rsidRPr="00757229">
        <w:rPr>
          <w:rFonts w:ascii="Times New Roman" w:hAnsi="Times New Roman" w:cs="Times New Roman"/>
          <w:szCs w:val="24"/>
        </w:rPr>
        <w:t>(</w:t>
      </w:r>
      <w:proofErr w:type="spellStart"/>
      <w:r w:rsidRPr="00757229">
        <w:rPr>
          <w:rFonts w:ascii="Times New Roman" w:hAnsi="Times New Roman" w:cs="Times New Roman"/>
          <w:szCs w:val="24"/>
        </w:rPr>
        <w:t>Bicciato</w:t>
      </w:r>
      <w:proofErr w:type="spellEnd"/>
      <w:r w:rsidRPr="00757229">
        <w:rPr>
          <w:rFonts w:ascii="Times New Roman" w:hAnsi="Times New Roman" w:cs="Times New Roman"/>
          <w:szCs w:val="24"/>
        </w:rPr>
        <w:t xml:space="preserve"> et al., 2002, p. 44)</w:t>
      </w:r>
      <w:r w:rsidRPr="00757229">
        <w:rPr>
          <w:rFonts w:ascii="Times New Roman" w:hAnsi="Times New Roman" w:cs="Times New Roman"/>
        </w:rPr>
        <w:fldChar w:fldCharType="end"/>
      </w:r>
    </w:p>
    <w:p w14:paraId="1408A0AD" w14:textId="25592353" w:rsidR="00EB5E93" w:rsidRPr="00757229" w:rsidRDefault="00EB5E93" w:rsidP="00A55A1C">
      <w:pPr>
        <w:widowControl/>
        <w:spacing w:after="160" w:line="360" w:lineRule="auto"/>
        <w:ind w:firstLine="720"/>
        <w:jc w:val="both"/>
        <w:rPr>
          <w:rFonts w:ascii="Times New Roman" w:hAnsi="Times New Roman" w:cs="Times New Roman"/>
          <w:sz w:val="24"/>
          <w:szCs w:val="24"/>
        </w:rPr>
      </w:pPr>
      <w:r>
        <w:rPr>
          <w:rFonts w:ascii="Times New Roman" w:hAnsi="Times New Roman" w:cs="Times New Roman"/>
          <w:sz w:val="24"/>
          <w:szCs w:val="24"/>
        </w:rPr>
        <w:t>E</w:t>
      </w:r>
      <w:r w:rsidRPr="00EB5E93">
        <w:rPr>
          <w:rFonts w:ascii="Times New Roman" w:hAnsi="Times New Roman" w:cs="Times New Roman"/>
          <w:sz w:val="24"/>
          <w:szCs w:val="24"/>
        </w:rPr>
        <w:t>l sector financiero en Honduras abarca un sistema bancario sólido, un crecimiento en las microfinanzas, un mercado de valores en desarrollo y una significativa dependencia de las remesas familiares. Los desafíos incluyen la necesidad de abordar la inclusión financiera y fortalecer la supervisión para garantizar la estabilidad del sistema financiero.</w:t>
      </w:r>
    </w:p>
    <w:p w14:paraId="24616EA4" w14:textId="146C0CD9" w:rsidR="00ED78F5" w:rsidRPr="00C84A97" w:rsidRDefault="00C84A97" w:rsidP="00A55A1C">
      <w:pPr>
        <w:widowControl/>
        <w:spacing w:after="160"/>
        <w:ind w:left="720"/>
        <w:jc w:val="both"/>
        <w:rPr>
          <w:rFonts w:ascii="Times New Roman" w:hAnsi="Times New Roman" w:cs="Times New Roman"/>
          <w:sz w:val="24"/>
          <w:szCs w:val="24"/>
          <w:lang w:val="es-ES"/>
        </w:rPr>
      </w:pPr>
      <w:r w:rsidRPr="00C84A97">
        <w:rPr>
          <w:rFonts w:ascii="Times New Roman" w:hAnsi="Times New Roman" w:cs="Times New Roman"/>
          <w:lang w:val="es-ES"/>
        </w:rPr>
        <w:t>L</w:t>
      </w:r>
      <w:r w:rsidR="00ED78F5" w:rsidRPr="00C84A97">
        <w:rPr>
          <w:rFonts w:ascii="Times New Roman" w:hAnsi="Times New Roman" w:cs="Times New Roman"/>
          <w:lang w:val="es-ES"/>
        </w:rPr>
        <w:t xml:space="preserve">as </w:t>
      </w:r>
      <w:proofErr w:type="spellStart"/>
      <w:r w:rsidR="00ED78F5" w:rsidRPr="00C84A97">
        <w:rPr>
          <w:rFonts w:ascii="Times New Roman" w:hAnsi="Times New Roman" w:cs="Times New Roman"/>
          <w:lang w:val="es-ES"/>
        </w:rPr>
        <w:t>IMFs</w:t>
      </w:r>
      <w:proofErr w:type="spellEnd"/>
      <w:r w:rsidR="00ED78F5" w:rsidRPr="00C84A97">
        <w:rPr>
          <w:rFonts w:ascii="Times New Roman" w:hAnsi="Times New Roman" w:cs="Times New Roman"/>
          <w:lang w:val="es-ES"/>
        </w:rPr>
        <w:t xml:space="preserve"> de Honduras en su mayoría surgieron como </w:t>
      </w:r>
      <w:proofErr w:type="spellStart"/>
      <w:r w:rsidR="00ED78F5" w:rsidRPr="00C84A97">
        <w:rPr>
          <w:rFonts w:ascii="Times New Roman" w:hAnsi="Times New Roman" w:cs="Times New Roman"/>
          <w:lang w:val="es-ES"/>
        </w:rPr>
        <w:t>ONGs</w:t>
      </w:r>
      <w:proofErr w:type="spellEnd"/>
      <w:r w:rsidR="00ED78F5" w:rsidRPr="00C84A97">
        <w:rPr>
          <w:rFonts w:ascii="Times New Roman" w:hAnsi="Times New Roman" w:cs="Times New Roman"/>
          <w:lang w:val="es-ES"/>
        </w:rPr>
        <w:t xml:space="preserve"> con mayor auge en la década de los 70-80 como instituciones de desarrollo social</w:t>
      </w:r>
      <w:r w:rsidR="00AD37C8" w:rsidRPr="00C84A97">
        <w:rPr>
          <w:rFonts w:ascii="Times New Roman" w:hAnsi="Times New Roman" w:cs="Times New Roman"/>
          <w:lang w:val="es-ES"/>
        </w:rPr>
        <w:t xml:space="preserve">, </w:t>
      </w:r>
      <w:r w:rsidR="00ED78F5" w:rsidRPr="00C84A97">
        <w:rPr>
          <w:rFonts w:ascii="Times New Roman" w:hAnsi="Times New Roman" w:cs="Times New Roman"/>
          <w:lang w:val="es-ES"/>
        </w:rPr>
        <w:t>fueron incorporando programas de crédito hasta llegar un buen número de ellas a especializarse en microfinanzas.</w:t>
      </w:r>
      <w:r>
        <w:rPr>
          <w:rFonts w:ascii="Times New Roman" w:hAnsi="Times New Roman" w:cs="Times New Roman"/>
          <w:sz w:val="24"/>
          <w:szCs w:val="24"/>
          <w:lang w:val="es-ES"/>
        </w:rPr>
        <w:t xml:space="preserve"> </w:t>
      </w:r>
      <w:r w:rsidR="00ED78F5" w:rsidRPr="00A96329">
        <w:rPr>
          <w:rFonts w:ascii="Times New Roman" w:hAnsi="Times New Roman" w:cs="Times New Roman"/>
          <w:lang w:val="es-ES"/>
        </w:rPr>
        <w:t xml:space="preserve">En su evolución las </w:t>
      </w:r>
      <w:proofErr w:type="spellStart"/>
      <w:r w:rsidR="00ED78F5" w:rsidRPr="00A96329">
        <w:rPr>
          <w:rFonts w:ascii="Times New Roman" w:hAnsi="Times New Roman" w:cs="Times New Roman"/>
          <w:lang w:val="es-ES"/>
        </w:rPr>
        <w:t>ONGs</w:t>
      </w:r>
      <w:proofErr w:type="spellEnd"/>
      <w:r w:rsidR="00ED78F5" w:rsidRPr="00A96329">
        <w:rPr>
          <w:rFonts w:ascii="Times New Roman" w:hAnsi="Times New Roman" w:cs="Times New Roman"/>
          <w:lang w:val="es-ES"/>
        </w:rPr>
        <w:t xml:space="preserve"> que manejaban programas de desarrollo social o financiero se fueron denominando </w:t>
      </w:r>
      <w:proofErr w:type="spellStart"/>
      <w:r w:rsidR="00ED78F5" w:rsidRPr="00A96329">
        <w:rPr>
          <w:rFonts w:ascii="Times New Roman" w:hAnsi="Times New Roman" w:cs="Times New Roman"/>
          <w:lang w:val="es-ES"/>
        </w:rPr>
        <w:t>OPDs</w:t>
      </w:r>
      <w:proofErr w:type="spellEnd"/>
      <w:r w:rsidR="00ED78F5" w:rsidRPr="00A96329">
        <w:rPr>
          <w:rFonts w:ascii="Times New Roman" w:hAnsi="Times New Roman" w:cs="Times New Roman"/>
          <w:lang w:val="es-ES"/>
        </w:rPr>
        <w:t>, y las que incursionaron con mayores servicios de crédito se les paso a denominar Instituciones Microfinancieras “</w:t>
      </w:r>
      <w:proofErr w:type="spellStart"/>
      <w:r w:rsidR="00ED78F5" w:rsidRPr="00A96329">
        <w:rPr>
          <w:rFonts w:ascii="Times New Roman" w:hAnsi="Times New Roman" w:cs="Times New Roman"/>
          <w:lang w:val="es-ES"/>
        </w:rPr>
        <w:t>IMFs</w:t>
      </w:r>
      <w:proofErr w:type="spellEnd"/>
      <w:r w:rsidR="00ED78F5" w:rsidRPr="00A96329">
        <w:rPr>
          <w:rFonts w:ascii="Times New Roman" w:hAnsi="Times New Roman" w:cs="Times New Roman"/>
          <w:lang w:val="es-ES"/>
        </w:rPr>
        <w:t xml:space="preserve">”. Las </w:t>
      </w:r>
      <w:proofErr w:type="spellStart"/>
      <w:r w:rsidR="00ED78F5" w:rsidRPr="00A96329">
        <w:rPr>
          <w:rFonts w:ascii="Times New Roman" w:hAnsi="Times New Roman" w:cs="Times New Roman"/>
          <w:lang w:val="es-ES"/>
        </w:rPr>
        <w:t>IMFs</w:t>
      </w:r>
      <w:proofErr w:type="spellEnd"/>
      <w:r w:rsidR="00ED78F5" w:rsidRPr="00A96329">
        <w:rPr>
          <w:rFonts w:ascii="Times New Roman" w:hAnsi="Times New Roman" w:cs="Times New Roman"/>
          <w:lang w:val="es-ES"/>
        </w:rPr>
        <w:t xml:space="preserve"> en su evolución llegaron hasta la conversión de </w:t>
      </w:r>
      <w:proofErr w:type="spellStart"/>
      <w:r w:rsidR="00ED78F5" w:rsidRPr="00A96329">
        <w:rPr>
          <w:rFonts w:ascii="Times New Roman" w:hAnsi="Times New Roman" w:cs="Times New Roman"/>
          <w:lang w:val="es-ES"/>
        </w:rPr>
        <w:t>OPDFs</w:t>
      </w:r>
      <w:proofErr w:type="spellEnd"/>
      <w:r w:rsidR="00ED78F5" w:rsidRPr="00A96329">
        <w:rPr>
          <w:rFonts w:ascii="Times New Roman" w:hAnsi="Times New Roman" w:cs="Times New Roman"/>
          <w:lang w:val="es-ES"/>
        </w:rPr>
        <w:t xml:space="preserve"> (Organizaciones Privadas de Desarrollo Financiero), Financieras y Bancos, apoyadas muchas de ellas en dicho proceso por la Fundación </w:t>
      </w:r>
      <w:proofErr w:type="spellStart"/>
      <w:r w:rsidR="00ED78F5" w:rsidRPr="00A96329">
        <w:rPr>
          <w:rFonts w:ascii="Times New Roman" w:hAnsi="Times New Roman" w:cs="Times New Roman"/>
          <w:lang w:val="es-ES"/>
        </w:rPr>
        <w:t>Covelo</w:t>
      </w:r>
      <w:proofErr w:type="spellEnd"/>
      <w:r w:rsidR="00ED78F5" w:rsidRPr="00A96329">
        <w:rPr>
          <w:rFonts w:ascii="Times New Roman" w:hAnsi="Times New Roman" w:cs="Times New Roman"/>
          <w:lang w:val="es-ES"/>
        </w:rPr>
        <w:t xml:space="preserve"> desde 1985 cuando este era un Programa PYME administrado por la </w:t>
      </w:r>
      <w:r w:rsidR="009378AB" w:rsidRPr="00A96329">
        <w:rPr>
          <w:rFonts w:ascii="Times New Roman" w:hAnsi="Times New Roman" w:cs="Times New Roman"/>
          <w:lang w:val="es-ES"/>
        </w:rPr>
        <w:t>Asociación Nacional de Industriales (</w:t>
      </w:r>
      <w:r w:rsidR="00ED78F5" w:rsidRPr="00A96329">
        <w:rPr>
          <w:rFonts w:ascii="Times New Roman" w:hAnsi="Times New Roman" w:cs="Times New Roman"/>
          <w:lang w:val="es-ES"/>
        </w:rPr>
        <w:t>ANDI</w:t>
      </w:r>
      <w:r w:rsidR="009378AB" w:rsidRPr="00A96329">
        <w:rPr>
          <w:rFonts w:ascii="Times New Roman" w:hAnsi="Times New Roman" w:cs="Times New Roman"/>
          <w:lang w:val="es-ES"/>
        </w:rPr>
        <w:t>)</w:t>
      </w:r>
      <w:r w:rsidR="00ED78F5" w:rsidRPr="00A96329">
        <w:rPr>
          <w:rFonts w:ascii="Times New Roman" w:hAnsi="Times New Roman" w:cs="Times New Roman"/>
          <w:lang w:val="es-ES"/>
        </w:rPr>
        <w:t xml:space="preserve">. </w:t>
      </w:r>
      <w:r w:rsidR="00ED78F5" w:rsidRPr="00A96329">
        <w:rPr>
          <w:rFonts w:ascii="Times New Roman" w:hAnsi="Times New Roman" w:cs="Times New Roman"/>
          <w:lang w:val="es-ES"/>
        </w:rPr>
        <w:fldChar w:fldCharType="begin"/>
      </w:r>
      <w:r w:rsidR="000F6563">
        <w:rPr>
          <w:rFonts w:ascii="Times New Roman" w:hAnsi="Times New Roman" w:cs="Times New Roman"/>
          <w:lang w:val="es-ES"/>
        </w:rPr>
        <w:instrText xml:space="preserve"> ADDIN ZOTERO_ITEM CSL_CITATION {"citationID":"xDt6ep1O","properties":{"formattedCitation":"(S\\uc0\\u225{}nchez, 2021, p. 9)","plainCitation":"(Sánchez, 2021, p. 9)","noteIndex":0},"citationItems":[{"id":20,"uris":["http://zotero.org/users/13562074/items/M9UQFW9K"],"itemData":{"id":20,"type":"document","title":"Microfinanzas en Honduras","author":[{"family":"Sánchez","given":"Raúl"}],"issued":{"date-parts":[["2021",4]]}},"locator":"9","label":"page"}],"schema":"https://github.com/citation-style-language/schema/raw/master/csl-citation.json"} </w:instrText>
      </w:r>
      <w:r w:rsidR="00ED78F5" w:rsidRPr="00A96329">
        <w:rPr>
          <w:rFonts w:ascii="Times New Roman" w:hAnsi="Times New Roman" w:cs="Times New Roman"/>
          <w:lang w:val="es-ES"/>
        </w:rPr>
        <w:fldChar w:fldCharType="separate"/>
      </w:r>
      <w:r w:rsidR="00AB3B01" w:rsidRPr="00AB3B01">
        <w:rPr>
          <w:rFonts w:ascii="Times New Roman" w:hAnsi="Times New Roman" w:cs="Times New Roman"/>
        </w:rPr>
        <w:t>(Sánchez, 2021, p. 9)</w:t>
      </w:r>
      <w:r w:rsidR="00ED78F5" w:rsidRPr="00A96329">
        <w:rPr>
          <w:rFonts w:ascii="Times New Roman" w:hAnsi="Times New Roman" w:cs="Times New Roman"/>
          <w:lang w:val="es-ES"/>
        </w:rPr>
        <w:fldChar w:fldCharType="end"/>
      </w:r>
    </w:p>
    <w:p w14:paraId="310E228B" w14:textId="618BCCB4" w:rsidR="00945DF6" w:rsidRDefault="000A2B78" w:rsidP="004F0A2E">
      <w:pPr>
        <w:pStyle w:val="TextoPrincipal"/>
        <w:spacing w:line="360" w:lineRule="auto"/>
      </w:pPr>
      <w:r>
        <w:t>L</w:t>
      </w:r>
      <w:r w:rsidRPr="000A2B78">
        <w:t xml:space="preserve">os problemas de pago de préstamos de los habitantes de un país son una preocupación crucial que se ve moldeada por una variedad de factores, desde la política económica hasta eventos inesperados como la pandemia de COVID-19. Estos desafíos </w:t>
      </w:r>
      <w:r w:rsidR="00A61880" w:rsidRPr="000A2B78">
        <w:t>financieros</w:t>
      </w:r>
      <w:r w:rsidRPr="000A2B78">
        <w:t xml:space="preserve"> resaltan la importancia de políticas gubernamentales efectivas, programas de apoyo y medidas proactivas tanto a nivel nacional como internacional para salvaguardar la estabilidad económica y proporcionar un alivio sostenible a aquellos que enfrentan dificultades financieras. La comprensión profunda de estos antecedentes es esencial para desarrollar estrategias que no solo aborden los problemas inmediatos, sino que también contribuyan a la resiliencia financiera a largo plazo de la población.</w:t>
      </w:r>
    </w:p>
    <w:p w14:paraId="5244FB9F" w14:textId="151200E4" w:rsidR="00210E95" w:rsidRPr="004D17BE" w:rsidRDefault="004D17BE" w:rsidP="00326A31">
      <w:pPr>
        <w:pStyle w:val="Ttulo2"/>
        <w:spacing w:line="360" w:lineRule="auto"/>
      </w:pPr>
      <w:bookmarkStart w:id="30" w:name="_Toc474331179"/>
      <w:bookmarkStart w:id="31" w:name="_Toc474331378"/>
      <w:bookmarkStart w:id="32" w:name="_Toc166705745"/>
      <w:bookmarkStart w:id="33" w:name="_Toc175171347"/>
      <w:r w:rsidRPr="004D17BE">
        <w:lastRenderedPageBreak/>
        <w:t>1.3 DEFINICIÓN DEL PROBLEMA</w:t>
      </w:r>
      <w:bookmarkEnd w:id="30"/>
      <w:bookmarkEnd w:id="31"/>
      <w:bookmarkEnd w:id="32"/>
      <w:bookmarkEnd w:id="33"/>
    </w:p>
    <w:p w14:paraId="22BEA921" w14:textId="42717348" w:rsidR="00E31F47" w:rsidRDefault="005531DA" w:rsidP="00326A31">
      <w:pPr>
        <w:pStyle w:val="TextoPrincipal"/>
        <w:spacing w:line="360" w:lineRule="auto"/>
      </w:pPr>
      <w:r>
        <w:t xml:space="preserve">Debido a los últimos informes del departamento de Operaciones y Cartera, se ha vuelto necesario </w:t>
      </w:r>
      <w:r w:rsidR="00E31F47">
        <w:t xml:space="preserve">analizar el comportamiento de los índices de morosidad en la cartera de crédito de la institución microfinanciera </w:t>
      </w:r>
      <w:r w:rsidR="00E5074B">
        <w:t>“XYZ”</w:t>
      </w:r>
      <w:r w:rsidR="00E31F47">
        <w:t xml:space="preserve"> en sus distintas agencias a lo largo del territorio hondureño durante el período comprendido entre 2019 y 2023</w:t>
      </w:r>
      <w:r>
        <w:t xml:space="preserve"> para determinar el origen y las posibles soluciones que pueda tener este conflicto.</w:t>
      </w:r>
    </w:p>
    <w:p w14:paraId="707D1681" w14:textId="77777777" w:rsidR="005531DA" w:rsidRDefault="005531DA" w:rsidP="00326A31">
      <w:pPr>
        <w:pStyle w:val="TextoPrincipal"/>
        <w:spacing w:line="360" w:lineRule="auto"/>
      </w:pPr>
    </w:p>
    <w:p w14:paraId="6E54F224" w14:textId="1D0B6E92" w:rsidR="006577C3" w:rsidRPr="00DA00DB" w:rsidRDefault="006577C3" w:rsidP="00326A31">
      <w:pPr>
        <w:pStyle w:val="Ttulo3"/>
        <w:spacing w:before="0" w:line="360" w:lineRule="auto"/>
        <w:ind w:left="0" w:firstLine="720"/>
      </w:pPr>
      <w:bookmarkStart w:id="34" w:name="_Toc166705746"/>
      <w:bookmarkStart w:id="35" w:name="_Toc175171348"/>
      <w:r w:rsidRPr="00DA00DB">
        <w:t>1.3.1. ENUNCIADO</w:t>
      </w:r>
      <w:bookmarkEnd w:id="34"/>
      <w:bookmarkEnd w:id="35"/>
    </w:p>
    <w:p w14:paraId="020CE5D1" w14:textId="3117B1BD" w:rsidR="005531DA" w:rsidRDefault="005531DA" w:rsidP="00326A31">
      <w:pPr>
        <w:pStyle w:val="TextoPrincipal"/>
        <w:spacing w:line="360" w:lineRule="auto"/>
      </w:pPr>
      <w:r>
        <w:t xml:space="preserve">La institución microfinanciera </w:t>
      </w:r>
      <w:r w:rsidR="00E5074B">
        <w:t>“XYZ”</w:t>
      </w:r>
      <w:r>
        <w:t xml:space="preserve"> fue constituida </w:t>
      </w:r>
      <w:r w:rsidR="00A16C22">
        <w:t xml:space="preserve">en el año de 1995 </w:t>
      </w:r>
      <w:r>
        <w:t>como una Organización Privada de Desarrollo, siendo en el año 2008 donde esta se convierte en una Organización Privada de Desarrollo Financiero regulada desde entonces por la Comisión Nacional de Banc</w:t>
      </w:r>
      <w:r w:rsidR="00A16C22">
        <w:t>o</w:t>
      </w:r>
      <w:r>
        <w:t>s y Seguros.</w:t>
      </w:r>
    </w:p>
    <w:p w14:paraId="3FCC8CD7" w14:textId="7D093B0E" w:rsidR="005531DA" w:rsidRDefault="005531DA" w:rsidP="00326A31">
      <w:pPr>
        <w:pStyle w:val="TextoPrincipal"/>
        <w:spacing w:line="360" w:lineRule="auto"/>
      </w:pPr>
      <w:r>
        <w:t xml:space="preserve">Actualmente esta empresa cuenta con 18 agencias a nivel nacional albergando una cartera de </w:t>
      </w:r>
      <w:r w:rsidR="00A16C22">
        <w:t xml:space="preserve">14,993 </w:t>
      </w:r>
      <w:r>
        <w:t>clientes</w:t>
      </w:r>
      <w:r w:rsidR="00A16C22">
        <w:t xml:space="preserve">, </w:t>
      </w:r>
      <w:r>
        <w:t xml:space="preserve">una cartera activa de </w:t>
      </w:r>
      <w:r w:rsidR="00A16C22">
        <w:t>L 435 millones y un índice de morosidad de 27.1%; datos recopilados al cierre del año 2023.</w:t>
      </w:r>
    </w:p>
    <w:p w14:paraId="01111661" w14:textId="53A7C15B" w:rsidR="00A16C22" w:rsidRDefault="00A16C22" w:rsidP="00326A31">
      <w:pPr>
        <w:pStyle w:val="TextoPrincipal"/>
        <w:spacing w:line="360" w:lineRule="auto"/>
      </w:pPr>
      <w:r>
        <w:t>Ante estos niveles de mora,</w:t>
      </w:r>
      <w:r w:rsidRPr="00A16C22">
        <w:t xml:space="preserve"> </w:t>
      </w:r>
      <w:r>
        <w:t>la preocupación por e</w:t>
      </w:r>
      <w:r w:rsidRPr="00A16C22">
        <w:t>ste problema puede tener diversas implicaciones, como pérdidas financieras para la institución, deterioro de la calidad de la cartera de crédito, impacto en la rentabilidad y la sostenibilidad de la institución, así como posibles consecuencias sociales y económicas para los clientes morosos y la comunidad en general.</w:t>
      </w:r>
    </w:p>
    <w:p w14:paraId="1A7F891C" w14:textId="20CAA5C1" w:rsidR="009F36FF" w:rsidRDefault="009F36FF" w:rsidP="00326A31">
      <w:pPr>
        <w:pStyle w:val="TextoPrincipal"/>
        <w:spacing w:line="360" w:lineRule="auto"/>
      </w:pPr>
      <w:r>
        <w:t>Debido a que los clientes no pagan sus créditos a tiempo o dejan de pagarlos por completo, la empresa mantiene un alto porcentaje de morosidad en su cartera de crédito, razón por la cual, existe un fuerte impacto en las reservas para créditos de dudosa recuperación, por lo que, se han tenido que enfrentar algunas dificultades financieras en las que se han visto afectadas negativamente la rentabilidad, la solvencia y la sostenibilidad de la institución.</w:t>
      </w:r>
    </w:p>
    <w:p w14:paraId="10100549" w14:textId="29BBB2E4" w:rsidR="009F36FF" w:rsidRDefault="009F36FF" w:rsidP="00326A31">
      <w:pPr>
        <w:pStyle w:val="TextoPrincipal"/>
        <w:spacing w:line="360" w:lineRule="auto"/>
      </w:pPr>
      <w:r>
        <w:t>Asimismo, en ocasiones la liquidez de la institución se ha visto comprometida, puesto que las recuperaciones de créditos se vuelven insuficientes para poder cubrir las colocaciones del mes y los pagos tanto operativos como financieros, y se tiene que recurrir a nuevos financiamientos de carácter urgente para poder hacer frente a los mismos, lo cual implica incrementos en los gastos financieros debido a que las tasas de interés son más altas por el riesgo que esta representa.</w:t>
      </w:r>
    </w:p>
    <w:p w14:paraId="559197AE" w14:textId="2304420D" w:rsidR="00CD29B7" w:rsidRDefault="00CE02D5" w:rsidP="00326A31">
      <w:pPr>
        <w:pStyle w:val="TextoPrincipal"/>
        <w:spacing w:line="360" w:lineRule="auto"/>
      </w:pPr>
      <w:r>
        <w:lastRenderedPageBreak/>
        <w:t xml:space="preserve">Actualmente la empresa ejecuta fuertes prácticas de recuperación reforzando su departamento de cobranza para que se puedan abarcar más zonas, sin embargo; es necesario abordar un análisis </w:t>
      </w:r>
      <w:r w:rsidR="0018133F">
        <w:t>más</w:t>
      </w:r>
      <w:r>
        <w:t xml:space="preserve"> amplio que permita recoger atención especializada para reducir costos y riesgos.</w:t>
      </w:r>
    </w:p>
    <w:p w14:paraId="69AC9DE5" w14:textId="77777777" w:rsidR="00CF6613" w:rsidRDefault="00CF6613" w:rsidP="00326A31">
      <w:pPr>
        <w:pStyle w:val="TextoPrincipal"/>
        <w:spacing w:line="360" w:lineRule="auto"/>
        <w:ind w:firstLine="0"/>
      </w:pPr>
    </w:p>
    <w:p w14:paraId="608DD747" w14:textId="0B0588FA" w:rsidR="006577C3" w:rsidRPr="00011C92" w:rsidRDefault="006577C3" w:rsidP="00326A31">
      <w:pPr>
        <w:pStyle w:val="Ttulo3"/>
        <w:spacing w:before="0" w:line="360" w:lineRule="auto"/>
        <w:ind w:left="0" w:firstLine="720"/>
      </w:pPr>
      <w:bookmarkStart w:id="36" w:name="_Toc166705747"/>
      <w:bookmarkStart w:id="37" w:name="_Toc175171349"/>
      <w:r w:rsidRPr="00011C92">
        <w:t>1.3.2. FORMULACION DEL PROBLEMA</w:t>
      </w:r>
      <w:bookmarkEnd w:id="36"/>
      <w:bookmarkEnd w:id="37"/>
    </w:p>
    <w:p w14:paraId="4F5C9966" w14:textId="2B77111C" w:rsidR="00254BC8" w:rsidRDefault="00254BC8" w:rsidP="00326A31">
      <w:pPr>
        <w:pStyle w:val="TextoPrincipal"/>
        <w:spacing w:line="360" w:lineRule="auto"/>
      </w:pPr>
      <w:r>
        <w:t xml:space="preserve">¿Qué variaciones han sufrido los </w:t>
      </w:r>
      <w:r w:rsidRPr="00254BC8">
        <w:t>nivel</w:t>
      </w:r>
      <w:r>
        <w:t>es</w:t>
      </w:r>
      <w:r w:rsidRPr="00254BC8">
        <w:t xml:space="preserve"> de morosidad en la cartera de crédito de la institución microfinanciera </w:t>
      </w:r>
      <w:r w:rsidR="00E5074B">
        <w:t>“XYZ”</w:t>
      </w:r>
      <w:r w:rsidRPr="00254BC8">
        <w:t xml:space="preserve"> en </w:t>
      </w:r>
      <w:r w:rsidR="004F77E0">
        <w:t>Honduras</w:t>
      </w:r>
      <w:r w:rsidRPr="00254BC8">
        <w:t xml:space="preserve"> durante el período comprendido entre 2019 y 2023</w:t>
      </w:r>
      <w:r w:rsidR="00204BA7">
        <w:t>?</w:t>
      </w:r>
    </w:p>
    <w:p w14:paraId="35D508C5" w14:textId="77777777" w:rsidR="00D913B1" w:rsidRDefault="00D913B1" w:rsidP="004F0A2E">
      <w:pPr>
        <w:pStyle w:val="TextoPrincipal"/>
        <w:spacing w:line="360" w:lineRule="auto"/>
        <w:ind w:firstLine="0"/>
      </w:pPr>
    </w:p>
    <w:p w14:paraId="1B61140E" w14:textId="77777777" w:rsidR="006577C3" w:rsidRPr="00011C92" w:rsidRDefault="006577C3" w:rsidP="00326A31">
      <w:pPr>
        <w:pStyle w:val="Ttulo3"/>
        <w:spacing w:before="0" w:line="360" w:lineRule="auto"/>
        <w:ind w:left="0" w:firstLine="1440"/>
      </w:pPr>
      <w:bookmarkStart w:id="38" w:name="_Toc166705748"/>
      <w:bookmarkStart w:id="39" w:name="_Toc175171350"/>
      <w:r w:rsidRPr="00011C92">
        <w:t>1.3.2.1. PREGUNTAS DE INVESTIGACION</w:t>
      </w:r>
      <w:bookmarkEnd w:id="38"/>
      <w:bookmarkEnd w:id="39"/>
      <w:r w:rsidRPr="00011C92">
        <w:t xml:space="preserve"> </w:t>
      </w:r>
    </w:p>
    <w:p w14:paraId="6A222631" w14:textId="2A6FAF0C" w:rsidR="00204BA7" w:rsidRDefault="005F2DD3" w:rsidP="00204BA7">
      <w:pPr>
        <w:pStyle w:val="TextoPrincipal"/>
        <w:spacing w:line="360" w:lineRule="auto"/>
      </w:pPr>
      <w:r>
        <w:t>1.</w:t>
      </w:r>
      <w:r w:rsidR="00A55C3A">
        <w:t xml:space="preserve"> </w:t>
      </w:r>
      <w:r w:rsidR="0055030F" w:rsidRPr="0055030F">
        <w:t xml:space="preserve">¿Cuáles son los factores que han impactado de forma positiva o negativa en la gestión de crédito </w:t>
      </w:r>
      <w:r w:rsidR="00A55C3A">
        <w:t>de la</w:t>
      </w:r>
      <w:r w:rsidR="0055030F" w:rsidRPr="0055030F">
        <w:t xml:space="preserve"> institución microfinanciera</w:t>
      </w:r>
      <w:r w:rsidR="0055030F">
        <w:t xml:space="preserve"> </w:t>
      </w:r>
      <w:r w:rsidR="00E5074B">
        <w:t>“XYZ”</w:t>
      </w:r>
      <w:r w:rsidR="0055030F" w:rsidRPr="0055030F">
        <w:t>?</w:t>
      </w:r>
    </w:p>
    <w:p w14:paraId="522C681D" w14:textId="6E989D1E" w:rsidR="005F2DD3" w:rsidRDefault="00204BA7" w:rsidP="00204BA7">
      <w:pPr>
        <w:pStyle w:val="TextoPrincipal"/>
        <w:spacing w:line="360" w:lineRule="auto"/>
      </w:pPr>
      <w:r>
        <w:t xml:space="preserve">2. </w:t>
      </w:r>
      <w:r w:rsidR="00A07A4E">
        <w:t>¿</w:t>
      </w:r>
      <w:r w:rsidR="00A07A4E" w:rsidRPr="00A07A4E">
        <w:t xml:space="preserve">Cuál es la situación financiera de la microfinanciera </w:t>
      </w:r>
      <w:r w:rsidR="00E5074B">
        <w:t>“XYZ”</w:t>
      </w:r>
      <w:r w:rsidR="00A07A4E" w:rsidRPr="00A07A4E">
        <w:t xml:space="preserve"> en función de los resultados mostrados por los indicadores de </w:t>
      </w:r>
      <w:r w:rsidR="00A07A4E">
        <w:t>r</w:t>
      </w:r>
      <w:r w:rsidR="00A07A4E" w:rsidRPr="00A07A4E">
        <w:t xml:space="preserve">entabilidad, </w:t>
      </w:r>
      <w:r w:rsidR="00A07A4E">
        <w:t>s</w:t>
      </w:r>
      <w:r w:rsidR="00A07A4E" w:rsidRPr="00A07A4E">
        <w:t xml:space="preserve">olvencia para cumplir </w:t>
      </w:r>
      <w:r w:rsidR="00A07A4E">
        <w:t xml:space="preserve">con sus </w:t>
      </w:r>
      <w:r w:rsidR="00A07A4E" w:rsidRPr="00A07A4E">
        <w:t>obligaciones y endeudamiento en el periodo 2019-2023</w:t>
      </w:r>
      <w:r w:rsidR="005F2DD3">
        <w:t>?</w:t>
      </w:r>
    </w:p>
    <w:p w14:paraId="0CA3095D" w14:textId="2ADD4368" w:rsidR="005F2DD3" w:rsidRDefault="00AF5EB7" w:rsidP="00326A31">
      <w:pPr>
        <w:pStyle w:val="TextoPrincipal"/>
        <w:spacing w:line="360" w:lineRule="auto"/>
      </w:pPr>
      <w:r>
        <w:t>3</w:t>
      </w:r>
      <w:r w:rsidR="005F2DD3">
        <w:t xml:space="preserve">. ¿Qué medidas ha implementado la institución </w:t>
      </w:r>
      <w:r w:rsidR="00E5074B">
        <w:t>“XYZ”</w:t>
      </w:r>
      <w:r w:rsidR="0055030F">
        <w:t xml:space="preserve"> para</w:t>
      </w:r>
      <w:r w:rsidR="005F2DD3">
        <w:t xml:space="preserve"> mitigar la morosidad en su cartera de crédito?</w:t>
      </w:r>
    </w:p>
    <w:p w14:paraId="0BC51237" w14:textId="27D3C519" w:rsidR="00F37A29" w:rsidRDefault="00AF5EB7" w:rsidP="00326A31">
      <w:pPr>
        <w:pStyle w:val="TextoPrincipal"/>
        <w:spacing w:line="360" w:lineRule="auto"/>
      </w:pPr>
      <w:r>
        <w:t>4</w:t>
      </w:r>
      <w:r w:rsidR="005F2DD3">
        <w:t>. ¿Qué oportunidades existen para mejorar los procesos internos de evaluación de riesgos y gestión de crédito de la institución</w:t>
      </w:r>
      <w:r w:rsidR="0055030F">
        <w:t xml:space="preserve"> </w:t>
      </w:r>
      <w:r w:rsidR="00E5074B">
        <w:t>“XYZ”</w:t>
      </w:r>
      <w:r w:rsidR="005F2DD3">
        <w:t xml:space="preserve"> con el fin de prevenir la morosidad en el futuro?</w:t>
      </w:r>
    </w:p>
    <w:p w14:paraId="24CCE110" w14:textId="77777777" w:rsidR="005F2DD3" w:rsidRDefault="005F2DD3" w:rsidP="00326A31">
      <w:pPr>
        <w:pStyle w:val="TextoPrincipal"/>
        <w:spacing w:line="360" w:lineRule="auto"/>
      </w:pPr>
    </w:p>
    <w:p w14:paraId="02B9C0B9" w14:textId="6940BA38" w:rsidR="00F37A29" w:rsidRPr="00DD7825" w:rsidRDefault="004D17BE" w:rsidP="00DD7825">
      <w:pPr>
        <w:pStyle w:val="Ttulo2"/>
        <w:spacing w:line="360" w:lineRule="auto"/>
      </w:pPr>
      <w:bookmarkStart w:id="40" w:name="_Toc474331180"/>
      <w:bookmarkStart w:id="41" w:name="_Toc474331379"/>
      <w:bookmarkStart w:id="42" w:name="_Toc166705749"/>
      <w:bookmarkStart w:id="43" w:name="_Toc175171351"/>
      <w:r w:rsidRPr="00210E95">
        <w:t>1.4 OBJETIVOS DEL PROYECTO</w:t>
      </w:r>
      <w:bookmarkEnd w:id="40"/>
      <w:bookmarkEnd w:id="41"/>
      <w:bookmarkEnd w:id="42"/>
      <w:bookmarkEnd w:id="43"/>
    </w:p>
    <w:p w14:paraId="4D6056D6" w14:textId="2B3AF58F" w:rsidR="006577C3" w:rsidRPr="00011C92" w:rsidRDefault="006577C3" w:rsidP="00326A31">
      <w:pPr>
        <w:pStyle w:val="Ttulo3"/>
        <w:spacing w:before="0" w:line="360" w:lineRule="auto"/>
        <w:ind w:left="0" w:firstLine="720"/>
      </w:pPr>
      <w:bookmarkStart w:id="44" w:name="_Toc166705750"/>
      <w:bookmarkStart w:id="45" w:name="_Toc175171352"/>
      <w:r w:rsidRPr="00011C92">
        <w:t>1.4.1. OBJETIVO GENERAL</w:t>
      </w:r>
      <w:bookmarkEnd w:id="44"/>
      <w:bookmarkEnd w:id="45"/>
    </w:p>
    <w:p w14:paraId="1791ED8E" w14:textId="7B1D06D7" w:rsidR="00F37A29" w:rsidRDefault="009C741E" w:rsidP="00326A31">
      <w:pPr>
        <w:pStyle w:val="TextoPrincipal"/>
        <w:spacing w:line="360" w:lineRule="auto"/>
      </w:pPr>
      <w:r>
        <w:t>Identificar que</w:t>
      </w:r>
      <w:r w:rsidR="002458B6" w:rsidRPr="002458B6">
        <w:t xml:space="preserve"> variaciones han sufrido los niveles de morosidad en la cartera de crédito de la institución microfinanciera </w:t>
      </w:r>
      <w:r w:rsidR="00E5074B">
        <w:t>“XYZ”</w:t>
      </w:r>
      <w:r w:rsidR="002458B6" w:rsidRPr="002458B6">
        <w:t xml:space="preserve"> </w:t>
      </w:r>
      <w:r w:rsidR="00EB4767">
        <w:t xml:space="preserve">en Honduras, </w:t>
      </w:r>
      <w:r w:rsidR="002458B6" w:rsidRPr="002458B6">
        <w:t>durante el período comprendido entre 2019 y 2023</w:t>
      </w:r>
      <w:r w:rsidR="00AC5A50">
        <w:t>.</w:t>
      </w:r>
    </w:p>
    <w:p w14:paraId="6B4B164E" w14:textId="77777777" w:rsidR="009C741E" w:rsidRDefault="009C741E" w:rsidP="00326A31">
      <w:pPr>
        <w:pStyle w:val="TextoPrincipal"/>
        <w:spacing w:line="360" w:lineRule="auto"/>
      </w:pPr>
    </w:p>
    <w:p w14:paraId="2FE7EF07" w14:textId="067055F6" w:rsidR="006577C3" w:rsidRPr="00011C92" w:rsidRDefault="006577C3" w:rsidP="00326A31">
      <w:pPr>
        <w:pStyle w:val="Ttulo3"/>
        <w:spacing w:before="0" w:line="360" w:lineRule="auto"/>
        <w:ind w:left="0" w:firstLine="720"/>
      </w:pPr>
      <w:bookmarkStart w:id="46" w:name="_Toc166705751"/>
      <w:bookmarkStart w:id="47" w:name="_Toc175171353"/>
      <w:r w:rsidRPr="00011C92">
        <w:lastRenderedPageBreak/>
        <w:t>1.4.2. OBJETIVOS ESPECIFICOS</w:t>
      </w:r>
      <w:bookmarkEnd w:id="46"/>
      <w:bookmarkEnd w:id="47"/>
    </w:p>
    <w:p w14:paraId="2DD39A3B" w14:textId="41615522" w:rsidR="00F85DA3" w:rsidRDefault="008E763F" w:rsidP="00326A31">
      <w:pPr>
        <w:pStyle w:val="TextoPrincipal"/>
        <w:spacing w:line="360" w:lineRule="auto"/>
      </w:pPr>
      <w:r>
        <w:t xml:space="preserve">1. </w:t>
      </w:r>
      <w:r w:rsidR="00735AD8">
        <w:t xml:space="preserve">Determinar </w:t>
      </w:r>
      <w:r w:rsidR="00735AD8" w:rsidRPr="00735AD8">
        <w:t xml:space="preserve">los factores que han impactado de forma positiva o negativa en la gestión de crédito de la institución microfinanciera </w:t>
      </w:r>
      <w:r w:rsidR="00E5074B">
        <w:t>“XYZ”</w:t>
      </w:r>
      <w:r w:rsidR="00735AD8">
        <w:t>.</w:t>
      </w:r>
    </w:p>
    <w:p w14:paraId="14C2EA61" w14:textId="37D42369" w:rsidR="008E763F" w:rsidRDefault="00F85DA3" w:rsidP="00F85DA3">
      <w:pPr>
        <w:pStyle w:val="TextoPrincipal"/>
        <w:spacing w:line="360" w:lineRule="auto"/>
      </w:pPr>
      <w:r>
        <w:t>2.</w:t>
      </w:r>
      <w:r w:rsidR="00735AD8">
        <w:t xml:space="preserve"> </w:t>
      </w:r>
      <w:r w:rsidR="00A07A4E">
        <w:t xml:space="preserve">Examinar </w:t>
      </w:r>
      <w:r w:rsidR="00A07A4E" w:rsidRPr="00A07A4E">
        <w:t xml:space="preserve">la situación financiera de la microfinanciera </w:t>
      </w:r>
      <w:r w:rsidR="00E5074B">
        <w:t>“XYZ”</w:t>
      </w:r>
      <w:r w:rsidR="00A07A4E" w:rsidRPr="00A07A4E">
        <w:t xml:space="preserve"> en función de los resultados mostrados por los indicadores de </w:t>
      </w:r>
      <w:r w:rsidR="00A07A4E">
        <w:t>r</w:t>
      </w:r>
      <w:r w:rsidR="00A07A4E" w:rsidRPr="00A07A4E">
        <w:t xml:space="preserve">entabilidad, </w:t>
      </w:r>
      <w:r w:rsidR="00A07A4E">
        <w:t>s</w:t>
      </w:r>
      <w:r w:rsidR="00A07A4E" w:rsidRPr="00A07A4E">
        <w:t xml:space="preserve">olvencia para cumplir </w:t>
      </w:r>
      <w:r w:rsidR="00A07A4E">
        <w:t xml:space="preserve">con sus </w:t>
      </w:r>
      <w:r w:rsidR="00A07A4E" w:rsidRPr="00A07A4E">
        <w:t>obligaciones y endeudamiento en el periodo 2019-2023</w:t>
      </w:r>
      <w:r w:rsidR="00A07A4E">
        <w:t>.</w:t>
      </w:r>
    </w:p>
    <w:p w14:paraId="14A659B1" w14:textId="43E54809" w:rsidR="008E763F" w:rsidRDefault="008E763F" w:rsidP="00326A31">
      <w:pPr>
        <w:pStyle w:val="TextoPrincipal"/>
        <w:spacing w:line="360" w:lineRule="auto"/>
      </w:pPr>
      <w:r>
        <w:t xml:space="preserve">3. </w:t>
      </w:r>
      <w:r w:rsidR="00AA6E87">
        <w:t>Evaluar las</w:t>
      </w:r>
      <w:r>
        <w:t xml:space="preserve"> medidas </w:t>
      </w:r>
      <w:r w:rsidR="00AA6E87">
        <w:t xml:space="preserve">que </w:t>
      </w:r>
      <w:r>
        <w:t xml:space="preserve">ha implementado la institución </w:t>
      </w:r>
      <w:r w:rsidR="00E5074B">
        <w:t>“XYZ”</w:t>
      </w:r>
      <w:r>
        <w:t xml:space="preserve"> para mitigar la morosidad en su cartera de crédito, y cuál ha sido su efectividad</w:t>
      </w:r>
      <w:r w:rsidR="00AA6E87">
        <w:t>.</w:t>
      </w:r>
    </w:p>
    <w:p w14:paraId="38C6B213" w14:textId="5A0CDAEB" w:rsidR="00F37A29" w:rsidRDefault="008E763F" w:rsidP="00326A31">
      <w:pPr>
        <w:pStyle w:val="TextoPrincipal"/>
        <w:spacing w:line="360" w:lineRule="auto"/>
      </w:pPr>
      <w:r>
        <w:t xml:space="preserve">4. </w:t>
      </w:r>
      <w:r w:rsidR="006969F6">
        <w:t xml:space="preserve">Proponer </w:t>
      </w:r>
      <w:r w:rsidR="00F85DA3">
        <w:t xml:space="preserve">mecanismos </w:t>
      </w:r>
      <w:r>
        <w:t xml:space="preserve">para mejorar los procesos internos de evaluación de riesgos y gestión de crédito de la institución </w:t>
      </w:r>
      <w:r w:rsidR="00E5074B">
        <w:t>“XYZ”</w:t>
      </w:r>
      <w:r>
        <w:t xml:space="preserve"> con el fin de prevenir la morosidad en el futuro</w:t>
      </w:r>
      <w:r w:rsidR="006969F6">
        <w:t>.</w:t>
      </w:r>
    </w:p>
    <w:p w14:paraId="1CFDB88C" w14:textId="77777777" w:rsidR="006969F6" w:rsidRDefault="006969F6" w:rsidP="00326A31">
      <w:pPr>
        <w:pStyle w:val="TextoPrincipal"/>
        <w:spacing w:line="360" w:lineRule="auto"/>
      </w:pPr>
    </w:p>
    <w:p w14:paraId="7418C26F" w14:textId="0E3906A8" w:rsidR="00210E95" w:rsidRPr="00210E95" w:rsidRDefault="004D17BE" w:rsidP="00326A31">
      <w:pPr>
        <w:pStyle w:val="Ttulo2"/>
        <w:spacing w:line="360" w:lineRule="auto"/>
      </w:pPr>
      <w:bookmarkStart w:id="48" w:name="_Toc474331181"/>
      <w:bookmarkStart w:id="49" w:name="_Toc474331380"/>
      <w:bookmarkStart w:id="50" w:name="_Toc166705752"/>
      <w:bookmarkStart w:id="51" w:name="_Toc175171354"/>
      <w:r w:rsidRPr="00210E95">
        <w:t>1.5 JUSTIFICACIÓN</w:t>
      </w:r>
      <w:bookmarkEnd w:id="48"/>
      <w:bookmarkEnd w:id="49"/>
      <w:bookmarkEnd w:id="50"/>
      <w:bookmarkEnd w:id="51"/>
    </w:p>
    <w:p w14:paraId="6FB2D8DC" w14:textId="75C3D8A8" w:rsidR="00326A31" w:rsidRDefault="00326A31" w:rsidP="00DE5DC6">
      <w:pPr>
        <w:widowControl/>
        <w:spacing w:after="160" w:line="360" w:lineRule="auto"/>
        <w:ind w:firstLine="720"/>
        <w:jc w:val="both"/>
        <w:rPr>
          <w:rFonts w:ascii="Times New Roman" w:hAnsi="Times New Roman" w:cs="Times New Roman"/>
          <w:sz w:val="24"/>
          <w:szCs w:val="24"/>
        </w:rPr>
      </w:pPr>
      <w:r w:rsidRPr="00326A31">
        <w:rPr>
          <w:rFonts w:ascii="Times New Roman" w:hAnsi="Times New Roman" w:cs="Times New Roman"/>
          <w:sz w:val="24"/>
          <w:szCs w:val="24"/>
        </w:rPr>
        <w:t xml:space="preserve">El análisis de morosidad en la cartera de crédito de la institución microfinanciera </w:t>
      </w:r>
      <w:r w:rsidR="00E5074B">
        <w:rPr>
          <w:rFonts w:ascii="Times New Roman" w:hAnsi="Times New Roman" w:cs="Times New Roman"/>
          <w:sz w:val="24"/>
          <w:szCs w:val="24"/>
        </w:rPr>
        <w:t>“XYZ”</w:t>
      </w:r>
      <w:r w:rsidRPr="00326A31">
        <w:rPr>
          <w:rFonts w:ascii="Times New Roman" w:hAnsi="Times New Roman" w:cs="Times New Roman"/>
          <w:sz w:val="24"/>
          <w:szCs w:val="24"/>
        </w:rPr>
        <w:t xml:space="preserve"> en sus diferentes agencias </w:t>
      </w:r>
      <w:r w:rsidR="00743AE8">
        <w:rPr>
          <w:rFonts w:ascii="Times New Roman" w:hAnsi="Times New Roman" w:cs="Times New Roman"/>
          <w:sz w:val="24"/>
          <w:szCs w:val="24"/>
        </w:rPr>
        <w:t>a nivel nacional,</w:t>
      </w:r>
      <w:r w:rsidRPr="00326A31">
        <w:rPr>
          <w:rFonts w:ascii="Times New Roman" w:hAnsi="Times New Roman" w:cs="Times New Roman"/>
          <w:sz w:val="24"/>
          <w:szCs w:val="24"/>
        </w:rPr>
        <w:t xml:space="preserve"> durante el período de 2019 a 2023 es un problema de investigación crucial por varias razones fundamentales</w:t>
      </w:r>
      <w:r w:rsidR="00552804">
        <w:rPr>
          <w:rFonts w:ascii="Times New Roman" w:hAnsi="Times New Roman" w:cs="Times New Roman"/>
          <w:sz w:val="24"/>
          <w:szCs w:val="24"/>
        </w:rPr>
        <w:t>.</w:t>
      </w:r>
    </w:p>
    <w:p w14:paraId="3990E98D" w14:textId="55DC379E" w:rsidR="00C078FD" w:rsidRDefault="00743AE8" w:rsidP="00C078FD">
      <w:pPr>
        <w:widowControl/>
        <w:spacing w:after="160" w:line="360" w:lineRule="auto"/>
        <w:ind w:firstLine="720"/>
        <w:jc w:val="both"/>
        <w:rPr>
          <w:rFonts w:ascii="Times New Roman" w:hAnsi="Times New Roman" w:cs="Times New Roman"/>
          <w:sz w:val="24"/>
          <w:szCs w:val="24"/>
        </w:rPr>
      </w:pPr>
      <w:r>
        <w:rPr>
          <w:rFonts w:ascii="Times New Roman" w:hAnsi="Times New Roman" w:cs="Times New Roman"/>
          <w:sz w:val="24"/>
          <w:szCs w:val="24"/>
        </w:rPr>
        <w:t>Este análisis</w:t>
      </w:r>
      <w:r w:rsidR="00C078FD" w:rsidRPr="00E95D13">
        <w:rPr>
          <w:rFonts w:ascii="Times New Roman" w:hAnsi="Times New Roman" w:cs="Times New Roman"/>
          <w:sz w:val="24"/>
          <w:szCs w:val="24"/>
        </w:rPr>
        <w:t xml:space="preserve"> en la cartera de crédito es una herramienta invaluable para mejorar la toma de decisiones dentro de la institución microfinanciera </w:t>
      </w:r>
      <w:r w:rsidR="00E5074B">
        <w:rPr>
          <w:rFonts w:ascii="Times New Roman" w:hAnsi="Times New Roman" w:cs="Times New Roman"/>
          <w:sz w:val="24"/>
          <w:szCs w:val="24"/>
        </w:rPr>
        <w:t>“XYZ”</w:t>
      </w:r>
      <w:r w:rsidR="00C078FD" w:rsidRPr="00E95D13">
        <w:rPr>
          <w:rFonts w:ascii="Times New Roman" w:hAnsi="Times New Roman" w:cs="Times New Roman"/>
          <w:sz w:val="24"/>
          <w:szCs w:val="24"/>
        </w:rPr>
        <w:t>. Al comprender las tendencias y los factores que contribuyen a la morosidad, la institución puede ajustar sus políticas internas, mejorar los procesos de otorgamiento de crédito y fortalecer las prácticas de gestión de riesgos. Esto conduce a una toma de decisiones más informada y estratégica, que a su vez impacta positivamente en la salud financiera y la sostenibilidad a largo plazo de la entidad.</w:t>
      </w:r>
    </w:p>
    <w:p w14:paraId="2B60E40D" w14:textId="6C292158" w:rsidR="00C078FD" w:rsidRPr="00326A31" w:rsidRDefault="00C078FD" w:rsidP="00C078FD">
      <w:pPr>
        <w:widowControl/>
        <w:spacing w:after="160" w:line="360" w:lineRule="auto"/>
        <w:ind w:firstLine="720"/>
        <w:jc w:val="both"/>
        <w:rPr>
          <w:rFonts w:ascii="Times New Roman" w:hAnsi="Times New Roman" w:cs="Times New Roman"/>
          <w:sz w:val="24"/>
          <w:szCs w:val="24"/>
        </w:rPr>
      </w:pPr>
      <w:r w:rsidRPr="00E95D13">
        <w:rPr>
          <w:rFonts w:ascii="Times New Roman" w:hAnsi="Times New Roman" w:cs="Times New Roman"/>
          <w:sz w:val="24"/>
          <w:szCs w:val="24"/>
        </w:rPr>
        <w:t xml:space="preserve">Además, la institución podría optar por proporcionar capacitación financiera a sus clientes para mejorar su educación financiera y habilidades de gestión, lo que les permitiría tomar decisiones más </w:t>
      </w:r>
      <w:r w:rsidR="00675C2C">
        <w:rPr>
          <w:rFonts w:ascii="Times New Roman" w:hAnsi="Times New Roman" w:cs="Times New Roman"/>
          <w:sz w:val="24"/>
          <w:szCs w:val="24"/>
        </w:rPr>
        <w:t>acertadas</w:t>
      </w:r>
      <w:r w:rsidRPr="00E95D13">
        <w:rPr>
          <w:rFonts w:ascii="Times New Roman" w:hAnsi="Times New Roman" w:cs="Times New Roman"/>
          <w:sz w:val="24"/>
          <w:szCs w:val="24"/>
        </w:rPr>
        <w:t xml:space="preserve"> sobre sus finanzas y mejorar su capacidad para cumplir con sus obligaciones crediticias. En conjunto, estas acciones ayudarían a la institución </w:t>
      </w:r>
      <w:r w:rsidR="00E5074B">
        <w:rPr>
          <w:rFonts w:ascii="Times New Roman" w:hAnsi="Times New Roman" w:cs="Times New Roman"/>
          <w:sz w:val="24"/>
          <w:szCs w:val="24"/>
        </w:rPr>
        <w:t>“XYZ”</w:t>
      </w:r>
      <w:r w:rsidRPr="00E95D13">
        <w:rPr>
          <w:rFonts w:ascii="Times New Roman" w:hAnsi="Times New Roman" w:cs="Times New Roman"/>
          <w:sz w:val="24"/>
          <w:szCs w:val="24"/>
        </w:rPr>
        <w:t xml:space="preserve"> a gestionar de manera más efectiva el riesgo crediticio, mejorar su desempeño financiero y fortalecer su posición en el mercado </w:t>
      </w:r>
      <w:proofErr w:type="spellStart"/>
      <w:r w:rsidRPr="00E95D13">
        <w:rPr>
          <w:rFonts w:ascii="Times New Roman" w:hAnsi="Times New Roman" w:cs="Times New Roman"/>
          <w:sz w:val="24"/>
          <w:szCs w:val="24"/>
        </w:rPr>
        <w:t>microfinanciero</w:t>
      </w:r>
      <w:proofErr w:type="spellEnd"/>
      <w:r w:rsidRPr="00E95D13">
        <w:rPr>
          <w:rFonts w:ascii="Times New Roman" w:hAnsi="Times New Roman" w:cs="Times New Roman"/>
          <w:sz w:val="24"/>
          <w:szCs w:val="24"/>
        </w:rPr>
        <w:t xml:space="preserve"> hondureño.</w:t>
      </w:r>
    </w:p>
    <w:p w14:paraId="3B3671A0" w14:textId="3F254551" w:rsidR="00326A31" w:rsidRPr="00326A31" w:rsidRDefault="00675C2C" w:rsidP="00250CA0">
      <w:pPr>
        <w:widowControl/>
        <w:spacing w:after="160" w:line="360" w:lineRule="auto"/>
        <w:ind w:firstLine="720"/>
        <w:jc w:val="both"/>
        <w:rPr>
          <w:rFonts w:ascii="Times New Roman" w:hAnsi="Times New Roman" w:cs="Times New Roman"/>
          <w:sz w:val="24"/>
          <w:szCs w:val="24"/>
        </w:rPr>
      </w:pPr>
      <w:r>
        <w:rPr>
          <w:rFonts w:ascii="Times New Roman" w:hAnsi="Times New Roman" w:cs="Times New Roman"/>
          <w:sz w:val="24"/>
          <w:szCs w:val="24"/>
        </w:rPr>
        <w:lastRenderedPageBreak/>
        <w:t xml:space="preserve">Este estudio se enfoca en identificar y </w:t>
      </w:r>
      <w:r w:rsidR="00326A31" w:rsidRPr="00326A31">
        <w:rPr>
          <w:rFonts w:ascii="Times New Roman" w:hAnsi="Times New Roman" w:cs="Times New Roman"/>
          <w:sz w:val="24"/>
          <w:szCs w:val="24"/>
        </w:rPr>
        <w:t xml:space="preserve">comprender los riesgos financieros a los que se enfrenta la institución microfinanciera </w:t>
      </w:r>
      <w:r w:rsidR="00E5074B">
        <w:rPr>
          <w:rFonts w:ascii="Times New Roman" w:hAnsi="Times New Roman" w:cs="Times New Roman"/>
          <w:sz w:val="24"/>
          <w:szCs w:val="24"/>
        </w:rPr>
        <w:t>“XYZ”</w:t>
      </w:r>
      <w:r w:rsidR="00326A31" w:rsidRPr="00326A31">
        <w:rPr>
          <w:rFonts w:ascii="Times New Roman" w:hAnsi="Times New Roman" w:cs="Times New Roman"/>
          <w:sz w:val="24"/>
          <w:szCs w:val="24"/>
        </w:rPr>
        <w:t>. La morosidad en la cartera de crédito es un indicador clave de la calidad de los activos de la institución y puede revelar posibles problemas en la gestión del riesgo crediticio, la salud financiera de los prestatarios y las condiciones económicas y sociales en las que operan.</w:t>
      </w:r>
    </w:p>
    <w:p w14:paraId="20731A2C" w14:textId="3DC1AEC2" w:rsidR="00326A31" w:rsidRDefault="00552804" w:rsidP="00552804">
      <w:pPr>
        <w:widowControl/>
        <w:spacing w:after="160" w:line="360" w:lineRule="auto"/>
        <w:ind w:firstLine="720"/>
        <w:jc w:val="both"/>
        <w:rPr>
          <w:rFonts w:ascii="Times New Roman" w:hAnsi="Times New Roman" w:cs="Times New Roman"/>
          <w:sz w:val="24"/>
          <w:szCs w:val="24"/>
        </w:rPr>
      </w:pPr>
      <w:r>
        <w:rPr>
          <w:rFonts w:ascii="Times New Roman" w:hAnsi="Times New Roman" w:cs="Times New Roman"/>
          <w:sz w:val="24"/>
          <w:szCs w:val="24"/>
        </w:rPr>
        <w:t>De igual forma, la s</w:t>
      </w:r>
      <w:r w:rsidR="00326A31" w:rsidRPr="00326A31">
        <w:rPr>
          <w:rFonts w:ascii="Times New Roman" w:hAnsi="Times New Roman" w:cs="Times New Roman"/>
          <w:sz w:val="24"/>
          <w:szCs w:val="24"/>
        </w:rPr>
        <w:t>ostenibilidad institucional</w:t>
      </w:r>
      <w:r>
        <w:rPr>
          <w:rFonts w:ascii="Times New Roman" w:hAnsi="Times New Roman" w:cs="Times New Roman"/>
          <w:sz w:val="24"/>
          <w:szCs w:val="24"/>
        </w:rPr>
        <w:t xml:space="preserve"> se ve afectada por l</w:t>
      </w:r>
      <w:r w:rsidR="00326A31" w:rsidRPr="00326A31">
        <w:rPr>
          <w:rFonts w:ascii="Times New Roman" w:hAnsi="Times New Roman" w:cs="Times New Roman"/>
          <w:sz w:val="24"/>
          <w:szCs w:val="24"/>
        </w:rPr>
        <w:t xml:space="preserve">a morosidad en la cartera de crédito </w:t>
      </w:r>
      <w:r>
        <w:rPr>
          <w:rFonts w:ascii="Times New Roman" w:hAnsi="Times New Roman" w:cs="Times New Roman"/>
          <w:sz w:val="24"/>
          <w:szCs w:val="24"/>
        </w:rPr>
        <w:t xml:space="preserve">debido a que </w:t>
      </w:r>
      <w:r w:rsidR="00326A31" w:rsidRPr="00326A31">
        <w:rPr>
          <w:rFonts w:ascii="Times New Roman" w:hAnsi="Times New Roman" w:cs="Times New Roman"/>
          <w:sz w:val="24"/>
          <w:szCs w:val="24"/>
        </w:rPr>
        <w:t xml:space="preserve">puede amenazar la estabilidad y la sostenibilidad a largo plazo de la institución microfinanciera </w:t>
      </w:r>
      <w:r w:rsidR="00E5074B">
        <w:rPr>
          <w:rFonts w:ascii="Times New Roman" w:hAnsi="Times New Roman" w:cs="Times New Roman"/>
          <w:sz w:val="24"/>
          <w:szCs w:val="24"/>
        </w:rPr>
        <w:t>“XYZ”</w:t>
      </w:r>
      <w:r w:rsidR="00326A31" w:rsidRPr="00326A31">
        <w:rPr>
          <w:rFonts w:ascii="Times New Roman" w:hAnsi="Times New Roman" w:cs="Times New Roman"/>
          <w:sz w:val="24"/>
          <w:szCs w:val="24"/>
        </w:rPr>
        <w:t xml:space="preserve">. Los préstamos </w:t>
      </w:r>
      <w:r>
        <w:rPr>
          <w:rFonts w:ascii="Times New Roman" w:hAnsi="Times New Roman" w:cs="Times New Roman"/>
          <w:sz w:val="24"/>
          <w:szCs w:val="24"/>
        </w:rPr>
        <w:t>impagos</w:t>
      </w:r>
      <w:r w:rsidR="00326A31" w:rsidRPr="00326A31">
        <w:rPr>
          <w:rFonts w:ascii="Times New Roman" w:hAnsi="Times New Roman" w:cs="Times New Roman"/>
          <w:sz w:val="24"/>
          <w:szCs w:val="24"/>
        </w:rPr>
        <w:t xml:space="preserve"> afectan negativamente los ingresos y la liquidez de la institución, lo que puede dificultar su capacidad para cumplir con sus obligaciones financieras, expandir sus operaciones y proporcionar servicios financieros a sus clientes de manera sostenible.</w:t>
      </w:r>
    </w:p>
    <w:p w14:paraId="29518125" w14:textId="006FFD41" w:rsidR="00E95D13" w:rsidRPr="00E95D13" w:rsidRDefault="00E95D13" w:rsidP="00D80F78">
      <w:pPr>
        <w:widowControl/>
        <w:spacing w:after="160" w:line="360" w:lineRule="auto"/>
        <w:ind w:firstLine="720"/>
        <w:jc w:val="both"/>
        <w:rPr>
          <w:rFonts w:ascii="Times New Roman" w:hAnsi="Times New Roman" w:cs="Times New Roman"/>
          <w:sz w:val="24"/>
          <w:szCs w:val="24"/>
        </w:rPr>
      </w:pPr>
      <w:r w:rsidRPr="00E95D13">
        <w:rPr>
          <w:rFonts w:ascii="Times New Roman" w:hAnsi="Times New Roman" w:cs="Times New Roman"/>
          <w:sz w:val="24"/>
          <w:szCs w:val="24"/>
        </w:rPr>
        <w:t xml:space="preserve">Al analizar los parámetros mencionados, incluida la morosidad en la cartera de crédito, la institución </w:t>
      </w:r>
      <w:r w:rsidR="00E5074B">
        <w:rPr>
          <w:rFonts w:ascii="Times New Roman" w:hAnsi="Times New Roman" w:cs="Times New Roman"/>
          <w:sz w:val="24"/>
          <w:szCs w:val="24"/>
        </w:rPr>
        <w:t>“XYZ”</w:t>
      </w:r>
      <w:r w:rsidRPr="00E95D13">
        <w:rPr>
          <w:rFonts w:ascii="Times New Roman" w:hAnsi="Times New Roman" w:cs="Times New Roman"/>
          <w:sz w:val="24"/>
          <w:szCs w:val="24"/>
        </w:rPr>
        <w:t xml:space="preserve"> puede identificar áreas de mejora en sus políticas, procesos y prácticas relacionadas con la gestión del riesgo crediticio. Esto podría implicar la revisión de los criterios de otorgamiento de crédito para asegurar una evaluación más precisa de la capacidad de pago de los clientes, el fortalecimiento de los procesos de evaluación de riesgos para identificar posibles riesgos de manera temprana, y la implementación de estrategias de cobranza más efectivas para reducir los niveles de morosidad.</w:t>
      </w:r>
    </w:p>
    <w:p w14:paraId="3E3014B9" w14:textId="62FD4A11" w:rsidR="003E7358" w:rsidRDefault="003E7358" w:rsidP="00E95D13">
      <w:pPr>
        <w:widowControl/>
        <w:spacing w:after="160" w:line="360" w:lineRule="auto"/>
        <w:ind w:firstLine="720"/>
        <w:jc w:val="both"/>
        <w:rPr>
          <w:rFonts w:ascii="Times New Roman" w:hAnsi="Times New Roman" w:cs="Times New Roman"/>
          <w:sz w:val="24"/>
          <w:szCs w:val="24"/>
        </w:rPr>
      </w:pPr>
      <w:r w:rsidRPr="00346C5C">
        <w:br w:type="page"/>
      </w:r>
    </w:p>
    <w:p w14:paraId="6E7B259D" w14:textId="57798C03" w:rsidR="00210E95" w:rsidRDefault="003E7358" w:rsidP="00DA00DB">
      <w:pPr>
        <w:pStyle w:val="Ttulo1"/>
        <w:spacing w:before="0" w:after="120" w:line="360" w:lineRule="auto"/>
      </w:pPr>
      <w:bookmarkStart w:id="52" w:name="_Toc474331182"/>
      <w:bookmarkStart w:id="53" w:name="_Toc474331381"/>
      <w:bookmarkStart w:id="54" w:name="_Toc166705753"/>
      <w:bookmarkStart w:id="55" w:name="_Toc175171355"/>
      <w:r>
        <w:lastRenderedPageBreak/>
        <w:t>CAPÍTULO II. MARCO TEÓRICO</w:t>
      </w:r>
      <w:bookmarkEnd w:id="52"/>
      <w:bookmarkEnd w:id="53"/>
      <w:bookmarkEnd w:id="54"/>
      <w:bookmarkEnd w:id="55"/>
    </w:p>
    <w:p w14:paraId="42BD6C7F" w14:textId="3798B61A" w:rsidR="008D48FB" w:rsidRDefault="008D48FB" w:rsidP="00E5074B">
      <w:pPr>
        <w:pStyle w:val="TextoPrincipal"/>
        <w:spacing w:line="360" w:lineRule="auto"/>
      </w:pPr>
      <w:r>
        <w:t xml:space="preserve">Este componente es esencial debido a que proporciona una estructura conceptual que guía la exploración y el análisis de un tema específico. En este sentido, el presente capítulo destaca la relevancia en el contexto actual y desglosa </w:t>
      </w:r>
      <w:r w:rsidR="004C1518">
        <w:t>un</w:t>
      </w:r>
      <w:r>
        <w:t xml:space="preserve"> análisis en cuatro componentes fundamentales: análisis de la situación actual, conceptualización, teorías de sustento y marco legal.</w:t>
      </w:r>
    </w:p>
    <w:p w14:paraId="5D6F7711" w14:textId="77777777" w:rsidR="00C476A4" w:rsidRDefault="008D48FB" w:rsidP="00E5074B">
      <w:pPr>
        <w:pStyle w:val="TextoPrincipal"/>
        <w:spacing w:line="360" w:lineRule="auto"/>
      </w:pPr>
      <w:r>
        <w:t>A través del análisis de la situación actual, se realizará una evaluación exhaustiva de los factores contextuales que influyen en el tema en estudio, identificando desafíos, oportunidades y tendencias relevantes. La conceptualización permitirá establecer definiciones claras y precisas de los conceptos clave asociados, proporcionando un marco de referencia común para el análisis subsiguiente. Las teorías de sustento, por su parte, ofrecerán perspectivas teóricas y modelos explicativos que ayudarán a profundizar en la comprensión del fenómeno estudiado, enriqueciendo el análisis con puntos de vista provenientes de diversas disciplinas y enfoques metodológicos.</w:t>
      </w:r>
      <w:r w:rsidR="00C476A4">
        <w:t xml:space="preserve"> </w:t>
      </w:r>
    </w:p>
    <w:p w14:paraId="6CFD3630" w14:textId="5FAC7C87" w:rsidR="00C60C08" w:rsidRDefault="008D48FB" w:rsidP="00E5074B">
      <w:pPr>
        <w:pStyle w:val="TextoPrincipal"/>
        <w:spacing w:line="360" w:lineRule="auto"/>
      </w:pPr>
      <w:r>
        <w:t xml:space="preserve">Finalmente, el marco legal se centrará en examinar el entorno normativo y regulatorio que influye en </w:t>
      </w:r>
      <w:r w:rsidR="004C1518" w:rsidRPr="004C1518">
        <w:t>análisis de morosidad en la</w:t>
      </w:r>
      <w:r w:rsidR="004C1518">
        <w:t>s</w:t>
      </w:r>
      <w:r w:rsidR="004C1518" w:rsidRPr="004C1518">
        <w:t xml:space="preserve"> cartera</w:t>
      </w:r>
      <w:r w:rsidR="004C1518">
        <w:t>s</w:t>
      </w:r>
      <w:r w:rsidR="004C1518" w:rsidRPr="004C1518">
        <w:t xml:space="preserve"> de crédito de la</w:t>
      </w:r>
      <w:r w:rsidR="004C1518">
        <w:t>s</w:t>
      </w:r>
      <w:r w:rsidR="004C1518" w:rsidRPr="004C1518">
        <w:t xml:space="preserve"> instituci</w:t>
      </w:r>
      <w:r w:rsidR="004C1518">
        <w:t>o</w:t>
      </w:r>
      <w:r w:rsidR="004C1518" w:rsidRPr="004C1518">
        <w:t>n</w:t>
      </w:r>
      <w:r w:rsidR="004C1518">
        <w:t>es</w:t>
      </w:r>
      <w:r w:rsidR="004C1518" w:rsidRPr="004C1518">
        <w:t xml:space="preserve"> microfinanciera</w:t>
      </w:r>
      <w:r w:rsidR="004C1518">
        <w:t>s</w:t>
      </w:r>
      <w:r w:rsidR="004C1518" w:rsidRPr="004C1518">
        <w:t xml:space="preserve"> en el territorio hondureño</w:t>
      </w:r>
      <w:r w:rsidR="00C476A4">
        <w:t xml:space="preserve">, </w:t>
      </w:r>
      <w:r>
        <w:t>destacando leyes, regulaciones y políticas relevantes que tienen un impacto directo en su desarrollo y operación.</w:t>
      </w:r>
    </w:p>
    <w:p w14:paraId="5946CE38" w14:textId="77777777" w:rsidR="005C6FA8" w:rsidRPr="005C6FA8" w:rsidRDefault="005C6FA8" w:rsidP="005C6FA8">
      <w:pPr>
        <w:pStyle w:val="TextoPrincipal"/>
        <w:spacing w:line="360" w:lineRule="auto"/>
      </w:pPr>
    </w:p>
    <w:p w14:paraId="3AFC5E2B" w14:textId="6D908183" w:rsidR="00E5014D" w:rsidRDefault="00A55A1C" w:rsidP="00A55A1C">
      <w:pPr>
        <w:pStyle w:val="Ttulo2"/>
        <w:numPr>
          <w:ilvl w:val="1"/>
          <w:numId w:val="6"/>
        </w:numPr>
        <w:spacing w:line="360" w:lineRule="auto"/>
        <w:ind w:left="0" w:firstLine="0"/>
      </w:pPr>
      <w:bookmarkStart w:id="56" w:name="_Toc474331183"/>
      <w:bookmarkStart w:id="57" w:name="_Toc474331382"/>
      <w:r>
        <w:t xml:space="preserve"> </w:t>
      </w:r>
      <w:bookmarkStart w:id="58" w:name="_Toc166705754"/>
      <w:bookmarkStart w:id="59" w:name="_Toc175171356"/>
      <w:r w:rsidR="00BE6D1A" w:rsidRPr="003E7358">
        <w:t>ANÁLISIS DE LA SITUACI</w:t>
      </w:r>
      <w:r w:rsidR="00BE6D1A">
        <w:t>ÓN ACTUAL</w:t>
      </w:r>
      <w:bookmarkEnd w:id="56"/>
      <w:bookmarkEnd w:id="57"/>
      <w:r w:rsidR="00BE6D1A">
        <w:t>.</w:t>
      </w:r>
      <w:bookmarkEnd w:id="58"/>
      <w:bookmarkEnd w:id="59"/>
    </w:p>
    <w:p w14:paraId="22B6434C" w14:textId="3C6F26FB" w:rsidR="00C60C08" w:rsidRDefault="004918FD" w:rsidP="00C53191">
      <w:pPr>
        <w:pStyle w:val="TextoPrincipal"/>
        <w:spacing w:line="360" w:lineRule="auto"/>
      </w:pPr>
      <w:r>
        <w:t xml:space="preserve">En esta sección se realiza una exhaustiva descripción y análisis crítico del estado del arte, con el objetivo de obtener una visión integral de la situación actual relacionada con el tema de investigación. Se examinan datos relevantes, estadísticas, eventos actuales y tendencias que contextualizan la problemática. Este análisis se divide en </w:t>
      </w:r>
      <w:r w:rsidR="00C53191">
        <w:t>tres</w:t>
      </w:r>
      <w:r>
        <w:t xml:space="preserve"> partes: el macroentorno</w:t>
      </w:r>
      <w:r w:rsidR="00C53191">
        <w:t xml:space="preserve">, </w:t>
      </w:r>
      <w:r>
        <w:t>el microentorno</w:t>
      </w:r>
      <w:r w:rsidR="00C53191">
        <w:t xml:space="preserve"> y el análisis interno de la empresa</w:t>
      </w:r>
      <w:r>
        <w:t>. En el macroentorno se consideran factores externos de amplio alcance que influyen en el tema de estudio, mientras que en el microentorno se examinan aspectos más específicos y directamente relacionados con la investigación.</w:t>
      </w:r>
      <w:r w:rsidR="00C53191">
        <w:t xml:space="preserve"> En cuanto al análisis interno, este consiste en mostrar datos específicos y relevantes sobre información general y situación de la empresa.</w:t>
      </w:r>
    </w:p>
    <w:p w14:paraId="27BB8365" w14:textId="77777777" w:rsidR="005C6FA8" w:rsidRDefault="005C6FA8" w:rsidP="00C53191">
      <w:pPr>
        <w:pStyle w:val="TextoPrincipal"/>
        <w:spacing w:line="360" w:lineRule="auto"/>
      </w:pPr>
    </w:p>
    <w:p w14:paraId="5F36E50C" w14:textId="0DBC68D5" w:rsidR="00011C92" w:rsidRPr="00011C92" w:rsidRDefault="00011C92" w:rsidP="00A55A1C">
      <w:pPr>
        <w:pStyle w:val="Ttulo3"/>
        <w:spacing w:before="0" w:line="360" w:lineRule="auto"/>
        <w:ind w:left="0" w:firstLine="720"/>
      </w:pPr>
      <w:bookmarkStart w:id="60" w:name="_Toc166705755"/>
      <w:bookmarkStart w:id="61" w:name="_Toc175171357"/>
      <w:r w:rsidRPr="00011C92">
        <w:lastRenderedPageBreak/>
        <w:t>2.1.1. MACROENTORNO</w:t>
      </w:r>
      <w:bookmarkEnd w:id="60"/>
      <w:bookmarkEnd w:id="61"/>
    </w:p>
    <w:p w14:paraId="4052031C" w14:textId="17220FA2" w:rsidR="006E26B3" w:rsidRDefault="006E26B3" w:rsidP="00A94B2A">
      <w:pPr>
        <w:pStyle w:val="TextoPrincipal"/>
        <w:spacing w:line="360" w:lineRule="auto"/>
      </w:pPr>
      <w:r w:rsidRPr="006E26B3">
        <w:t>El entorno</w:t>
      </w:r>
      <w:r w:rsidR="0004058D">
        <w:t xml:space="preserve"> </w:t>
      </w:r>
      <w:r w:rsidRPr="006E26B3">
        <w:t xml:space="preserve">financiero desempeña un papel crucial en la gestión y el rendimiento de las instituciones microfinancieras, especialmente en lo que respecta a la morosidad en su cartera de crédito. </w:t>
      </w:r>
      <w:r w:rsidR="0004058D">
        <w:t>Diversas</w:t>
      </w:r>
      <w:r w:rsidR="002C65B6">
        <w:t xml:space="preserve"> </w:t>
      </w:r>
      <w:r w:rsidRPr="006E26B3">
        <w:t>variables económicas y financieras tienen el potencial de influir significativamente en el comportamiento de los clientes y, por ende, en la capacidad de estos para cumplir con sus obligaciones crediticias.</w:t>
      </w:r>
    </w:p>
    <w:p w14:paraId="61BEE4D6" w14:textId="7566FF36" w:rsidR="005248C9" w:rsidRDefault="005248C9" w:rsidP="005248C9">
      <w:pPr>
        <w:pStyle w:val="TextoPrincipal"/>
        <w:spacing w:line="240" w:lineRule="auto"/>
        <w:ind w:left="720" w:firstLine="0"/>
      </w:pPr>
      <w:r w:rsidRPr="009A43D5">
        <w:rPr>
          <w:sz w:val="22"/>
          <w:szCs w:val="22"/>
          <w:lang w:eastAsia="de-DE"/>
        </w:rPr>
        <w:t xml:space="preserve">Las microfinanzas se han caracterizado por su participación positiva en el crecimiento de las sociedades. Dentro de sus productos o servicios financieros destacan los microcréditos, los cuales son préstamos orientados a personas o sectores que, por sus características o estado de insolvencia, normalmente son excluidos del sistema financiero tradicional. </w:t>
      </w:r>
      <w:r w:rsidRPr="009A43D5">
        <w:rPr>
          <w:sz w:val="22"/>
          <w:szCs w:val="22"/>
          <w:lang w:eastAsia="de-DE"/>
        </w:rPr>
        <w:fldChar w:fldCharType="begin"/>
      </w:r>
      <w:r w:rsidR="000F6563">
        <w:rPr>
          <w:sz w:val="22"/>
          <w:szCs w:val="22"/>
          <w:lang w:eastAsia="de-DE"/>
        </w:rPr>
        <w:instrText xml:space="preserve"> ADDIN ZOTERO_ITEM CSL_CITATION {"citationID":"pnwdnuir","properties":{"formattedCitation":"(S\\uc0\\u225{}nchez Retana, 2019, p. 2)","plainCitation":"(Sánchez Retana, 2019, p. 2)","noteIndex":0},"citationItems":[{"id":60,"uris":["http://zotero.org/users/13562074/items/7GQ7XKRU"],"itemData":{"id":60,"type":"article-magazine","ISSN":"2215-3403","issue":"55","language":"es","page":"1-22","title":"Impacto de los créditos en las ganancias de las microempresas en Costa Rica","volume":"24","author":[{"family":"Sánchez Retana","given":"Carmen"}],"issued":{"date-parts":[["2019",6]]}},"locator":"2","label":"page"}],"schema":"https://github.com/citation-style-language/schema/raw/master/csl-citation.json"} </w:instrText>
      </w:r>
      <w:r w:rsidRPr="009A43D5">
        <w:rPr>
          <w:sz w:val="22"/>
          <w:szCs w:val="22"/>
          <w:lang w:eastAsia="de-DE"/>
        </w:rPr>
        <w:fldChar w:fldCharType="separate"/>
      </w:r>
      <w:r w:rsidRPr="009A43D5">
        <w:rPr>
          <w:sz w:val="22"/>
          <w:szCs w:val="18"/>
        </w:rPr>
        <w:t>(Sánchez Retana, 2019, p. 2)</w:t>
      </w:r>
      <w:r w:rsidRPr="009A43D5">
        <w:rPr>
          <w:sz w:val="22"/>
          <w:szCs w:val="22"/>
          <w:lang w:eastAsia="de-DE"/>
        </w:rPr>
        <w:fldChar w:fldCharType="end"/>
      </w:r>
    </w:p>
    <w:p w14:paraId="67107648" w14:textId="77777777" w:rsidR="005248C9" w:rsidRDefault="005248C9" w:rsidP="005248C9">
      <w:pPr>
        <w:pStyle w:val="Els-NoIndent"/>
        <w:spacing w:line="360" w:lineRule="auto"/>
        <w:ind w:firstLine="720"/>
        <w:rPr>
          <w:sz w:val="24"/>
          <w:szCs w:val="24"/>
          <w:lang w:val="es-HN" w:eastAsia="de-DE"/>
        </w:rPr>
      </w:pPr>
      <w:r>
        <w:rPr>
          <w:sz w:val="24"/>
          <w:szCs w:val="24"/>
          <w:lang w:val="es-HN" w:eastAsia="de-DE"/>
        </w:rPr>
        <w:t>Las microfinancieras</w:t>
      </w:r>
      <w:r w:rsidRPr="009A43D5">
        <w:rPr>
          <w:sz w:val="24"/>
          <w:szCs w:val="24"/>
          <w:lang w:val="es-HN" w:eastAsia="de-DE"/>
        </w:rPr>
        <w:t xml:space="preserve"> juegan un papel vital en la reducción de la pobreza y el fomento de la inclusión financiera al ofrecer préstamos, cuentas de ahorro y otros servicios financieros adaptados a las necesidades de los clientes de bajos ingresos. A través de programas de capacitación y asesoramiento, las microfinancieras también contribuyen al fortalecimiento de capacidades empresariales y al empoderamiento económico de comunidades en </w:t>
      </w:r>
      <w:r>
        <w:rPr>
          <w:sz w:val="24"/>
          <w:szCs w:val="24"/>
          <w:lang w:val="es-HN" w:eastAsia="de-DE"/>
        </w:rPr>
        <w:t>diversos países.</w:t>
      </w:r>
    </w:p>
    <w:p w14:paraId="242F70BC" w14:textId="37342A0A" w:rsidR="00BA5B59" w:rsidRPr="00BA5B59" w:rsidRDefault="00BA5B59" w:rsidP="00BA5B59">
      <w:pPr>
        <w:pStyle w:val="Els-NoIndent"/>
        <w:spacing w:line="360" w:lineRule="auto"/>
        <w:ind w:firstLine="720"/>
        <w:rPr>
          <w:sz w:val="22"/>
          <w:szCs w:val="22"/>
          <w:lang w:val="es-HN" w:eastAsia="de-DE"/>
        </w:rPr>
      </w:pPr>
      <w:r>
        <w:rPr>
          <w:sz w:val="22"/>
          <w:szCs w:val="22"/>
          <w:lang w:val="es-HN" w:eastAsia="de-DE"/>
        </w:rPr>
        <w:t>“</w:t>
      </w:r>
      <w:r w:rsidRPr="00A26389">
        <w:rPr>
          <w:sz w:val="22"/>
          <w:szCs w:val="22"/>
          <w:lang w:val="es-HN" w:eastAsia="de-DE"/>
        </w:rPr>
        <w:t>En este sentido, la implementación de programas de microfinanzas rurales constituye una estrategia para el mejoramiento de las condiciones de vida de las personas en situación de pobreza en el campo, mas no una solución estructural a la misma</w:t>
      </w:r>
      <w:r>
        <w:rPr>
          <w:sz w:val="22"/>
          <w:szCs w:val="22"/>
          <w:lang w:val="es-HN" w:eastAsia="de-DE"/>
        </w:rPr>
        <w:t>”</w:t>
      </w:r>
      <w:r w:rsidRPr="00A26389">
        <w:rPr>
          <w:sz w:val="22"/>
          <w:szCs w:val="22"/>
          <w:lang w:val="es-HN" w:eastAsia="de-DE"/>
        </w:rPr>
        <w:t xml:space="preserve"> </w:t>
      </w:r>
      <w:r w:rsidRPr="00A26389">
        <w:rPr>
          <w:sz w:val="22"/>
          <w:szCs w:val="22"/>
          <w:lang w:val="es-HN" w:eastAsia="de-DE"/>
        </w:rPr>
        <w:fldChar w:fldCharType="begin"/>
      </w:r>
      <w:r w:rsidR="000F6563">
        <w:rPr>
          <w:sz w:val="22"/>
          <w:szCs w:val="22"/>
          <w:lang w:val="es-HN" w:eastAsia="de-DE"/>
        </w:rPr>
        <w:instrText xml:space="preserve"> ADDIN ZOTERO_ITEM CSL_CITATION {"citationID":"lEs1MY0C","properties":{"formattedCitation":"(Ram\\uc0\\u237{}rez Virviescas &amp; Guevara Casta\\uc0\\u241{}eda, 2021, p. 223)","plainCitation":"(Ramírez Virviescas &amp; Guevara Castañeda, 2021, p. 223)","noteIndex":0},"citationItems":[{"id":61,"uris":["http://zotero.org/users/13562074/items/NNLCLSC7"],"itemData":{"id":61,"type":"article-magazine","ISSN":"0120-3053","issue":"71","language":"es","page":"219 - 252","title":"Las microfinanzas rurales  en Colombia y el proceso de  financiarización: un estudio de caso","volume":"40","author":[{"family":"Ramírez Virviescas","given":"Natalia"},{"family":"Guevara Castañeda","given":"Diego"}],"issued":{"date-parts":[["2021",6]]}},"locator":"223","label":"page"}],"schema":"https://github.com/citation-style-language/schema/raw/master/csl-citation.json"} </w:instrText>
      </w:r>
      <w:r w:rsidRPr="00A26389">
        <w:rPr>
          <w:sz w:val="22"/>
          <w:szCs w:val="22"/>
          <w:lang w:val="es-HN" w:eastAsia="de-DE"/>
        </w:rPr>
        <w:fldChar w:fldCharType="separate"/>
      </w:r>
      <w:r w:rsidRPr="00C311D6">
        <w:rPr>
          <w:sz w:val="22"/>
          <w:szCs w:val="18"/>
          <w:lang w:val="es-HN"/>
        </w:rPr>
        <w:t xml:space="preserve">(Ramírez </w:t>
      </w:r>
      <w:proofErr w:type="spellStart"/>
      <w:r w:rsidRPr="00C311D6">
        <w:rPr>
          <w:sz w:val="22"/>
          <w:szCs w:val="18"/>
          <w:lang w:val="es-HN"/>
        </w:rPr>
        <w:t>Virviescas</w:t>
      </w:r>
      <w:proofErr w:type="spellEnd"/>
      <w:r w:rsidRPr="00C311D6">
        <w:rPr>
          <w:sz w:val="22"/>
          <w:szCs w:val="18"/>
          <w:lang w:val="es-HN"/>
        </w:rPr>
        <w:t xml:space="preserve"> &amp; Guevara Castañeda, 2021, p. 223)</w:t>
      </w:r>
      <w:r w:rsidRPr="00A26389">
        <w:rPr>
          <w:sz w:val="22"/>
          <w:szCs w:val="22"/>
          <w:lang w:val="es-HN" w:eastAsia="de-DE"/>
        </w:rPr>
        <w:fldChar w:fldCharType="end"/>
      </w:r>
      <w:r>
        <w:rPr>
          <w:sz w:val="22"/>
          <w:szCs w:val="22"/>
          <w:lang w:val="es-HN" w:eastAsia="de-DE"/>
        </w:rPr>
        <w:t>.</w:t>
      </w:r>
    </w:p>
    <w:p w14:paraId="29579A48" w14:textId="795358E6" w:rsidR="00A37419" w:rsidRDefault="00A37419" w:rsidP="00A37419">
      <w:pPr>
        <w:pStyle w:val="TextoPrincipal"/>
        <w:spacing w:line="360" w:lineRule="auto"/>
      </w:pPr>
      <w:r>
        <w:t>En parte, esta investigación estudia l</w:t>
      </w:r>
      <w:r w:rsidRPr="00CA1F34">
        <w:t>a gestión financiera</w:t>
      </w:r>
      <w:r>
        <w:t xml:space="preserve"> como</w:t>
      </w:r>
      <w:r w:rsidRPr="00CA1F34">
        <w:t xml:space="preserve"> una práctica fundamental para cualquier organización, ya sea una empresa, una institución sin fines de lucro o incluso un hogar. Se trata del proceso de planificación, organización, control y monitoreo de los recursos financieros disponibles para lograr los objetivos establecidos.</w:t>
      </w:r>
    </w:p>
    <w:p w14:paraId="3151E650" w14:textId="688DF75D" w:rsidR="005248C9" w:rsidRDefault="005248C9" w:rsidP="005248C9">
      <w:pPr>
        <w:pStyle w:val="TextoPrincipal"/>
        <w:spacing w:line="360" w:lineRule="auto"/>
      </w:pPr>
      <w:r>
        <w:t>L</w:t>
      </w:r>
      <w:r w:rsidRPr="00CA1F34">
        <w:t>a gestión financiera es un proceso integral que abarca la planificación, el control y la toma de decisiones relacionadas con los recursos financieros de una organización. Al adoptar prácticas sólidas de gestión financiera, las organizaciones pueden mejorar su eficiencia operativa, optimizar su rendimiento financiero y asegurar su sostenibilidad a largo plazo.</w:t>
      </w:r>
    </w:p>
    <w:p w14:paraId="70F8D448" w14:textId="4C3BC70B" w:rsidR="005248C9" w:rsidRPr="00E44183" w:rsidRDefault="005248C9" w:rsidP="005248C9">
      <w:pPr>
        <w:pStyle w:val="Els-NoIndent"/>
        <w:spacing w:line="240" w:lineRule="auto"/>
        <w:ind w:left="720"/>
        <w:rPr>
          <w:sz w:val="24"/>
          <w:szCs w:val="24"/>
          <w:lang w:val="es-HN" w:eastAsia="de-DE"/>
        </w:rPr>
      </w:pPr>
      <w:r w:rsidRPr="00E44183">
        <w:rPr>
          <w:sz w:val="22"/>
          <w:szCs w:val="22"/>
          <w:lang w:val="es-HN" w:eastAsia="de-DE"/>
        </w:rPr>
        <w:t xml:space="preserve">Una buena evaluación crediticia en las instituciones financieras minimiza la posibilidad del no pago del dinero prestado, por ello, estas buscan mejorar su sistema de evaluación, debiendo contar con políticas crediticias claras; la no aplicación de estas políticas dejaría sin respaldo el crédito otorgado. </w:t>
      </w:r>
      <w:r w:rsidRPr="00E44183">
        <w:rPr>
          <w:sz w:val="22"/>
          <w:szCs w:val="22"/>
          <w:lang w:val="es-HN" w:eastAsia="de-DE"/>
        </w:rPr>
        <w:fldChar w:fldCharType="begin"/>
      </w:r>
      <w:r w:rsidR="000F6563">
        <w:rPr>
          <w:sz w:val="22"/>
          <w:szCs w:val="22"/>
          <w:lang w:val="es-HN" w:eastAsia="de-DE"/>
        </w:rPr>
        <w:instrText xml:space="preserve"> ADDIN ZOTERO_ITEM CSL_CITATION {"citationID":"ul678DoP","properties":{"formattedCitation":"(Aguirre Landa et\\uc0\\u160{}al., 2022, p. 635)","plainCitation":"(Aguirre Landa et al., 2022, p. 635)","noteIndex":0},"citationItems":[{"id":62,"uris":["http://zotero.org/users/13562074/items/EZ9GXBJD"],"itemData":{"id":62,"type":"article-magazine","ISSN":"1315-9984","issue":"98","language":"es","page":"634-648","title":"Evaluación del crédito en entidades  microfinancieras peruanas.","author":[{"family":"Aguirre Landa","given":"John Peter"},{"family":"Garro-Aburto","given":"Luzmila Lourdes"},{"family":"Quispe Rupaylla","given":"Rocio Victoria"},{"family":"Cáceres Cayllahua","given":"Elvira"}],"issued":{"date-parts":[["2022"]]}},"locator":"635","label":"page"}],"schema":"https://github.com/citation-style-language/schema/raw/master/csl-citation.json"} </w:instrText>
      </w:r>
      <w:r w:rsidRPr="00E44183">
        <w:rPr>
          <w:sz w:val="22"/>
          <w:szCs w:val="22"/>
          <w:lang w:val="es-HN" w:eastAsia="de-DE"/>
        </w:rPr>
        <w:fldChar w:fldCharType="separate"/>
      </w:r>
      <w:r w:rsidRPr="00C311D6">
        <w:rPr>
          <w:sz w:val="22"/>
          <w:szCs w:val="18"/>
          <w:lang w:val="es-HN"/>
        </w:rPr>
        <w:t>(Aguirre Landa et al., 2022, p. 635)</w:t>
      </w:r>
      <w:r w:rsidRPr="00E44183">
        <w:rPr>
          <w:sz w:val="22"/>
          <w:szCs w:val="22"/>
          <w:lang w:val="es-HN" w:eastAsia="de-DE"/>
        </w:rPr>
        <w:fldChar w:fldCharType="end"/>
      </w:r>
    </w:p>
    <w:p w14:paraId="14F4CE23" w14:textId="77777777" w:rsidR="005248C9" w:rsidRPr="00B909D4" w:rsidRDefault="005248C9" w:rsidP="005248C9">
      <w:pPr>
        <w:pStyle w:val="Els-NoIndent"/>
        <w:spacing w:line="360" w:lineRule="auto"/>
        <w:ind w:firstLine="720"/>
        <w:rPr>
          <w:sz w:val="24"/>
          <w:szCs w:val="24"/>
          <w:lang w:val="es-HN" w:eastAsia="de-DE"/>
        </w:rPr>
      </w:pPr>
      <w:r w:rsidRPr="00E44183">
        <w:rPr>
          <w:sz w:val="24"/>
          <w:szCs w:val="24"/>
          <w:lang w:val="es-HN" w:eastAsia="de-DE"/>
        </w:rPr>
        <w:t xml:space="preserve">Es fundamental que estas políticas sean implementadas de manera coherente y consistente, ya que su no aplicación podría dejar sin respaldo el crédito concedido, comprometiendo así el éxito </w:t>
      </w:r>
      <w:r w:rsidRPr="00E44183">
        <w:rPr>
          <w:sz w:val="24"/>
          <w:szCs w:val="24"/>
          <w:lang w:val="es-HN" w:eastAsia="de-DE"/>
        </w:rPr>
        <w:lastRenderedPageBreak/>
        <w:t xml:space="preserve">y la sostenibilidad de los programas de microfinanzas en las zonas rurales y su impacto en la mejora de las </w:t>
      </w:r>
      <w:r w:rsidRPr="00B909D4">
        <w:rPr>
          <w:sz w:val="24"/>
          <w:szCs w:val="24"/>
          <w:lang w:val="es-HN" w:eastAsia="de-DE"/>
        </w:rPr>
        <w:t>condiciones de vida de las personas en situación de pobreza en dichas áreas.</w:t>
      </w:r>
    </w:p>
    <w:p w14:paraId="0E94D17C" w14:textId="18431D48" w:rsidR="005248C9" w:rsidRDefault="005248C9" w:rsidP="00BA5B59">
      <w:pPr>
        <w:pStyle w:val="Els-NoIndent"/>
        <w:spacing w:line="360" w:lineRule="auto"/>
        <w:ind w:firstLine="720"/>
        <w:rPr>
          <w:sz w:val="24"/>
          <w:szCs w:val="24"/>
          <w:lang w:val="es-HN" w:eastAsia="de-DE"/>
        </w:rPr>
      </w:pPr>
      <w:r w:rsidRPr="00B909D4">
        <w:rPr>
          <w:sz w:val="24"/>
          <w:szCs w:val="24"/>
          <w:lang w:val="es-HN" w:eastAsia="de-DE"/>
        </w:rPr>
        <w:t xml:space="preserve">De acuerdo con </w:t>
      </w:r>
      <w:r>
        <w:rPr>
          <w:sz w:val="24"/>
          <w:szCs w:val="24"/>
          <w:lang w:val="es-HN" w:eastAsia="de-DE"/>
        </w:rPr>
        <w:fldChar w:fldCharType="begin"/>
      </w:r>
      <w:r w:rsidR="000F6563">
        <w:rPr>
          <w:sz w:val="24"/>
          <w:szCs w:val="24"/>
          <w:lang w:val="es-HN" w:eastAsia="de-DE"/>
        </w:rPr>
        <w:instrText xml:space="preserve"> ADDIN ZOTERO_ITEM CSL_CITATION {"citationID":"T5beLD4v","properties":{"formattedCitation":"(Nieto Cuadrado, 2021, p. 39)","plainCitation":"(Nieto Cuadrado, 2021, p. 39)","dontUpdate":true,"noteIndex":0},"citationItems":[{"id":63,"uris":["http://zotero.org/users/13562074/items/ED59UHH6"],"itemData":{"id":63,"type":"article-magazine","ISSN":"1390-5473","issue":"39","language":"es","page":"37-52","title":"Operaciones crediticias de las microempresas en Ecuador,  previo a Emergencia Sanitaria","author":[{"family":"Nieto Cuadrado","given":"Fabricio Xavier"}],"issued":{"date-parts":[["2021",6]]}},"locator":"39","label":"page"}],"schema":"https://github.com/citation-style-language/schema/raw/master/csl-citation.json"} </w:instrText>
      </w:r>
      <w:r>
        <w:rPr>
          <w:sz w:val="24"/>
          <w:szCs w:val="24"/>
          <w:lang w:val="es-HN" w:eastAsia="de-DE"/>
        </w:rPr>
        <w:fldChar w:fldCharType="separate"/>
      </w:r>
      <w:r w:rsidRPr="00C311D6">
        <w:rPr>
          <w:sz w:val="24"/>
          <w:lang w:val="es-HN"/>
        </w:rPr>
        <w:t>Nieto Cuadrado, (2021)</w:t>
      </w:r>
      <w:r>
        <w:rPr>
          <w:sz w:val="24"/>
          <w:szCs w:val="24"/>
          <w:lang w:val="es-HN" w:eastAsia="de-DE"/>
        </w:rPr>
        <w:fldChar w:fldCharType="end"/>
      </w:r>
      <w:r>
        <w:rPr>
          <w:sz w:val="24"/>
          <w:szCs w:val="24"/>
          <w:lang w:val="es-HN" w:eastAsia="de-DE"/>
        </w:rPr>
        <w:t xml:space="preserve"> “</w:t>
      </w:r>
      <w:r w:rsidR="00A37419">
        <w:rPr>
          <w:sz w:val="24"/>
          <w:szCs w:val="24"/>
          <w:lang w:val="es-HN" w:eastAsia="de-DE"/>
        </w:rPr>
        <w:t>E</w:t>
      </w:r>
      <w:r w:rsidRPr="00B909D4">
        <w:rPr>
          <w:sz w:val="24"/>
          <w:szCs w:val="24"/>
          <w:lang w:val="es-HN" w:eastAsia="de-DE"/>
        </w:rPr>
        <w:t>l Índice de Morosidad mide que porción de la cartera improductiva se encuentra en mora. Mientras más baja es la relación es mejor</w:t>
      </w:r>
      <w:r>
        <w:rPr>
          <w:sz w:val="24"/>
          <w:szCs w:val="24"/>
          <w:lang w:val="es-HN" w:eastAsia="de-DE"/>
        </w:rPr>
        <w:t>” (p. 39).</w:t>
      </w:r>
    </w:p>
    <w:p w14:paraId="4786DF8B" w14:textId="36016340" w:rsidR="005248C9" w:rsidRDefault="00BA5B59" w:rsidP="00BA5B59">
      <w:pPr>
        <w:pStyle w:val="TextoPrincipal"/>
        <w:spacing w:line="360" w:lineRule="auto"/>
      </w:pPr>
      <w:r>
        <w:t>La morosidad se refiere al retraso en el pago de una obligación financiera, como un préstamo o una deuda. Un índice de morosidad alto indica que una parte significativa de los préstamos otorgados no se está pagando en tiempo y forma, lo cual puede ser un indicador de riesgo crediticio para la institución financiera.</w:t>
      </w:r>
    </w:p>
    <w:p w14:paraId="3F4A011C" w14:textId="709C49D6" w:rsidR="004536F8" w:rsidRDefault="006E26B3" w:rsidP="00D14C1A">
      <w:pPr>
        <w:pStyle w:val="TextoPrincipal"/>
        <w:spacing w:line="360" w:lineRule="auto"/>
        <w:ind w:firstLine="708"/>
      </w:pPr>
      <w:r>
        <w:fldChar w:fldCharType="begin"/>
      </w:r>
      <w:r w:rsidR="000F6563">
        <w:instrText xml:space="preserve"> ADDIN ZOTERO_ITEM CSL_CITATION {"citationID":"dJxThrjf","properties":{"formattedCitation":"(Rijalba Palacios, 2022)","plainCitation":"(Rijalba Palacios, 2022)","dontUpdate":true,"noteIndex":0},"citationItems":[{"id":21,"uris":["http://zotero.org/users/13562074/items/8PKI3AZY"],"itemData":{"id":21,"type":"document","title":"Microfinanzas, morosidad e inclusión financiera en la provincia de piura, 2000 – 2018","author":[{"family":"Rijalba Palacios","given":"Pablo"}],"issued":{"date-parts":[["2022"]]}}}],"schema":"https://github.com/citation-style-language/schema/raw/master/csl-citation.json"} </w:instrText>
      </w:r>
      <w:r>
        <w:fldChar w:fldCharType="separate"/>
      </w:r>
      <w:proofErr w:type="spellStart"/>
      <w:r w:rsidR="00485398" w:rsidRPr="00485398">
        <w:t>Rijalba</w:t>
      </w:r>
      <w:proofErr w:type="spellEnd"/>
      <w:r w:rsidR="00485398" w:rsidRPr="00485398">
        <w:t xml:space="preserve"> Palacios </w:t>
      </w:r>
      <w:r w:rsidR="004536F8">
        <w:t>(</w:t>
      </w:r>
      <w:r w:rsidR="00485398" w:rsidRPr="00485398">
        <w:t>2022)</w:t>
      </w:r>
      <w:r>
        <w:fldChar w:fldCharType="end"/>
      </w:r>
      <w:r>
        <w:t xml:space="preserve"> ha desarrollado un trabajo </w:t>
      </w:r>
      <w:r w:rsidR="005B5742">
        <w:t>de t</w:t>
      </w:r>
      <w:r w:rsidR="005B5742" w:rsidRPr="005B5742">
        <w:t>esis para optar el grado académico de Doctor en Administración</w:t>
      </w:r>
      <w:r w:rsidR="005B5742">
        <w:t xml:space="preserve"> </w:t>
      </w:r>
      <w:r>
        <w:t xml:space="preserve">denominado “Microfinanzas, morosidad e inclusión financiera en la Provincia de </w:t>
      </w:r>
      <w:r w:rsidR="004536F8">
        <w:t>Piura</w:t>
      </w:r>
      <w:r>
        <w:t>, 2000 – 2018”. En este trabajo de investigación analiza los efectos del dinamismo de las Instituciones Microfinancieras (IMF) de la provincia de Piura en la morosidad y en el proceso de inclusión financiera en el período</w:t>
      </w:r>
      <w:r w:rsidR="00D14C1A">
        <w:t xml:space="preserve">, </w:t>
      </w:r>
      <w:r>
        <w:t>extendiendo el análisis hasta el año 2020 para el contexto micro financiero nacional.</w:t>
      </w:r>
      <w:r w:rsidR="00D14C1A">
        <w:t xml:space="preserve"> </w:t>
      </w:r>
      <w:r w:rsidR="004536F8">
        <w:t>Dentro de sus principales resultados, el autor destaca que las microfinanzas en la provincia de Piura se han visto afectadas por la morosidad observada en las IMF</w:t>
      </w:r>
      <w:r w:rsidR="005B5742">
        <w:t xml:space="preserve"> en el período</w:t>
      </w:r>
      <w:r w:rsidR="00D14C1A">
        <w:t xml:space="preserve"> de estudio</w:t>
      </w:r>
      <w:r w:rsidR="004536F8">
        <w:t xml:space="preserve">. </w:t>
      </w:r>
      <w:r w:rsidR="005B5742">
        <w:t>Las IMF que forman parte de la oferta local de recursos financieros han tenido que construir mecanismos de provisión de servicios financieros, enfrentar asimetrías y particularidades propias de los mercados financieros; y más aún, enfrentar a una demanda de usuarios tradicionalmente excluidos con limitada y/o nula educación financiera, pero también con problemas de cumplimiento a compromisos de pagos y limitaciones para gestionar y/o conducir emprendimientos de manera sostenible.</w:t>
      </w:r>
    </w:p>
    <w:p w14:paraId="3FA0D148" w14:textId="132C21CE" w:rsidR="00905E15" w:rsidRDefault="00BA5B59" w:rsidP="00D14C1A">
      <w:pPr>
        <w:pStyle w:val="TextoPrincipal"/>
        <w:spacing w:line="360" w:lineRule="auto"/>
        <w:ind w:firstLine="708"/>
      </w:pPr>
      <w:r>
        <w:t xml:space="preserve">Por otra parte, en </w:t>
      </w:r>
      <w:r w:rsidR="006E26B3">
        <w:t xml:space="preserve">países como Ecuador, </w:t>
      </w:r>
      <w:r w:rsidR="006E26B3">
        <w:fldChar w:fldCharType="begin"/>
      </w:r>
      <w:r w:rsidR="000F6563">
        <w:instrText xml:space="preserve"> ADDIN ZOTERO_ITEM CSL_CITATION {"citationID":"sWYUTpJ4","properties":{"formattedCitation":"(Soria Manitio, 2021)","plainCitation":"(Soria Manitio, 2021)","dontUpdate":true,"noteIndex":0},"citationItems":[{"id":22,"uris":["http://zotero.org/users/13562074/items/7PWUMZL9"],"itemData":{"id":22,"type":"document","title":"Determinantes de la morosidad en las microempresas en Ecuador: Análisis y  estudio Banco Central","author":[{"family":"Soria Manitio","given":"Nohely Katherine"}],"issued":{"date-parts":[["2021",4,9]]}}}],"schema":"https://github.com/citation-style-language/schema/raw/master/csl-citation.json"} </w:instrText>
      </w:r>
      <w:r w:rsidR="006E26B3">
        <w:fldChar w:fldCharType="separate"/>
      </w:r>
      <w:r w:rsidR="00485398" w:rsidRPr="00485398">
        <w:t xml:space="preserve">Soria </w:t>
      </w:r>
      <w:proofErr w:type="spellStart"/>
      <w:r w:rsidR="00485398" w:rsidRPr="00485398">
        <w:t>Manitio</w:t>
      </w:r>
      <w:proofErr w:type="spellEnd"/>
      <w:r w:rsidR="00485398" w:rsidRPr="00485398">
        <w:t xml:space="preserve"> </w:t>
      </w:r>
      <w:r w:rsidR="00905E15">
        <w:t>(</w:t>
      </w:r>
      <w:r w:rsidR="00485398" w:rsidRPr="00485398">
        <w:t>2021)</w:t>
      </w:r>
      <w:r w:rsidR="006E26B3">
        <w:fldChar w:fldCharType="end"/>
      </w:r>
      <w:r w:rsidR="006E26B3">
        <w:t xml:space="preserve"> ha desarrollado una investigación </w:t>
      </w:r>
      <w:r w:rsidR="000A7605">
        <w:t xml:space="preserve">de los Determinantes de la </w:t>
      </w:r>
      <w:r w:rsidR="00D14C1A">
        <w:t>M</w:t>
      </w:r>
      <w:r w:rsidR="000A7605">
        <w:t xml:space="preserve">orosidad en las </w:t>
      </w:r>
      <w:r w:rsidR="00D14C1A">
        <w:t>M</w:t>
      </w:r>
      <w:r w:rsidR="000A7605">
        <w:t>icroempresas en Ecuador, donde también analiza y estudia al Banco Central de ese país. El objetivo en su investigación fue identificar las determinantes que causan morosidad en las entidades financieras, esencialmente aquellos sectores financieros que han sido afectados de manera drástica.</w:t>
      </w:r>
      <w:r w:rsidR="00D14C1A">
        <w:t xml:space="preserve"> </w:t>
      </w:r>
      <w:r w:rsidR="00905E15">
        <w:t xml:space="preserve">En su estudio, ella resalta que el sector microempresarial siempre será la base fundamental en el desarrollo de una nación, sin </w:t>
      </w:r>
      <w:r w:rsidR="00245144">
        <w:t>embargo,</w:t>
      </w:r>
      <w:r w:rsidR="00905E15">
        <w:t xml:space="preserve"> en base a los resultados expuestos las entidades financieras deben prestar atención a este sector que impulsa la economía, por otro </w:t>
      </w:r>
      <w:r w:rsidR="00245144">
        <w:t>lado,</w:t>
      </w:r>
      <w:r w:rsidR="00905E15">
        <w:t xml:space="preserve"> siempre existirá factores micro o </w:t>
      </w:r>
      <w:r w:rsidR="00245144">
        <w:t>macroeconómicos</w:t>
      </w:r>
      <w:r w:rsidR="00905E15">
        <w:t xml:space="preserve"> que afecten de manera relativa la morosidad en las microempresas y con ello perturbando la salud financiera de las entidades financieras.</w:t>
      </w:r>
    </w:p>
    <w:p w14:paraId="51651290" w14:textId="03328089" w:rsidR="00245144" w:rsidRDefault="00BA5B59" w:rsidP="00245144">
      <w:pPr>
        <w:pStyle w:val="TextoPrincipal"/>
        <w:spacing w:line="360" w:lineRule="auto"/>
        <w:ind w:firstLine="708"/>
      </w:pPr>
      <w:r>
        <w:lastRenderedPageBreak/>
        <w:t>L</w:t>
      </w:r>
      <w:r w:rsidR="00245144">
        <w:t>os niveles de inflación impactan en el poder adquisitivo de los consumidores y en la estabilidad de los precios. Una inflación alta puede erosionar el valor real de los ingresos y aumentar el costo de vida, lo que puede dificultar que los prestatarios cumplan con sus compromisos financieros.</w:t>
      </w:r>
    </w:p>
    <w:p w14:paraId="1117D308" w14:textId="531B40EC" w:rsidR="00245144" w:rsidRDefault="00245144" w:rsidP="00245144">
      <w:pPr>
        <w:pStyle w:val="TextoPrincipal"/>
        <w:spacing w:line="360" w:lineRule="auto"/>
        <w:ind w:firstLine="708"/>
      </w:pPr>
      <w:r w:rsidRPr="00245144">
        <w:t xml:space="preserve">Los prestatarios pueden encontrarse en una situación en la que los ingresos no aumentan lo suficiente para compensar el aumento en el costo de vida, lo que dificulta aún más cumplir con los pagos de los préstamos. Además, una inflación alta puede llevar a políticas monetarias más restrictivas por parte de los bancos centrales para controlarla, lo que a su vez puede aumentar las tasas de interés y hacer que los préstamos sean más costosos, </w:t>
      </w:r>
      <w:r>
        <w:t>elevando</w:t>
      </w:r>
      <w:r w:rsidRPr="00245144">
        <w:t xml:space="preserve"> así la carga financiera de los prestatarios.</w:t>
      </w:r>
    </w:p>
    <w:p w14:paraId="14323EE3" w14:textId="75187A3A" w:rsidR="000A7605" w:rsidRDefault="000A7605" w:rsidP="000A7605">
      <w:pPr>
        <w:pStyle w:val="TextoPrincipal"/>
        <w:spacing w:line="360" w:lineRule="auto"/>
        <w:ind w:firstLine="708"/>
      </w:pPr>
      <w:r>
        <w:fldChar w:fldCharType="begin"/>
      </w:r>
      <w:r w:rsidR="000F6563">
        <w:instrText xml:space="preserve"> ADDIN ZOTERO_ITEM CSL_CITATION {"citationID":"NXu3qn1p","properties":{"formattedCitation":"(Franco Gonz\\uc0\\u225{}lez &amp; Franco Gonz\\uc0\\u225{}lez, 2022)","plainCitation":"(Franco González &amp; Franco González, 2022)","dontUpdate":true,"noteIndex":0},"citationItems":[{"id":23,"uris":["http://zotero.org/users/13562074/items/MUEVH9N9"],"itemData":{"id":23,"type":"document","title":"Plan de Acción para minimizar la morosidad en las Microfinancieras en el Mercado  Colombiano.","author":[{"family":"Franco González","given":"Jonathan Fabián"},{"family":"Franco González","given":"Sebastián"}],"issued":{"date-parts":[["2022",12]]}}}],"schema":"https://github.com/citation-style-language/schema/raw/master/csl-citation.json"} </w:instrText>
      </w:r>
      <w:r>
        <w:fldChar w:fldCharType="separate"/>
      </w:r>
      <w:r w:rsidRPr="000A7605">
        <w:t xml:space="preserve">Franco González &amp; Franco González, </w:t>
      </w:r>
      <w:r>
        <w:t>(</w:t>
      </w:r>
      <w:r w:rsidRPr="000A7605">
        <w:t>2022)</w:t>
      </w:r>
      <w:r>
        <w:fldChar w:fldCharType="end"/>
      </w:r>
      <w:r>
        <w:t xml:space="preserve"> en Colombia han desarrollado un estudio </w:t>
      </w:r>
      <w:r w:rsidR="00245144">
        <w:t xml:space="preserve">transversal </w:t>
      </w:r>
      <w:r>
        <w:t xml:space="preserve">donde proponen la implementación de un Plan de Acción para minimizar la morosidad en las Microfinancieras en el Mercado Colombiano. Esta investigación se constituyó a partir de la importancia de proponer un plan de acción que minimice el impacto de la morosidad para las microfinancieras, el cual permitía mitigar aquellas debilidades </w:t>
      </w:r>
      <w:r w:rsidR="00245144">
        <w:t xml:space="preserve">y amenazas </w:t>
      </w:r>
      <w:r>
        <w:t>que pueden poner en crisis su crecimiento y permanencia en el mercado y potenciar las fortalezas que la economía puede atribuirles en la actualidad.</w:t>
      </w:r>
    </w:p>
    <w:p w14:paraId="44F9F71B" w14:textId="7017660E" w:rsidR="00245144" w:rsidRDefault="00245144" w:rsidP="000A7605">
      <w:pPr>
        <w:pStyle w:val="TextoPrincipal"/>
        <w:spacing w:line="360" w:lineRule="auto"/>
        <w:ind w:firstLine="708"/>
      </w:pPr>
      <w:r>
        <w:t xml:space="preserve">Como bien sabemos, una forma de reducir la inflación es elevando las tasas de interés de los créditos bancarios, en este sentido; ellos rescatan que el establecimiento de una tasa de interés elevada ha generado gran controversia, pues se acusa de afectar negativamente a los clientes de este mercado. </w:t>
      </w:r>
      <w:r w:rsidR="00A23699">
        <w:t>El a</w:t>
      </w:r>
      <w:r>
        <w:t>nálisis del mercado global ha mostrado que los microcréditos son mucho más exitosos con los prestatarios que ya tienen algunas competencias y un nivel de educación básico, respecto a aquellas personas de recursos escasos y que, en muchos casos, carecen de habilidades empresariales y experiencia en el manejo de montos más grandes de dinero</w:t>
      </w:r>
      <w:r w:rsidR="00A23699">
        <w:t>.</w:t>
      </w:r>
    </w:p>
    <w:p w14:paraId="0FC915B4" w14:textId="3791E6C7" w:rsidR="00A23699" w:rsidRDefault="00A23699" w:rsidP="000A7605">
      <w:pPr>
        <w:pStyle w:val="TextoPrincipal"/>
        <w:spacing w:line="360" w:lineRule="auto"/>
        <w:ind w:firstLine="708"/>
      </w:pPr>
      <w:r>
        <w:t xml:space="preserve">Otro dato importante en su investigación es el resultado donde se observa la manera en la cual cada vez más personas han tenido la oportunidad de acceder a la banca, así como también se ve la forma en la cual la cartera de crédito se incrementa cada año alcanzando una participación más grande dentro del total de la cartera del sistema financiero, presentando unos indicadores de cartera vencida que muestran un comportamiento estable y unas entidades financieras cada vez más conscientes de la responsabilidad frente al riesgo implícito y más cuidadosas en el momento </w:t>
      </w:r>
      <w:r>
        <w:lastRenderedPageBreak/>
        <w:t>de analizar y aprobar las operaciones de crédito, sobre todo en temas como el sobreendeudamiento y la capacidad de pago, factores que además se han convertido en las principales barreras de acceso.</w:t>
      </w:r>
    </w:p>
    <w:p w14:paraId="60FF4E34" w14:textId="44BDEEB2" w:rsidR="003C6157" w:rsidRDefault="003C6157" w:rsidP="000A7605">
      <w:pPr>
        <w:pStyle w:val="TextoPrincipal"/>
        <w:spacing w:line="360" w:lineRule="auto"/>
        <w:ind w:firstLine="708"/>
      </w:pPr>
      <w:r>
        <w:fldChar w:fldCharType="begin"/>
      </w:r>
      <w:r w:rsidR="000F6563">
        <w:instrText xml:space="preserve"> ADDIN ZOTERO_ITEM CSL_CITATION {"citationID":"ZaEFDcQ7","properties":{"formattedCitation":"(Vega Hern\\uc0\\u225{}ndez et\\uc0\\u160{}al., 2023, p. 20)","plainCitation":"(Vega Hernández et al., 2023, p. 20)","dontUpdate":true,"noteIndex":0},"citationItems":[{"id":68,"uris":["http://zotero.org/users/13562074/items/ZRN3JLKM"],"itemData":{"id":68,"type":"document","language":"es","title":"Determinantes del uso de crédito de los hogares  mexicanos: un análisis simultáneo por tipo de  instrumento","author":[{"family":"Vega Hernández","given":"José Ignacio"},{"family":"Moreno Treviño","given":"Jorge Omar"},{"family":"Farfán Pérez","given":"Lianet"}],"issued":{"date-parts":[["2023",11]]}},"locator":"20","label":"page"}],"schema":"https://github.com/citation-style-language/schema/raw/master/csl-citation.json"} </w:instrText>
      </w:r>
      <w:r>
        <w:fldChar w:fldCharType="separate"/>
      </w:r>
      <w:r w:rsidRPr="003C6157">
        <w:t xml:space="preserve">Vega Hernández et al., </w:t>
      </w:r>
      <w:r>
        <w:t>(</w:t>
      </w:r>
      <w:r w:rsidRPr="003C6157">
        <w:t>2023</w:t>
      </w:r>
      <w:r>
        <w:t>),</w:t>
      </w:r>
      <w:r w:rsidRPr="003C6157">
        <w:t xml:space="preserve"> </w:t>
      </w:r>
      <w:r>
        <w:fldChar w:fldCharType="end"/>
      </w:r>
      <w:r>
        <w:t xml:space="preserve">en su estudio </w:t>
      </w:r>
      <w:r w:rsidR="00D80DC4">
        <w:t>“Determinantes del uso de crédito de los hogares mexicanos: un análisis simultáneo por tipo de instrumento”,</w:t>
      </w:r>
      <w:r>
        <w:t xml:space="preserve"> manifiesta </w:t>
      </w:r>
      <w:r w:rsidR="00D80DC4">
        <w:t>que e</w:t>
      </w:r>
      <w:r>
        <w:t xml:space="preserve">l acceso a crédito formal, si bien suele ser más caro, aporta estabilidad a los que acceden a </w:t>
      </w:r>
      <w:r w:rsidR="00D80DC4">
        <w:t>él</w:t>
      </w:r>
      <w:r>
        <w:t>, protegiendo a los individuos frente a situaciones de incertidumbre, así como incrementa las oportunidades de inversión y crecimiento. Por tanto, es necesario generar políticas públicas que fomenten la inclusión financiera, sobre todo para los hogares de menores ingresos, ya que esto puede ayudarlos a incrementar su bienestar. (p. 20)</w:t>
      </w:r>
    </w:p>
    <w:p w14:paraId="0FDD38D1" w14:textId="734202A7" w:rsidR="005608B6" w:rsidRDefault="005608B6" w:rsidP="005608B6">
      <w:pPr>
        <w:pStyle w:val="TextoPrincipal"/>
        <w:spacing w:line="360" w:lineRule="auto"/>
        <w:ind w:firstLine="708"/>
      </w:pPr>
      <w:r>
        <w:t xml:space="preserve">Una de las características distintivas del panorama de las microfinanzas en Perú es la presencia de diversas instituciones, que van desde cajas rurales y cooperativas de ahorro y crédito hasta </w:t>
      </w:r>
      <w:proofErr w:type="spellStart"/>
      <w:r>
        <w:t>ONGs</w:t>
      </w:r>
      <w:proofErr w:type="spellEnd"/>
      <w:r>
        <w:t xml:space="preserve"> y bancos especializados en microfinanzas. Estas entidades han adoptado diferentes modelos operativos, desde los tradicionales basados en grupos solidarios hasta aquellos centrados en la tecnología y la innovación financiera, para llegar a clientes que anteriormente no tenían acceso a servicios financieros formales.</w:t>
      </w:r>
    </w:p>
    <w:p w14:paraId="24E8B975" w14:textId="3076E67A" w:rsidR="000A7605" w:rsidRDefault="005608B6" w:rsidP="000A7605">
      <w:pPr>
        <w:pStyle w:val="TextoPrincipal"/>
        <w:spacing w:line="360" w:lineRule="auto"/>
        <w:ind w:firstLine="708"/>
      </w:pPr>
      <w:r>
        <w:t xml:space="preserve">En Perú, </w:t>
      </w:r>
      <w:r w:rsidR="009D239E">
        <w:fldChar w:fldCharType="begin"/>
      </w:r>
      <w:r w:rsidR="000F6563">
        <w:instrText xml:space="preserve"> ADDIN ZOTERO_ITEM CSL_CITATION {"citationID":"6QBy9ngf","properties":{"formattedCitation":"(Aguilar And\\uc0\\u237{}a &amp; Camargo C\\uc0\\u225{}rdenas, 2020)","plainCitation":"(Aguilar Andía &amp; Camargo Cárdenas, 2020)","dontUpdate":true,"noteIndex":0},"citationItems":[{"id":24,"uris":["http://zotero.org/users/13562074/items/W7GHKAUM"],"itemData":{"id":24,"type":"document","title":"Análisis de la morosidad de las instituciones microfinancieras (imf) en el Perú","author":[{"family":"Aguilar Andía","given":"Giovanna"},{"family":"Camargo Cárdenas","given":"Gonzalo"}],"issued":{"date-parts":[["2020",4]]}}}],"schema":"https://github.com/citation-style-language/schema/raw/master/csl-citation.json"} </w:instrText>
      </w:r>
      <w:r w:rsidR="009D239E">
        <w:fldChar w:fldCharType="separate"/>
      </w:r>
      <w:r w:rsidR="00485398" w:rsidRPr="00485398">
        <w:t xml:space="preserve">Aguilar Andía &amp; Camargo Cárdenas </w:t>
      </w:r>
      <w:r>
        <w:t>(</w:t>
      </w:r>
      <w:r w:rsidR="00485398" w:rsidRPr="00485398">
        <w:t>2020)</w:t>
      </w:r>
      <w:r w:rsidR="009D239E">
        <w:fldChar w:fldCharType="end"/>
      </w:r>
      <w:r w:rsidR="009D239E">
        <w:t xml:space="preserve"> realizaron bajo el Instituto de Estudios Peruanos un trabajo llamado “análisis de la morosidad de las instituciones microfinancieras (</w:t>
      </w:r>
      <w:r>
        <w:t>IMF</w:t>
      </w:r>
      <w:r w:rsidR="009D239E">
        <w:t>) en el Perú”. El objetivo general de esta investigación fue el de identificar las variables que afectan la morosidad de las IMF peruanas.</w:t>
      </w:r>
    </w:p>
    <w:p w14:paraId="78D75246" w14:textId="3A1A485C" w:rsidR="005608B6" w:rsidRDefault="006A5336" w:rsidP="000A7605">
      <w:pPr>
        <w:pStyle w:val="TextoPrincipal"/>
        <w:spacing w:line="360" w:lineRule="auto"/>
        <w:ind w:firstLine="708"/>
      </w:pPr>
      <w:r>
        <w:t xml:space="preserve">Con esta investigación, se observó </w:t>
      </w:r>
      <w:r w:rsidRPr="006A5336">
        <w:t xml:space="preserve">la identificación de la tasa de interés como una variable significativa que afecta la morosidad de las instituciones microfinancieras (IMF) en Perú. Específicamente, los investigadores </w:t>
      </w:r>
      <w:r>
        <w:t>han</w:t>
      </w:r>
      <w:r w:rsidRPr="006A5336">
        <w:t xml:space="preserve"> encontrado que las IMF que cobran tasas de interés más altas tienden a experimentar mayores niveles de morosidad en comparación con aquellas que tienen tasas más bajas. Esto podría sugerir que las altas tasas de interés pueden dificultar la capacidad de los prestatarios para cumplir con sus pagos y, por lo tanto, aumentar el riesgo de morosidad para las IMF. Este resultado tendría implicaciones importantes para el diseño de políticas y prácticas financieras destinadas a mejorar la gestión del riesgo de crédito en el sector de microfinanzas en Perú.</w:t>
      </w:r>
    </w:p>
    <w:p w14:paraId="22AB641F" w14:textId="4D5407B2" w:rsidR="006E26B3" w:rsidRDefault="004F4BBF" w:rsidP="002C3B5B">
      <w:pPr>
        <w:pStyle w:val="TextoPrincipal"/>
        <w:spacing w:line="360" w:lineRule="auto"/>
        <w:ind w:firstLine="708"/>
      </w:pPr>
      <w:r>
        <w:fldChar w:fldCharType="begin"/>
      </w:r>
      <w:r w:rsidR="000F6563">
        <w:instrText xml:space="preserve"> ADDIN ZOTERO_ITEM CSL_CITATION {"citationID":"4G51ZcNj","properties":{"formattedCitation":"(Muller, 2020)","plainCitation":"(Muller, 2020)","dontUpdate":true,"noteIndex":0},"citationItems":[{"id":25,"uris":["http://zotero.org/users/13562074/items/X6ZIFZYY"],"itemData":{"id":25,"type":"document","title":"Las microfinanzas  reguladas en Bolivia","author":[{"family":"Muller","given":"Herbert"}],"issued":{"date-parts":[["2020"]]}}}],"schema":"https://github.com/citation-style-language/schema/raw/master/csl-citation.json"} </w:instrText>
      </w:r>
      <w:r>
        <w:fldChar w:fldCharType="separate"/>
      </w:r>
      <w:proofErr w:type="spellStart"/>
      <w:r w:rsidR="00485398" w:rsidRPr="00485398">
        <w:t>Muller</w:t>
      </w:r>
      <w:proofErr w:type="spellEnd"/>
      <w:r w:rsidR="00485398" w:rsidRPr="00485398">
        <w:t xml:space="preserve"> </w:t>
      </w:r>
      <w:r w:rsidR="006A5336">
        <w:t>(</w:t>
      </w:r>
      <w:r w:rsidR="00485398" w:rsidRPr="00485398">
        <w:t>2020)</w:t>
      </w:r>
      <w:r>
        <w:fldChar w:fldCharType="end"/>
      </w:r>
      <w:r>
        <w:t xml:space="preserve"> ha desarrollado un importante trabajo sobre las microfinanzas reguladas en </w:t>
      </w:r>
      <w:r>
        <w:lastRenderedPageBreak/>
        <w:t>Bolivia. U</w:t>
      </w:r>
      <w:r w:rsidRPr="004F4BBF">
        <w:t>n marco regulatorio sólido y progresista que ha fomentado el crecimiento y la estabilidad del sector de las microfinanzas. La Ley de Servicios Financieros y otras regulaciones pertinentes han creado un entorno propicio para la operación de instituciones microfinancieras, promoviendo la competencia, la transparencia y la protección del consumidor.</w:t>
      </w:r>
    </w:p>
    <w:p w14:paraId="0D3163BE" w14:textId="1C44E66B" w:rsidR="007B0665" w:rsidRDefault="007B0665" w:rsidP="002C3B5B">
      <w:pPr>
        <w:pStyle w:val="TextoPrincipal"/>
        <w:spacing w:line="360" w:lineRule="auto"/>
        <w:ind w:firstLine="708"/>
      </w:pPr>
      <w:r w:rsidRPr="007B0665">
        <w:t xml:space="preserve">Las políticas y regulaciones juegan un papel crucial en el mantenimiento de un buen índice de morosidad en instituciones microfinancieras. Estas medidas suelen incluir requisitos estrictos de evaluación crediticia, que garantizan que los préstamos se otorguen a individuos y negocios con capacidad de pago probada. Además, se establecen límites prudentes en términos de tasas de interés y montos de préstamo, evitando así que </w:t>
      </w:r>
      <w:r w:rsidR="00457B0B" w:rsidRPr="007B0665">
        <w:t>los prestatarios se sobreendeuden</w:t>
      </w:r>
      <w:r w:rsidRPr="007B0665">
        <w:t>. Asimismo, las instituciones microfinancieras suelen implementar programas de educación financiera para sus clientes, promoviendo la responsabilidad en el manejo de sus finanzas y reduciendo el riesgo de incumplimiento. Estas políticas y regulaciones contribuyen en conjunto a mantener un equilibrio saludable entre la inclusión financiera y la gestión responsable del crédito, asegurando la sostenibilidad y el éxito a largo plazo de estas instituciones.</w:t>
      </w:r>
    </w:p>
    <w:p w14:paraId="54B7827C" w14:textId="3D0E9A10" w:rsidR="00457B0B" w:rsidRDefault="00457B0B" w:rsidP="000C1A25">
      <w:pPr>
        <w:pStyle w:val="TextoPrincipal"/>
        <w:spacing w:line="360" w:lineRule="auto"/>
      </w:pPr>
      <w:r>
        <w:fldChar w:fldCharType="begin"/>
      </w:r>
      <w:r w:rsidR="000F6563">
        <w:instrText xml:space="preserve"> ADDIN ZOTERO_ITEM CSL_CITATION {"citationID":"1bEgABX4","properties":{"formattedCitation":"(Cruz Cerda, 2021, p. 42)","plainCitation":"(Cruz Cerda, 2021, p. 42)","dontUpdate":true,"noteIndex":0},"citationItems":[{"id":67,"uris":["http://zotero.org/users/13562074/items/ZS2JD8XS"],"itemData":{"id":67,"type":"thesis","language":"es","number-of-pages":"81","title":"Los Microcréditos en el Crecimiento Económico del Perú","author":[{"family":"Cruz Cerda","given":"Nicolle Andrea"}],"issued":{"date-parts":[["2021",5]]}},"locator":"42","label":"page"}],"schema":"https://github.com/citation-style-language/schema/raw/master/csl-citation.json"} </w:instrText>
      </w:r>
      <w:r>
        <w:fldChar w:fldCharType="separate"/>
      </w:r>
      <w:r w:rsidRPr="00457B0B">
        <w:t xml:space="preserve">Cruz Cerda, </w:t>
      </w:r>
      <w:r>
        <w:t>(</w:t>
      </w:r>
      <w:r w:rsidRPr="00457B0B">
        <w:t>2021</w:t>
      </w:r>
      <w:r>
        <w:t>),</w:t>
      </w:r>
      <w:r w:rsidRPr="00457B0B">
        <w:t xml:space="preserve"> </w:t>
      </w:r>
      <w:r>
        <w:fldChar w:fldCharType="end"/>
      </w:r>
      <w:r w:rsidR="00681CAE">
        <w:t xml:space="preserve"> en su tesis concluye que Perú ha tenido un crecimiento económico persistente en estos últimos 14 años demostrando que las políticas macroeconómicas en las microfinanzas implementadas a inicio del año 2000 por el gobierno de Alejandro Toledo y continuadas por sus sucesores han tenido un efecto positivo ocasionando que el crecimiento PBI per cápita no tenga ningún año con crecimiento negativo. (</w:t>
      </w:r>
      <w:r w:rsidR="00681CAE" w:rsidRPr="00457B0B">
        <w:t>p. 42)</w:t>
      </w:r>
    </w:p>
    <w:p w14:paraId="6EB70797" w14:textId="1B136E7F" w:rsidR="00681CAE" w:rsidRDefault="00CA613F" w:rsidP="000C1A25">
      <w:pPr>
        <w:pStyle w:val="TextoPrincipal"/>
        <w:spacing w:line="360" w:lineRule="auto"/>
      </w:pPr>
      <w:r>
        <w:t xml:space="preserve">Para el caso de México, </w:t>
      </w:r>
      <w:r>
        <w:fldChar w:fldCharType="begin"/>
      </w:r>
      <w:r w:rsidR="000F6563">
        <w:instrText xml:space="preserve"> ADDIN ZOTERO_ITEM CSL_CITATION {"citationID":"emCHkDF4","properties":{"formattedCitation":"(Vega Hern\\uc0\\u225{}ndez et\\uc0\\u160{}al., 2023, p. 144)","plainCitation":"(Vega Hernández et al., 2023, p. 144)","dontUpdate":true,"noteIndex":0},"citationItems":[{"id":68,"uris":["http://zotero.org/users/13562074/items/ZRN3JLKM"],"itemData":{"id":68,"type":"document","language":"es","title":"Determinantes del uso de crédito de los hogares  mexicanos: un análisis simultáneo por tipo de  instrumento","author":[{"family":"Vega Hernández","given":"José Ignacio"},{"family":"Moreno Treviño","given":"Jorge Omar"},{"family":"Farfán Pérez","given":"Lianet"}],"issued":{"date-parts":[["2023",11]]}},"locator":"144","label":"page"}],"schema":"https://github.com/citation-style-language/schema/raw/master/csl-citation.json"} </w:instrText>
      </w:r>
      <w:r>
        <w:fldChar w:fldCharType="separate"/>
      </w:r>
      <w:r w:rsidRPr="00CA613F">
        <w:t xml:space="preserve">Vega Hernández et al., </w:t>
      </w:r>
      <w:r>
        <w:t>(</w:t>
      </w:r>
      <w:r w:rsidRPr="00CA613F">
        <w:t>2023</w:t>
      </w:r>
      <w:r>
        <w:t>)</w:t>
      </w:r>
      <w:r>
        <w:fldChar w:fldCharType="end"/>
      </w:r>
      <w:r>
        <w:t>; informan según el Instituto Nacional de Estadística y Geografía (INEGI) que se reporta que para el 2021 solamente el 32.7% de las personas de 18 a 70 años tienen, al menos, un crédito formal. Este dato revela la situación que presenta México referente al sector financiero y al tema de la inclusión financiera. Sin embargo, las principales razones por las cuáles las personas dudan para decidir integrarse al sector financiero son: porque no les gusta endeudarse, no cumplen los requisitos y los intereses o comisiones que deben pagar son muy altas. Ante estas limitaciones, el ingreso del hogar se vuelve sumamente importante, ya que resulta determinante como requisito para el acceso al mercado de deuda.</w:t>
      </w:r>
    </w:p>
    <w:p w14:paraId="5D5C06F6" w14:textId="256AF6FC" w:rsidR="00CA613F" w:rsidRDefault="00CA613F" w:rsidP="002C3B5B">
      <w:pPr>
        <w:pStyle w:val="TextoPrincipal"/>
        <w:spacing w:line="360" w:lineRule="auto"/>
        <w:ind w:firstLine="708"/>
      </w:pPr>
      <w:r w:rsidRPr="00CA613F">
        <w:t xml:space="preserve">El temor a la deuda es una preocupación común entre las personas cuando se trata de involucrarse con instituciones microfinancieras. Este temor a menudo se origina en la falta de </w:t>
      </w:r>
      <w:r w:rsidRPr="00CA613F">
        <w:lastRenderedPageBreak/>
        <w:t>comprensión completa de cómo funcionan los servicios financieros, especialmente en términos de tasas de interés y términos de reembolso. Además, la percepción de riesgo puede aumentar si las personas tienen experiencias previas negativas con préstamos o si están mal informadas sobre las responsabilidades financieras asociadas con el endeudamiento.</w:t>
      </w:r>
    </w:p>
    <w:p w14:paraId="2AD6774D" w14:textId="7EA24F36" w:rsidR="00702DE9" w:rsidRDefault="00702DE9" w:rsidP="0081422B">
      <w:pPr>
        <w:pStyle w:val="TextoPrincipal"/>
        <w:spacing w:line="360" w:lineRule="auto"/>
      </w:pPr>
      <w:r>
        <w:t>En este punto, es importante conocer que las microfinancieras optan por un recurso de medición de riesgo con el objetivo de maximizar la probabilidad de recuperación de una deuda. Los Scores Crediticios</w:t>
      </w:r>
      <w:r w:rsidRPr="00702DE9">
        <w:t xml:space="preserve"> desempeñan un papel crucial en el otorgamiento de créditos en instituciones microfinancieras al evaluar la capacidad de pago y la solidez financiera de los prestatarios potenciales. </w:t>
      </w:r>
      <w:r>
        <w:t>Para estos análisis se</w:t>
      </w:r>
      <w:r w:rsidRPr="00702DE9">
        <w:t xml:space="preserve"> utilizan metodologías especializadas para analizar factores como el historial crediticio, los ingresos y activos del solicitante, así como la estabilidad de su negocio o actividad económica.</w:t>
      </w:r>
    </w:p>
    <w:p w14:paraId="4827B369" w14:textId="1B36DB47" w:rsidR="00E27FE5" w:rsidRDefault="00E27FE5" w:rsidP="0081422B">
      <w:pPr>
        <w:pStyle w:val="TextoPrincipal"/>
        <w:spacing w:line="360" w:lineRule="auto"/>
      </w:pPr>
      <w:r>
        <w:t xml:space="preserve">Según </w:t>
      </w:r>
      <w:r>
        <w:fldChar w:fldCharType="begin"/>
      </w:r>
      <w:r w:rsidR="000F6563">
        <w:instrText xml:space="preserve"> ADDIN ZOTERO_ITEM CSL_CITATION {"citationID":"SiuFaMTo","properties":{"formattedCitation":"(Alarc\\uc0\\u243{}n Morales &amp; Mora Ramos, 2020, p. 45)","plainCitation":"(Alarcón Morales &amp; Mora Ramos, 2020, p. 45)","dontUpdate":true,"noteIndex":0},"citationItems":[{"id":69,"uris":["http://zotero.org/users/13562074/items/9FN7WHTR"],"itemData":{"id":69,"type":"thesis","language":"es","number-of-pages":"119","title":"Modelo para la evaluación del riesgo crediticio para los clientes de las  microfinancieras del Perú","author":[{"family":"Alarcón Morales","given":"Eduardo Manuel"},{"family":"Mora Ramos","given":"Brian Javier"}],"issued":{"date-parts":[["2020",2,6]]}},"locator":"45","label":"page"}],"schema":"https://github.com/citation-style-language/schema/raw/master/csl-citation.json"} </w:instrText>
      </w:r>
      <w:r>
        <w:fldChar w:fldCharType="separate"/>
      </w:r>
      <w:r w:rsidRPr="00E27FE5">
        <w:t xml:space="preserve">Alarcón Morales &amp; Mora Ramos, </w:t>
      </w:r>
      <w:r>
        <w:t>(</w:t>
      </w:r>
      <w:r w:rsidRPr="00E27FE5">
        <w:t>2020)</w:t>
      </w:r>
      <w:r>
        <w:fldChar w:fldCharType="end"/>
      </w:r>
      <w:r>
        <w:t xml:space="preserve">, </w:t>
      </w:r>
      <w:r w:rsidR="00260FB9">
        <w:t xml:space="preserve">actualmente existen dos criterios para el desarrollo del riesgo crediticio. El Enfoque Tradicional, plantea que el manejo del riesgo crediticio se basa en experiencia de los oficiales de crédito. La decisión de crédito surge de la reflexión de los funcionarios sobre la capacidad de pago del cliente. Se basan en un criterio subjetivo y la decisión se deja en manos de la persona que analizará a la persona base a su propio juicio. Por otra parte, el Enfoque Moderno, plantea la necesidad de contar con técnicas de manejo de riesgos más sofisticadas, acordes con mercados financieros competitivos y productos financieros complejos y sumamente diversos. Existen dos tipos de modelos en este enfoque </w:t>
      </w:r>
      <w:r w:rsidR="00FB79E7">
        <w:t>L</w:t>
      </w:r>
      <w:r w:rsidR="00260FB9">
        <w:t xml:space="preserve">os </w:t>
      </w:r>
      <w:r w:rsidR="00FB79E7">
        <w:t>C</w:t>
      </w:r>
      <w:r w:rsidR="00260FB9">
        <w:t xml:space="preserve">ondicionales y </w:t>
      </w:r>
      <w:r w:rsidR="00FB79E7">
        <w:t>L</w:t>
      </w:r>
      <w:r w:rsidR="00260FB9">
        <w:t xml:space="preserve">os </w:t>
      </w:r>
      <w:r w:rsidR="00FB79E7">
        <w:t>N</w:t>
      </w:r>
      <w:r w:rsidR="00260FB9">
        <w:t xml:space="preserve">o </w:t>
      </w:r>
      <w:r w:rsidR="00FB79E7">
        <w:t>C</w:t>
      </w:r>
      <w:r w:rsidR="00260FB9">
        <w:t>ondicionales. Los modelos condicionales son metodologías que pretenden conocer las causas del incumplimiento haciendo un análisis basado en un modelo de correlaciones de causalidad entre las diferentes variables financieras.</w:t>
      </w:r>
    </w:p>
    <w:p w14:paraId="364752D8" w14:textId="44292E8A" w:rsidR="00260FB9" w:rsidRDefault="00EA734A" w:rsidP="00E27FE5">
      <w:pPr>
        <w:pStyle w:val="TextoPrincipal"/>
        <w:spacing w:line="360" w:lineRule="auto"/>
        <w:ind w:firstLine="708"/>
      </w:pPr>
      <w:r w:rsidRPr="00EA734A">
        <w:t xml:space="preserve">La evolución tecnológica y la creciente digitalización están transformando profundamente el panorama de las instituciones microfinancieras en relación con la morosidad. La adopción de tecnologías financieras avanzadas, como los sistemas de </w:t>
      </w:r>
      <w:proofErr w:type="spellStart"/>
      <w:r w:rsidRPr="00EA734A">
        <w:t>scoring</w:t>
      </w:r>
      <w:proofErr w:type="spellEnd"/>
      <w:r w:rsidRPr="00EA734A">
        <w:t xml:space="preserve"> crediticio basados en datos y las plataformas en línea, ha permitido una evaluación más precisa del riesgo crediticio de los clientes. Estos sistemas analizan una amplia gama de variables, desde el historial crediticio hasta el comportamiento de pago en otros servicios, proporcionando a las instituciones microfinancieras una herramienta eficiente para identificar a los prestatarios más confiables.</w:t>
      </w:r>
    </w:p>
    <w:p w14:paraId="3A0CAC52" w14:textId="77777777" w:rsidR="00182D8C" w:rsidRDefault="00182D8C" w:rsidP="00E27FE5">
      <w:pPr>
        <w:pStyle w:val="TextoPrincipal"/>
        <w:spacing w:line="360" w:lineRule="auto"/>
        <w:ind w:firstLine="708"/>
      </w:pPr>
    </w:p>
    <w:p w14:paraId="6C699285" w14:textId="6ED3FF23" w:rsidR="00EA734A" w:rsidRDefault="007446A1" w:rsidP="00E27FE5">
      <w:pPr>
        <w:pStyle w:val="TextoPrincipal"/>
        <w:spacing w:line="360" w:lineRule="auto"/>
        <w:ind w:firstLine="708"/>
      </w:pPr>
      <w:r>
        <w:lastRenderedPageBreak/>
        <w:fldChar w:fldCharType="begin"/>
      </w:r>
      <w:r w:rsidR="000F6563">
        <w:instrText xml:space="preserve"> ADDIN ZOTERO_ITEM CSL_CITATION {"citationID":"kNJp8SwW","properties":{"formattedCitation":"(De La Cruz Cuaresma &amp; Hern\\uc0\\u225{}ndez Apaza, 2022, p. 18)","plainCitation":"(De La Cruz Cuaresma &amp; Hernández Apaza, 2022, p. 18)","dontUpdate":true,"noteIndex":0},"citationItems":[{"id":71,"uris":["http://zotero.org/users/13562074/items/CAHL5PKB"],"itemData":{"id":71,"type":"thesis","language":"es","number-of-pages":"59","title":"Modelo Credit Scoring en Microfinanzas","author":[{"family":"De La Cruz Cuaresma","given":"Vanesa Rocio"},{"family":"Hernández Apaza","given":"Ruth Nathally"}],"issued":{"date-parts":[["2022",7,16]]}},"locator":"18","label":"page"}],"schema":"https://github.com/citation-style-language/schema/raw/master/csl-citation.json"} </w:instrText>
      </w:r>
      <w:r>
        <w:fldChar w:fldCharType="separate"/>
      </w:r>
      <w:r w:rsidRPr="007446A1">
        <w:t xml:space="preserve">De La Cruz Cuaresma &amp; Hernández Apaza, </w:t>
      </w:r>
      <w:r>
        <w:t>(</w:t>
      </w:r>
      <w:r w:rsidRPr="007446A1">
        <w:t>2022</w:t>
      </w:r>
      <w:r>
        <w:t>)</w:t>
      </w:r>
      <w:r w:rsidRPr="007446A1">
        <w:t>,</w:t>
      </w:r>
      <w:r>
        <w:fldChar w:fldCharType="end"/>
      </w:r>
      <w:r>
        <w:t xml:space="preserve"> afirma que, a medida que avanza la tecnología, los métodos estadísticos se utilizan en combinación con los datos de los solicitantes para generar calificaciones crediticias, las cuales servirán para medir la solvencia y determinar la probabilidad de pago del préstamo. Los puntajes crediticios ayudan a automatizar el proceso de revisión de crédito de una forma más rápida, precisa y consistente, lo que facilita a los solicitantes el acceso a las oportunidades de crédito. Los datos de las agencias de crédito o de las entidades financieras como el historial de pagos, el monto del préstamo, el uso del préstamo y el monto pendiente del préstamo también son relevantes al momento de la calificación crediticia.</w:t>
      </w:r>
    </w:p>
    <w:p w14:paraId="3BDFA4F0" w14:textId="29601A51" w:rsidR="007446A1" w:rsidRPr="00EA734A" w:rsidRDefault="007446A1" w:rsidP="007446A1">
      <w:pPr>
        <w:pStyle w:val="TextoPrincipal"/>
        <w:spacing w:line="240" w:lineRule="auto"/>
        <w:rPr>
          <w:sz w:val="22"/>
          <w:szCs w:val="22"/>
        </w:rPr>
      </w:pPr>
      <w:r w:rsidRPr="00822C35">
        <w:rPr>
          <w:sz w:val="22"/>
          <w:szCs w:val="22"/>
        </w:rPr>
        <w:t xml:space="preserve">El Perú es uno de los principales países que tiene un elevado desarrollo en las microfinanzas, y para poder satisfacer las necesidades de este sector, numerosas entidades financieras reguladas y no reguladas, existentes y otras nuevas brindan sus servicios financieros. Es así como surgen numerosas entidades crediticias enfocadas a las microfinanzas, con requisitos mínimos, flexibilidad en los pagos a corto plazo (diarios, semanales, quincenales y pagos únicos), fácil accesibilidad, con riesgos bajos, medios y altos, el cual será determinado por el asesor a cargo. </w:t>
      </w:r>
      <w:r w:rsidRPr="00822C35">
        <w:rPr>
          <w:sz w:val="22"/>
          <w:szCs w:val="22"/>
        </w:rPr>
        <w:fldChar w:fldCharType="begin"/>
      </w:r>
      <w:r w:rsidR="000F6563">
        <w:rPr>
          <w:sz w:val="22"/>
          <w:szCs w:val="22"/>
        </w:rPr>
        <w:instrText xml:space="preserve"> ADDIN ZOTERO_ITEM CSL_CITATION {"citationID":"Ig8VDZ8J","properties":{"formattedCitation":"(Barrios Morales, 2023, p. 32)","plainCitation":"(Barrios Morales, 2023, p. 32)","noteIndex":0},"citationItems":[{"id":70,"uris":["http://zotero.org/users/13562074/items/XZTQMGKW"],"itemData":{"id":70,"type":"thesis","language":"es","number-of-pages":"93","title":"Factores de morosidad en la empresa de microcréditos B&amp;M nuestra confianza del distrito de san ramón, periodo 2019-2020","author":[{"family":"Barrios Morales","given":"Juan José"}],"issued":{"date-parts":[["2023"]]}},"locator":"32","label":"page"}],"schema":"https://github.com/citation-style-language/schema/raw/master/csl-citation.json"} </w:instrText>
      </w:r>
      <w:r w:rsidRPr="00822C35">
        <w:rPr>
          <w:sz w:val="22"/>
          <w:szCs w:val="22"/>
        </w:rPr>
        <w:fldChar w:fldCharType="separate"/>
      </w:r>
      <w:r w:rsidRPr="00822C35">
        <w:rPr>
          <w:sz w:val="22"/>
          <w:szCs w:val="22"/>
        </w:rPr>
        <w:t>(Barrios Morales, 2023, p. 32)</w:t>
      </w:r>
      <w:r w:rsidRPr="00822C35">
        <w:rPr>
          <w:sz w:val="22"/>
          <w:szCs w:val="22"/>
        </w:rPr>
        <w:fldChar w:fldCharType="end"/>
      </w:r>
    </w:p>
    <w:p w14:paraId="22A9F7FA" w14:textId="41B16B54" w:rsidR="00702DE9" w:rsidRDefault="00EA66C6" w:rsidP="00EA66C6">
      <w:pPr>
        <w:pStyle w:val="TextoPrincipal"/>
        <w:spacing w:line="360" w:lineRule="auto"/>
        <w:ind w:firstLine="708"/>
      </w:pPr>
      <w:r>
        <w:t>En</w:t>
      </w:r>
      <w:r w:rsidRPr="00EA66C6">
        <w:t xml:space="preserve"> Honduras</w:t>
      </w:r>
      <w:r>
        <w:t>, las microfinancieras</w:t>
      </w:r>
      <w:r w:rsidRPr="00EA66C6">
        <w:t xml:space="preserve"> son fundamentales para promover la inclusión financiera, especialmente en zonas rurales y comunidades con acceso limitado a la banca convencional. Estas instituciones se dedican a ofrecer pequeños créditos y servicios financieros a microempresarios y personas de bajos ingresos, impulsando así el desarrollo económico local. A pesar de su contribución positiva, enfrentan retos importantes, como la alta morosidad y la exposición a fluctuaciones económicas. Aunque la regulación del sector ha avanzado en los últimos años, aún se requiere un fortalecimiento en la supervisión y capacitación para garantizar su sostenibilidad y efectividad en la reducción de la pobreza.</w:t>
      </w:r>
    </w:p>
    <w:p w14:paraId="2146C796" w14:textId="13017A43" w:rsidR="00EA66C6" w:rsidRDefault="00EA66C6" w:rsidP="00EA66C6">
      <w:pPr>
        <w:pStyle w:val="TextoPrincipal"/>
        <w:spacing w:line="360" w:lineRule="auto"/>
        <w:ind w:firstLine="708"/>
      </w:pPr>
      <w:r>
        <w:t xml:space="preserve">Mediante un estudio realizado por </w:t>
      </w:r>
      <w:r w:rsidR="00C52841">
        <w:fldChar w:fldCharType="begin"/>
      </w:r>
      <w:r w:rsidR="00C52841">
        <w:instrText xml:space="preserve"> ADDIN ZOTERO_ITEM CSL_CITATION {"citationID":"E9v2VSzY","properties":{"formattedCitation":"(UNAH &amp; EQUIFAX, 09/22, p. 6)","plainCitation":"(UNAH &amp; EQUIFAX, 09/22, p. 6)","noteIndex":0},"citationItems":[{"id":74,"uris":["http://zotero.org/users/13562074/items/RZLGGN6U"],"itemData":{"id":74,"type":"document","title":"1er. Estudio del Comportamiento de Crédito de los Hondureños 2020-2022","author":[{"family":"UNAH","given":""},{"family":"EQUIFAX","given":""}],"issued":{"literal":"09/22"}},"locator":"6","label":"page"}],"schema":"https://github.com/citation-style-language/schema/raw/master/csl-citation.json"} </w:instrText>
      </w:r>
      <w:r w:rsidR="00C52841">
        <w:fldChar w:fldCharType="separate"/>
      </w:r>
      <w:r w:rsidR="00C52841" w:rsidRPr="00C52841">
        <w:t xml:space="preserve">UNAH &amp; EQUIFAX </w:t>
      </w:r>
      <w:r w:rsidR="00C52841">
        <w:t>(2022</w:t>
      </w:r>
      <w:r w:rsidR="00C52841" w:rsidRPr="00C52841">
        <w:t>)</w:t>
      </w:r>
      <w:r w:rsidR="00C52841">
        <w:fldChar w:fldCharType="end"/>
      </w:r>
      <w:r>
        <w:t xml:space="preserve"> se analizaron las personas</w:t>
      </w:r>
      <w:r>
        <w:t xml:space="preserve"> </w:t>
      </w:r>
      <w:r>
        <w:t>naturales que poseen una deuda con el sistema</w:t>
      </w:r>
      <w:r>
        <w:t xml:space="preserve"> </w:t>
      </w:r>
      <w:r>
        <w:t>financiero regulado y no regulado en el primer</w:t>
      </w:r>
      <w:r>
        <w:t xml:space="preserve"> </w:t>
      </w:r>
      <w:r>
        <w:t>trimestre de los años 2020, 2021 y 2022.</w:t>
      </w:r>
      <w:r>
        <w:t xml:space="preserve"> </w:t>
      </w:r>
      <w:r w:rsidR="00C52841">
        <w:t>Los principales resultados resaltan que la</w:t>
      </w:r>
      <w:r w:rsidR="00C52841" w:rsidRPr="00C52841">
        <w:t xml:space="preserve"> pandemia y las tormentas tropicales causaron un aumento del 4% en los créditos atrasados durante el primer trimestre de 2021.</w:t>
      </w:r>
    </w:p>
    <w:p w14:paraId="5A1F68F6" w14:textId="044351DA" w:rsidR="00C52841" w:rsidRDefault="00C52841" w:rsidP="00EA66C6">
      <w:pPr>
        <w:pStyle w:val="TextoPrincipal"/>
        <w:spacing w:line="360" w:lineRule="auto"/>
        <w:ind w:firstLine="708"/>
      </w:pPr>
      <w:r>
        <w:t>Las</w:t>
      </w:r>
      <w:r w:rsidRPr="00C52841">
        <w:t xml:space="preserve"> medidas implementadas por la Presidencia del Consejo de </w:t>
      </w:r>
      <w:proofErr w:type="gramStart"/>
      <w:r w:rsidRPr="00C52841">
        <w:t>Ministros</w:t>
      </w:r>
      <w:proofErr w:type="gramEnd"/>
      <w:r w:rsidRPr="00C52841">
        <w:t xml:space="preserve"> (PCM)</w:t>
      </w:r>
      <w:r>
        <w:t xml:space="preserve"> desaceleró </w:t>
      </w:r>
      <w:r w:rsidR="00BB2F84">
        <w:t xml:space="preserve">el </w:t>
      </w:r>
      <w:r w:rsidRPr="00C52841">
        <w:t>crecimiento en el número de deudores 4.5 veces</w:t>
      </w:r>
      <w:r w:rsidR="00BB2F84">
        <w:t xml:space="preserve"> el año 2022 en comparación con el 2021</w:t>
      </w:r>
      <w:r w:rsidRPr="00C52841">
        <w:t>,</w:t>
      </w:r>
      <w:r w:rsidR="00BB2F84">
        <w:t xml:space="preserve"> ya</w:t>
      </w:r>
      <w:r w:rsidRPr="00C52841">
        <w:t xml:space="preserve"> que incluyeron alivios de deuda en el sector bancario, apoyo financiero a las MiPymes y microfinancieras afectadas, con fondos de fideicomisos provenientes de la banca de desarrollo y el Gobierno Central. Además, el Banco Central de Honduras (BCH) adoptó una política monetaria </w:t>
      </w:r>
      <w:r w:rsidRPr="00C52841">
        <w:lastRenderedPageBreak/>
        <w:t>expansiva para dinamizar la economía a través del sistema financiero hondureño.</w:t>
      </w:r>
    </w:p>
    <w:p w14:paraId="0AEFE002" w14:textId="3036A595" w:rsidR="00BB2F84" w:rsidRDefault="00BB2F84" w:rsidP="00EA66C6">
      <w:pPr>
        <w:pStyle w:val="TextoPrincipal"/>
        <w:spacing w:line="360" w:lineRule="auto"/>
        <w:ind w:firstLine="708"/>
      </w:pPr>
      <w:r>
        <w:t>Las</w:t>
      </w:r>
      <w:r w:rsidRPr="00BB2F84">
        <w:t xml:space="preserve"> microfinancieras en Honduras han enfrentado desafíos significativos debido a la pandemia y los fenómenos naturales, lo que provocó un aumento en la morosidad y una desaceleración en el crecimiento de nuevos deudores. Sin embargo, las medidas implementadas por el Gobierno y el Banco Central de Honduras, como los alivios de deuda, el apoyo financiero a las MiPymes y microfinancieras, y las políticas monetarias expansivas, han contribuido a contener estos efectos</w:t>
      </w:r>
      <w:r>
        <w:t>.</w:t>
      </w:r>
    </w:p>
    <w:p w14:paraId="0D65ABC4" w14:textId="5BC579B2" w:rsidR="0001332C" w:rsidRDefault="0001332C">
      <w:pPr>
        <w:widowControl/>
        <w:spacing w:after="160" w:line="259" w:lineRule="auto"/>
        <w:rPr>
          <w:rFonts w:ascii="Times New Roman" w:hAnsi="Times New Roman" w:cs="Times New Roman"/>
          <w:sz w:val="24"/>
          <w:szCs w:val="24"/>
        </w:rPr>
      </w:pPr>
    </w:p>
    <w:p w14:paraId="71576492" w14:textId="7061E818" w:rsidR="00011C92" w:rsidRPr="00011C92" w:rsidRDefault="00011C92" w:rsidP="00C60C08">
      <w:pPr>
        <w:pStyle w:val="Ttulo3"/>
        <w:spacing w:line="360" w:lineRule="auto"/>
        <w:ind w:left="0" w:firstLine="720"/>
      </w:pPr>
      <w:bookmarkStart w:id="62" w:name="_Toc166705756"/>
      <w:bookmarkStart w:id="63" w:name="_Toc175171358"/>
      <w:r w:rsidRPr="00011C92">
        <w:t>2.1.2. MICROENTORNO</w:t>
      </w:r>
      <w:bookmarkEnd w:id="62"/>
      <w:bookmarkEnd w:id="63"/>
    </w:p>
    <w:p w14:paraId="32904C6C" w14:textId="32512779" w:rsidR="006C11EF" w:rsidRDefault="006C11EF" w:rsidP="006C11EF">
      <w:pPr>
        <w:pStyle w:val="TextoPrincipal"/>
        <w:spacing w:line="360" w:lineRule="auto"/>
      </w:pPr>
      <w:r>
        <w:t>Las microfinancieras han desempeñado un papel crucial en el desarrollo económico y social de Honduras, especialmente en comunidades rurales y urbanas donde el acceso a servicios financieros tradicionales es limitado. Estas instituciones han permitido a miles de emprendedores y pequeños empresarios acceder a créditos, ahorros y otros servicios financieros que antes les estaban fuera de alcance. Al brindar capital inicial y apoyo técnico, las microfinancieras han empoderado a individuos y comunidades para iniciar y expandir negocios, generando empleo, aumentando los ingresos familiares y fomentando el crecimiento económico a nivel local.</w:t>
      </w:r>
    </w:p>
    <w:p w14:paraId="5BAF6640" w14:textId="64D09E2E" w:rsidR="006C11EF" w:rsidRDefault="006C11EF" w:rsidP="006C11EF">
      <w:pPr>
        <w:pStyle w:val="TextoPrincipal"/>
        <w:spacing w:line="360" w:lineRule="auto"/>
      </w:pPr>
      <w:r>
        <w:t>El crecimiento y surgimiento de nuevas microfinancieras a lo largo de Honduras reflejan la creciente demanda de servicios financieros inclusivos en el país. Estas nuevas instituciones a menudo están especializadas en atender las necesidades específicas de ciertos segmentos de la población, como mujeres emprendedoras, agricultores o microempresarios en sectores emergentes. Además de proporcionar acceso al crédito, estas microfinancieras también están adoptando enfoques innovadores, como la tecnología móvil y las plataformas en línea, para llegar a comunidades remotas y brindar servicios financieros de manera más eficiente y accesible. En conjunto, el crecimiento y diversificación del sector de las microfinanzas en Honduras promueven la inclusión financiera y el desarrollo económico inclusivo en todo el país.</w:t>
      </w:r>
    </w:p>
    <w:p w14:paraId="7984A2BB" w14:textId="696F111A" w:rsidR="00E23F42" w:rsidRDefault="00E23F42" w:rsidP="00010858">
      <w:pPr>
        <w:pStyle w:val="TextoPrincipal"/>
        <w:spacing w:line="360" w:lineRule="auto"/>
      </w:pPr>
      <w:r>
        <w:t>Ha sido tanta la importancia del tema de las microfinanzas que ha llamado la atención de profesionales y estudiantes del área</w:t>
      </w:r>
      <w:r w:rsidR="001033CC">
        <w:t xml:space="preserve"> para desarrollar estudios e investigaciones sobre ello. Tal es el caso de algunos trabajos los cuales se muestran a continuación.</w:t>
      </w:r>
    </w:p>
    <w:p w14:paraId="10A99152" w14:textId="3EA85E13" w:rsidR="002F2F3B" w:rsidRDefault="008E608C" w:rsidP="002F2F3B">
      <w:pPr>
        <w:pStyle w:val="TextoPrincipal"/>
        <w:spacing w:line="360" w:lineRule="auto"/>
      </w:pPr>
      <w:r>
        <w:fldChar w:fldCharType="begin"/>
      </w:r>
      <w:r w:rsidR="000F6563">
        <w:instrText xml:space="preserve"> ADDIN ZOTERO_ITEM CSL_CITATION {"citationID":"DQc4UIxl","properties":{"formattedCitation":"(Celiss San Mart\\uc0\\u237{}n &amp; Bulnes Gal\\uc0\\u225{}n, 2000)","plainCitation":"(Celiss San Martín &amp; Bulnes Galán, 2000)","dontUpdate":true,"noteIndex":0},"citationItems":[{"id":54,"uris":["http://zotero.org/users/13562074/items/7Z344UUQ"],"itemData":{"id":54,"type":"thesis","number-of-pages":"110","publisher":"Universidad Tecnológica Centroamericana","title":"Gestión del Riesgo Operativo en Instituciones Financieras en Honduras.","author":[{"family":"Celiss San Martín","given":"Martha Dinorah"},{"family":"Bulnes Galán","given":"Melva Maricela"}],"issued":{"date-parts":[["2000",10]]}}}],"schema":"https://github.com/citation-style-language/schema/raw/master/csl-citation.json"} </w:instrText>
      </w:r>
      <w:r>
        <w:fldChar w:fldCharType="separate"/>
      </w:r>
      <w:proofErr w:type="spellStart"/>
      <w:r w:rsidRPr="008E608C">
        <w:t>Celiss</w:t>
      </w:r>
      <w:proofErr w:type="spellEnd"/>
      <w:r w:rsidRPr="008E608C">
        <w:t xml:space="preserve"> San Martín &amp; Bulnes Galán </w:t>
      </w:r>
      <w:r>
        <w:t>(</w:t>
      </w:r>
      <w:r w:rsidRPr="008E608C">
        <w:t>2000)</w:t>
      </w:r>
      <w:r>
        <w:fldChar w:fldCharType="end"/>
      </w:r>
      <w:r>
        <w:t xml:space="preserve"> han investigado respecto a la Gestión del Riesgo </w:t>
      </w:r>
      <w:r>
        <w:lastRenderedPageBreak/>
        <w:t>Operativo en Instituciones Financieras en Honduras</w:t>
      </w:r>
      <w:r w:rsidR="002F2F3B">
        <w:t xml:space="preserve"> y han determinado que este tipo de riesgo se refiere a la posibilidad de pérdidas resultantes de deficiencias o fallos en los procesos internos, el personal, los sistemas informáticos o eventos externos imprevistos.</w:t>
      </w:r>
    </w:p>
    <w:p w14:paraId="4ABE7FDB" w14:textId="41DA8A90" w:rsidR="00182D8C" w:rsidRDefault="002F2F3B" w:rsidP="00F667F4">
      <w:pPr>
        <w:pStyle w:val="TextoPrincipal"/>
        <w:spacing w:line="360" w:lineRule="auto"/>
      </w:pPr>
      <w:r>
        <w:t>En un contexto donde la estabilidad y la confianza en el sistema financiero son fundamentales, las instituciones financieras en Honduras deben implementar sólidos marcos de gestión del riesgo operativo para protegerse contra posibles amenazas y garantizar la continuidad de sus operaciones.</w:t>
      </w:r>
    </w:p>
    <w:p w14:paraId="7B2FBBD5" w14:textId="74AF43BF" w:rsidR="002F2F3B" w:rsidRDefault="002F2F3B" w:rsidP="002F2F3B">
      <w:pPr>
        <w:pStyle w:val="TextoPrincipal"/>
        <w:spacing w:line="360" w:lineRule="auto"/>
      </w:pPr>
      <w:r>
        <w:fldChar w:fldCharType="begin"/>
      </w:r>
      <w:r w:rsidR="000F6563">
        <w:instrText xml:space="preserve"> ADDIN ZOTERO_ITEM CSL_CITATION {"citationID":"D0LDgSjg","properties":{"formattedCitation":"(Rivera Licona, 2023)","plainCitation":"(Rivera Licona, 2023)","dontUpdate":true,"noteIndex":0},"citationItems":[{"id":55,"uris":["http://zotero.org/users/13562074/items/YVV9E4IT"],"itemData":{"id":55,"type":"document","title":"El Paradigma de la Gestión Del Riesgo Financiero Sistémico en la Regulación Bancaria Hondureña.","author":[{"family":"Rivera Licona","given":"César Stuardo"}],"issued":{"date-parts":[["2023",8,5]]}}}],"schema":"https://github.com/citation-style-language/schema/raw/master/csl-citation.json"} </w:instrText>
      </w:r>
      <w:r>
        <w:fldChar w:fldCharType="separate"/>
      </w:r>
      <w:r w:rsidRPr="002F2F3B">
        <w:t>Rivera Licona</w:t>
      </w:r>
      <w:r>
        <w:t xml:space="preserve"> (</w:t>
      </w:r>
      <w:r w:rsidRPr="002F2F3B">
        <w:t>2023)</w:t>
      </w:r>
      <w:r>
        <w:fldChar w:fldCharType="end"/>
      </w:r>
      <w:r>
        <w:t xml:space="preserve"> ha publicado un documento de investigación muy importante en donde analiza la lógica de la reforma a la regulación bancaria de 2016 en Honduras, que se produjo tras la liquidación forzosa de Banco Continental.</w:t>
      </w:r>
    </w:p>
    <w:p w14:paraId="059B47B3" w14:textId="64507663" w:rsidR="00234BF9" w:rsidRDefault="00370D3E" w:rsidP="00370D3E">
      <w:pPr>
        <w:pStyle w:val="TextoPrincipal"/>
        <w:spacing w:line="360" w:lineRule="auto"/>
      </w:pPr>
      <w:r w:rsidRPr="00370D3E">
        <w:t>Las microfinanzas en Honduras han contribuido significativamente a la promoción de la inclusión financiera al proporcionar servicios financieros a personas de bajos ingresos, pequeñas empresas y comunidades rurales. Estas instituciones ofrecen una amplia gama de productos financieros, como microcréditos, cuentas de ahorro y seguros, que permiten a los clientes acceder a recursos financieros para invertir en negocios, educación, vivienda y otros fines productivos.</w:t>
      </w:r>
    </w:p>
    <w:p w14:paraId="49BAE440" w14:textId="7A04F399" w:rsidR="00555632" w:rsidRDefault="00555632" w:rsidP="00370D3E">
      <w:pPr>
        <w:pStyle w:val="TextoPrincipal"/>
        <w:spacing w:line="360" w:lineRule="auto"/>
      </w:pPr>
      <w:r>
        <w:fldChar w:fldCharType="begin"/>
      </w:r>
      <w:r w:rsidR="000F6563">
        <w:instrText xml:space="preserve"> ADDIN ZOTERO_ITEM CSL_CITATION {"citationID":"N0XnFol5","properties":{"formattedCitation":"(Canizales G\\uc0\\u243{}mez &amp; Andino Matute, 2021)","plainCitation":"(Canizales Gómez &amp; Andino Matute, 2021)","dontUpdate":true,"noteIndex":0},"citationItems":[{"id":53,"uris":["http://zotero.org/users/13562074/items/M2QUPFAM"],"itemData":{"id":53,"type":"thesis","number-of-pages":"122","publisher":"Centro Universitario Tecnológico","title":"Acceso a Microcrédito para PYMES en Honduras.","author":[{"family":"Canizales Gómez","given":"Bessy Anneth"},{"family":"Andino Matute","given":"Olban Neptaly"}],"issued":{"date-parts":[["2021",9]]}}}],"schema":"https://github.com/citation-style-language/schema/raw/master/csl-citation.json"} </w:instrText>
      </w:r>
      <w:r>
        <w:fldChar w:fldCharType="separate"/>
      </w:r>
      <w:proofErr w:type="spellStart"/>
      <w:r w:rsidRPr="00555632">
        <w:t>Canizales</w:t>
      </w:r>
      <w:proofErr w:type="spellEnd"/>
      <w:r w:rsidRPr="00555632">
        <w:t xml:space="preserve"> Gómez &amp; Andino Matute</w:t>
      </w:r>
      <w:r>
        <w:t xml:space="preserve"> (</w:t>
      </w:r>
      <w:r w:rsidRPr="00555632">
        <w:t>2021)</w:t>
      </w:r>
      <w:r>
        <w:fldChar w:fldCharType="end"/>
      </w:r>
      <w:r>
        <w:t xml:space="preserve"> han encontrado gracias a su trabajo de investigación que los microcréditos son una pieza importante en las finanzas para las PYMES. Como toda empresa, las PYMES pueden tener carencia de liquidez que puede afectar la productividad de los pequeños empresarios, pero a diferencia de las grandes empresas es difícil la accesibilidad a crédito por ende los pequeños y medianos empresarios son orillados a buscar prestamos de entidades no reguladas o préstamos a muy altas tasas de interés lo que ocasiona alto endeudamiento para los pequeños y medianos empresarios.</w:t>
      </w:r>
    </w:p>
    <w:p w14:paraId="6F0B4162" w14:textId="44DBF46E" w:rsidR="00A90446" w:rsidRDefault="00A90446" w:rsidP="00A90446">
      <w:pPr>
        <w:pStyle w:val="TextoPrincipal"/>
        <w:spacing w:line="360" w:lineRule="auto"/>
      </w:pPr>
      <w:r>
        <w:t xml:space="preserve">Otro desafío importante es el acceso limitado a servicios financieros en áreas rurales. A pesar de los esfuerzos por expandir la cobertura del sistema </w:t>
      </w:r>
      <w:proofErr w:type="spellStart"/>
      <w:r>
        <w:t>microfinanciero</w:t>
      </w:r>
      <w:proofErr w:type="spellEnd"/>
      <w:r>
        <w:t>, las comunidades rurales enfrentan dificultades para acceder a sucursales físicas y servicios financieros adecuados. La infraestructura deficiente y la falta de presencia institucional en zonas remotas dificultan aún más el acceso a préstamos y otros productos financieros. Esta brecha en la inclusión financiera entre áreas urbanas y rurales perpetúa la desigualdad económica y limita las oportunidades de desarrollo para las poblaciones rurales en Honduras.</w:t>
      </w:r>
    </w:p>
    <w:p w14:paraId="64E040D4" w14:textId="27045AA1" w:rsidR="00A90446" w:rsidRDefault="00AB3B01" w:rsidP="00370D3E">
      <w:pPr>
        <w:pStyle w:val="TextoPrincipal"/>
        <w:spacing w:line="360" w:lineRule="auto"/>
      </w:pPr>
      <w:r>
        <w:lastRenderedPageBreak/>
        <w:fldChar w:fldCharType="begin"/>
      </w:r>
      <w:r w:rsidR="000F6563">
        <w:instrText xml:space="preserve"> ADDIN ZOTERO_ITEM CSL_CITATION {"citationID":"4zxMDULr","properties":{"formattedCitation":"(S\\uc0\\u225{}nchez, 2021)","plainCitation":"(Sánchez, 2021)","dontUpdate":true,"noteIndex":0},"citationItems":[{"id":20,"uris":["http://zotero.org/users/13562074/items/M9UQFW9K"],"itemData":{"id":20,"type":"document","title":"Microfinanzas en Honduras","author":[{"family":"Sánchez","given":"Raúl"}],"issued":{"date-parts":[["2021",4]]}}}],"schema":"https://github.com/citation-style-language/schema/raw/master/csl-citation.json"} </w:instrText>
      </w:r>
      <w:r>
        <w:fldChar w:fldCharType="separate"/>
      </w:r>
      <w:r w:rsidRPr="00AB3B01">
        <w:t xml:space="preserve">Sánchez </w:t>
      </w:r>
      <w:r>
        <w:t>(</w:t>
      </w:r>
      <w:r w:rsidRPr="00AB3B01">
        <w:t>2021)</w:t>
      </w:r>
      <w:r>
        <w:fldChar w:fldCharType="end"/>
      </w:r>
      <w:r>
        <w:t xml:space="preserve"> </w:t>
      </w:r>
      <w:r w:rsidR="00A90446">
        <w:t xml:space="preserve">determina en su estudio llamado Microfinanzas en Honduras, que para fortalecer al sector </w:t>
      </w:r>
      <w:proofErr w:type="spellStart"/>
      <w:r w:rsidR="00A90446">
        <w:t>microfinanciero</w:t>
      </w:r>
      <w:proofErr w:type="spellEnd"/>
      <w:r w:rsidR="00A90446">
        <w:t xml:space="preserve"> del país se debe de establecer una normativa que facilite penetrar en mayor medida en los sectores rurales, creando incentivos para abrir puntos de servicio en lugares rurales y para que las </w:t>
      </w:r>
      <w:proofErr w:type="spellStart"/>
      <w:r w:rsidR="00A90446">
        <w:t>IMFs</w:t>
      </w:r>
      <w:proofErr w:type="spellEnd"/>
      <w:r w:rsidR="00A90446">
        <w:t xml:space="preserve"> puedan ampliar su red de servicios a través de Cajeros Corresponsales y/</w:t>
      </w:r>
      <w:proofErr w:type="spellStart"/>
      <w:r w:rsidR="00A90446">
        <w:t>o</w:t>
      </w:r>
      <w:proofErr w:type="spellEnd"/>
      <w:r w:rsidR="00A90446">
        <w:t xml:space="preserve"> oficinas, móviles.</w:t>
      </w:r>
    </w:p>
    <w:p w14:paraId="57D50A8A" w14:textId="715ED157" w:rsidR="00BB2F84" w:rsidRDefault="008D3E2F" w:rsidP="00370D3E">
      <w:pPr>
        <w:pStyle w:val="TextoPrincipal"/>
        <w:spacing w:line="360" w:lineRule="auto"/>
      </w:pPr>
      <w:r>
        <w:t xml:space="preserve">De acuerdo con </w:t>
      </w:r>
      <w:r>
        <w:fldChar w:fldCharType="begin"/>
      </w:r>
      <w:r>
        <w:instrText xml:space="preserve"> ADDIN ZOTERO_ITEM CSL_CITATION {"citationID":"mZL07DUe","properties":{"formattedCitation":"(UNAH &amp; EQUIFAX, 2024, p. 5)","plainCitation":"(UNAH &amp; EQUIFAX, 2024, p. 5)","noteIndex":0},"citationItems":[{"id":75,"uris":["http://zotero.org/users/13562074/items/GSHQ7FI5"],"itemData":{"id":75,"type":"document","title":"2do. Estudio del Comportamiento de Crédito de los Hondureños 2023","author":[{"family":"UNAH","given":""},{"family":"EQUIFAX","given":""}],"issued":{"date-parts":[["2024",4]]}},"locator":"5","label":"page"}],"schema":"https://github.com/citation-style-language/schema/raw/master/csl-citation.json"} </w:instrText>
      </w:r>
      <w:r>
        <w:fldChar w:fldCharType="separate"/>
      </w:r>
      <w:r w:rsidRPr="008D3E2F">
        <w:t xml:space="preserve">UNAH &amp; EQUIFAX, </w:t>
      </w:r>
      <w:r>
        <w:t>(</w:t>
      </w:r>
      <w:r w:rsidRPr="008D3E2F">
        <w:t>2024)</w:t>
      </w:r>
      <w:r>
        <w:fldChar w:fldCharType="end"/>
      </w:r>
      <w:r>
        <w:t xml:space="preserve"> en su estudio del año </w:t>
      </w:r>
      <w:r w:rsidRPr="008D3E2F">
        <w:t>2023, la economía hondureña mostró un comportamiento dinámico y resiliente, a pesar de factores externos desfavorables como la guerra entre Rusia y Ucrania, la desaceleración económica global y el debilitamiento del sistema financiero internacional debido a la quiebra de instituciones bancarias. El crecimiento económico del país alcanzó el 3.8%, superando las proyecciones del Banco Central de Honduras, que había estimado un crecimiento de hasta 3.5%</w:t>
      </w:r>
      <w:r>
        <w:t>.</w:t>
      </w:r>
    </w:p>
    <w:p w14:paraId="3FEAA0A9" w14:textId="7D8ECA2C" w:rsidR="008D3E2F" w:rsidRDefault="008D3E2F" w:rsidP="00370D3E">
      <w:pPr>
        <w:pStyle w:val="TextoPrincipal"/>
        <w:spacing w:line="360" w:lineRule="auto"/>
      </w:pPr>
      <w:r w:rsidRPr="008D3E2F">
        <w:t xml:space="preserve">La </w:t>
      </w:r>
      <w:r>
        <w:t>i</w:t>
      </w:r>
      <w:r w:rsidRPr="008D3E2F">
        <w:t xml:space="preserve">ntermediación </w:t>
      </w:r>
      <w:r>
        <w:t>f</w:t>
      </w:r>
      <w:r w:rsidRPr="008D3E2F">
        <w:t>inanciera, junto con los Seguros y Fondos de Pensiones, es fundamental para el desarrollo económico de Honduras, al canalizar recursos hacia diversas actividades económicas y facilitar el acceso al crédito en diferentes modalidades para las familias. Estos sectores no solo apoyan el crecimiento económico, sino que también son clave para la rentabilidad del país. En 2023, su contribución al PIB aumentó un 6.5%, impulsada por un mayor dinamismo en el crédito destinado al comercio, consumo, industria y propiedad raíz. Este último sector se benefició especialmente de los fondos gestionados a través del Fondo de Inversión del Banco Hondureño de la Producción y Vivienda, lo que destaca la importancia de estos mecanismos financieros en el fortalecimiento de la economía nacional.</w:t>
      </w:r>
    </w:p>
    <w:p w14:paraId="0DD8EE05" w14:textId="250EFEB1" w:rsidR="008D3E2F" w:rsidRDefault="00593FED" w:rsidP="00370D3E">
      <w:pPr>
        <w:pStyle w:val="TextoPrincipal"/>
        <w:spacing w:line="360" w:lineRule="auto"/>
      </w:pPr>
      <w:r w:rsidRPr="00593FED">
        <w:t>E</w:t>
      </w:r>
      <w:r>
        <w:t>l</w:t>
      </w:r>
      <w:r w:rsidRPr="00593FED">
        <w:t xml:space="preserve"> crecimiento económico y la mayor disponibilidad de crédito han tenido un impacto positivo en la reducción de la morosidad. La disminución en los porcentajes de mora en </w:t>
      </w:r>
      <w:r>
        <w:t xml:space="preserve">algunas de </w:t>
      </w:r>
      <w:r w:rsidRPr="00593FED">
        <w:t>las IMF se debe en parte a la mayor estabilidad económica y al acceso facilitado a recursos financieros. La intermediación financiera eficiente ha permitido una mejor gestión de los créditos y una mayor capacidad de las familias y empresas para cumplir con sus obligaciones, contribuyendo así a la disminución de los índices de morosidad.</w:t>
      </w:r>
    </w:p>
    <w:p w14:paraId="5B4C6D5A" w14:textId="77777777" w:rsidR="00A62109" w:rsidRDefault="00A62109" w:rsidP="001F3C67">
      <w:pPr>
        <w:pStyle w:val="TextoPrincipal"/>
        <w:spacing w:line="360" w:lineRule="auto"/>
        <w:ind w:firstLine="0"/>
      </w:pPr>
    </w:p>
    <w:p w14:paraId="0074F323" w14:textId="065CE9D1" w:rsidR="00011C92" w:rsidRPr="00011C92" w:rsidRDefault="00011C92" w:rsidP="00A55A1C">
      <w:pPr>
        <w:pStyle w:val="Ttulo3"/>
        <w:spacing w:before="0" w:line="360" w:lineRule="auto"/>
        <w:ind w:left="0" w:firstLine="720"/>
      </w:pPr>
      <w:bookmarkStart w:id="64" w:name="_Toc166705757"/>
      <w:bookmarkStart w:id="65" w:name="_Toc175171359"/>
      <w:r w:rsidRPr="00011C92">
        <w:t>2.1.3. AN</w:t>
      </w:r>
      <w:r w:rsidR="004918FD">
        <w:t>Á</w:t>
      </w:r>
      <w:r w:rsidRPr="00011C92">
        <w:t>LISIS INTERNO</w:t>
      </w:r>
      <w:bookmarkEnd w:id="64"/>
      <w:bookmarkEnd w:id="65"/>
    </w:p>
    <w:p w14:paraId="01596D4C" w14:textId="10A56B2B" w:rsidR="00DD53C1" w:rsidRPr="00DD53C1" w:rsidRDefault="00DD53C1" w:rsidP="004F5D36">
      <w:pPr>
        <w:spacing w:line="360" w:lineRule="auto"/>
        <w:ind w:firstLine="720"/>
        <w:jc w:val="both"/>
        <w:rPr>
          <w:rFonts w:ascii="Times New Roman" w:hAnsi="Times New Roman" w:cs="Times New Roman"/>
          <w:sz w:val="24"/>
          <w:szCs w:val="24"/>
        </w:rPr>
      </w:pPr>
      <w:r w:rsidRPr="00DD53C1">
        <w:rPr>
          <w:rFonts w:ascii="Times New Roman" w:hAnsi="Times New Roman" w:cs="Times New Roman"/>
          <w:sz w:val="24"/>
          <w:szCs w:val="24"/>
        </w:rPr>
        <w:t xml:space="preserve">Microfinanciera </w:t>
      </w:r>
      <w:r w:rsidR="00E5074B">
        <w:rPr>
          <w:rFonts w:ascii="Times New Roman" w:hAnsi="Times New Roman" w:cs="Times New Roman"/>
          <w:sz w:val="24"/>
          <w:szCs w:val="24"/>
        </w:rPr>
        <w:t>“XYZ”</w:t>
      </w:r>
      <w:r w:rsidRPr="00DD53C1">
        <w:rPr>
          <w:rFonts w:ascii="Times New Roman" w:hAnsi="Times New Roman" w:cs="Times New Roman"/>
          <w:sz w:val="24"/>
          <w:szCs w:val="24"/>
        </w:rPr>
        <w:t xml:space="preserve"> es una organización cristiana sin fines de lucro que surge como </w:t>
      </w:r>
      <w:r w:rsidRPr="00DD53C1">
        <w:rPr>
          <w:rFonts w:ascii="Times New Roman" w:hAnsi="Times New Roman" w:cs="Times New Roman"/>
          <w:sz w:val="24"/>
          <w:szCs w:val="24"/>
        </w:rPr>
        <w:lastRenderedPageBreak/>
        <w:t>respuesta a las necesidades de las personas de bajos recursos económicos y con necesidades de acceso a servicios financieros para la ejecución de actividades productivas que contribuyan a su sustento y cuyos servicios puedan entregarse acorde a sus condiciones y necesidades.</w:t>
      </w:r>
    </w:p>
    <w:p w14:paraId="6FC45853" w14:textId="30AD2B03" w:rsidR="00DD53C1" w:rsidRDefault="00DD53C1" w:rsidP="004F5D36">
      <w:pPr>
        <w:spacing w:line="360" w:lineRule="auto"/>
        <w:ind w:firstLine="720"/>
        <w:jc w:val="both"/>
        <w:rPr>
          <w:rFonts w:ascii="Times New Roman" w:hAnsi="Times New Roman" w:cs="Times New Roman"/>
          <w:sz w:val="24"/>
          <w:szCs w:val="24"/>
        </w:rPr>
      </w:pPr>
      <w:r w:rsidRPr="00DD53C1">
        <w:rPr>
          <w:rFonts w:ascii="Times New Roman" w:hAnsi="Times New Roman" w:cs="Times New Roman"/>
          <w:sz w:val="24"/>
          <w:szCs w:val="24"/>
        </w:rPr>
        <w:t>Esta IMF ha estado apoyando a los clientes desde 1995, sirviendo a la micro y pequeña empresa del sector, proporcionando una financiación adecuada a miles de hondureños a los cuales su posición económica les ha privado de los servicios financieros provenientes del sistema bancario tradicional.</w:t>
      </w:r>
    </w:p>
    <w:p w14:paraId="36689702" w14:textId="50E7134B" w:rsidR="00456ED5" w:rsidRDefault="00456ED5" w:rsidP="00456ED5">
      <w:pPr>
        <w:pStyle w:val="TextoPrincipal"/>
        <w:spacing w:line="360" w:lineRule="auto"/>
      </w:pPr>
      <w:r>
        <w:t xml:space="preserve">La institución microfinanciera </w:t>
      </w:r>
      <w:r w:rsidR="00E5074B">
        <w:t>“XYZ”</w:t>
      </w:r>
      <w:r>
        <w:t xml:space="preserve"> nace como una Organización Privada de Desarrollo, siendo en el año 2008 donde esta se convierte en una Organización Privada de Desarrollo Financiero regulada desde entonces por la Comisión Nacional de Bancos y Seguros.</w:t>
      </w:r>
    </w:p>
    <w:p w14:paraId="3E09FD59" w14:textId="4ACE30B4" w:rsidR="00456ED5" w:rsidRPr="00DD53C1" w:rsidRDefault="00456ED5" w:rsidP="00456ED5">
      <w:pPr>
        <w:pStyle w:val="TextoPrincipal"/>
        <w:spacing w:line="360" w:lineRule="auto"/>
      </w:pPr>
      <w:r>
        <w:t>Actualmente esta empresa cuenta con 18 agencias a nivel nacional albergando una cartera de 14,993 clientes, una cartera activa de L 435 millones y un índice de morosidad de 27.81%; datos recopilados al cierre del año 2023.</w:t>
      </w:r>
    </w:p>
    <w:p w14:paraId="159559C7" w14:textId="433BFB3D" w:rsidR="00DD53C1" w:rsidRDefault="00DD53C1" w:rsidP="004F5D36">
      <w:pPr>
        <w:spacing w:line="360" w:lineRule="auto"/>
        <w:ind w:firstLine="720"/>
        <w:jc w:val="both"/>
        <w:rPr>
          <w:rFonts w:ascii="Times New Roman" w:hAnsi="Times New Roman" w:cs="Times New Roman"/>
          <w:sz w:val="24"/>
          <w:szCs w:val="24"/>
        </w:rPr>
      </w:pPr>
      <w:r w:rsidRPr="00DD53C1">
        <w:rPr>
          <w:rFonts w:ascii="Times New Roman" w:hAnsi="Times New Roman" w:cs="Times New Roman"/>
          <w:sz w:val="24"/>
          <w:szCs w:val="24"/>
        </w:rPr>
        <w:t>Durante más de dos décadas han estado ayudando a los pobres, que son capaces de crear su propia empresa. Sus servicios financieros contemplan intervenciones combinadas que ayudan a mejorar sus vidas, el futuro de sus hijos y las comunidades donde viven.</w:t>
      </w:r>
    </w:p>
    <w:p w14:paraId="0C2B15ED" w14:textId="77777777" w:rsidR="00F23BD1" w:rsidRPr="00DD53C1" w:rsidRDefault="00F23BD1" w:rsidP="00F23BD1">
      <w:pPr>
        <w:spacing w:line="360" w:lineRule="auto"/>
        <w:jc w:val="both"/>
        <w:rPr>
          <w:rFonts w:ascii="Times New Roman" w:hAnsi="Times New Roman" w:cs="Times New Roman"/>
          <w:sz w:val="24"/>
          <w:szCs w:val="24"/>
        </w:rPr>
      </w:pPr>
    </w:p>
    <w:p w14:paraId="1DA1E3B0" w14:textId="3BF10801" w:rsidR="00DD53C1" w:rsidRPr="00A55A1C" w:rsidRDefault="00A55A1C" w:rsidP="00A55A1C">
      <w:pPr>
        <w:pStyle w:val="Ttulo4"/>
        <w:ind w:left="0" w:firstLine="1440"/>
      </w:pPr>
      <w:bookmarkStart w:id="66" w:name="_Toc166705758"/>
      <w:bookmarkStart w:id="67" w:name="_Toc175171360"/>
      <w:r w:rsidRPr="00A55A1C">
        <w:t>2.1.3.1. VISIÓN</w:t>
      </w:r>
      <w:bookmarkEnd w:id="66"/>
      <w:bookmarkEnd w:id="67"/>
    </w:p>
    <w:p w14:paraId="66A899D9" w14:textId="77777777" w:rsidR="00DD53C1" w:rsidRPr="00DD53C1" w:rsidRDefault="00DD53C1" w:rsidP="004F5D36">
      <w:pPr>
        <w:spacing w:line="360" w:lineRule="auto"/>
        <w:ind w:firstLine="720"/>
        <w:jc w:val="both"/>
        <w:rPr>
          <w:rFonts w:ascii="Times New Roman" w:hAnsi="Times New Roman" w:cs="Times New Roman"/>
          <w:sz w:val="24"/>
          <w:szCs w:val="24"/>
        </w:rPr>
      </w:pPr>
      <w:r w:rsidRPr="00DD53C1">
        <w:rPr>
          <w:rFonts w:ascii="Times New Roman" w:hAnsi="Times New Roman" w:cs="Times New Roman"/>
          <w:sz w:val="24"/>
          <w:szCs w:val="24"/>
        </w:rPr>
        <w:t>Para cada niño, la vida en toda su plenitud.</w:t>
      </w:r>
    </w:p>
    <w:p w14:paraId="7218B193" w14:textId="0A84795E" w:rsidR="00DD53C1" w:rsidRDefault="00DD53C1" w:rsidP="004F5D36">
      <w:pPr>
        <w:spacing w:line="360" w:lineRule="auto"/>
        <w:ind w:firstLine="720"/>
        <w:jc w:val="both"/>
        <w:rPr>
          <w:rFonts w:ascii="Times New Roman" w:hAnsi="Times New Roman" w:cs="Times New Roman"/>
          <w:sz w:val="24"/>
          <w:szCs w:val="24"/>
        </w:rPr>
      </w:pPr>
      <w:r w:rsidRPr="00DD53C1">
        <w:rPr>
          <w:rFonts w:ascii="Times New Roman" w:hAnsi="Times New Roman" w:cs="Times New Roman"/>
          <w:sz w:val="24"/>
          <w:szCs w:val="24"/>
        </w:rPr>
        <w:t>Nuestra oración para cada corazón, la voluntad de hacerlo así.</w:t>
      </w:r>
    </w:p>
    <w:p w14:paraId="2D13BAD5" w14:textId="77777777" w:rsidR="00F23BD1" w:rsidRPr="00DD53C1" w:rsidRDefault="00F23BD1" w:rsidP="00DD53C1">
      <w:pPr>
        <w:spacing w:line="360" w:lineRule="auto"/>
        <w:jc w:val="both"/>
        <w:rPr>
          <w:rFonts w:ascii="Times New Roman" w:hAnsi="Times New Roman" w:cs="Times New Roman"/>
          <w:sz w:val="24"/>
          <w:szCs w:val="24"/>
        </w:rPr>
      </w:pPr>
    </w:p>
    <w:p w14:paraId="38614984" w14:textId="28CCE43C" w:rsidR="00DD53C1" w:rsidRPr="00A55A1C" w:rsidRDefault="00A55A1C" w:rsidP="00A55A1C">
      <w:pPr>
        <w:pStyle w:val="Ttulo4"/>
        <w:ind w:left="0" w:firstLine="1440"/>
      </w:pPr>
      <w:bookmarkStart w:id="68" w:name="_Toc166705759"/>
      <w:bookmarkStart w:id="69" w:name="_Toc175171361"/>
      <w:r w:rsidRPr="00A55A1C">
        <w:t>2.1.3.2. MISIÓN</w:t>
      </w:r>
      <w:bookmarkEnd w:id="68"/>
      <w:bookmarkEnd w:id="69"/>
    </w:p>
    <w:p w14:paraId="074E2333" w14:textId="45A0A1FA" w:rsidR="00DD53C1" w:rsidRPr="00DD53C1" w:rsidRDefault="00DD53C1" w:rsidP="004F5D36">
      <w:pPr>
        <w:spacing w:line="360" w:lineRule="auto"/>
        <w:ind w:firstLine="720"/>
        <w:jc w:val="both"/>
        <w:rPr>
          <w:rFonts w:ascii="Times New Roman" w:hAnsi="Times New Roman" w:cs="Times New Roman"/>
          <w:sz w:val="24"/>
          <w:szCs w:val="24"/>
        </w:rPr>
      </w:pPr>
      <w:r w:rsidRPr="00DD53C1">
        <w:rPr>
          <w:rFonts w:ascii="Times New Roman" w:hAnsi="Times New Roman" w:cs="Times New Roman"/>
          <w:sz w:val="24"/>
          <w:szCs w:val="24"/>
        </w:rPr>
        <w:t>Creemos en un futuro más brillante para los niños.</w:t>
      </w:r>
    </w:p>
    <w:p w14:paraId="5BA911A0" w14:textId="77777777" w:rsidR="00DD53C1" w:rsidRPr="00DD53C1" w:rsidRDefault="00DD53C1" w:rsidP="004F5D36">
      <w:pPr>
        <w:spacing w:line="360" w:lineRule="auto"/>
        <w:ind w:firstLine="720"/>
        <w:jc w:val="both"/>
        <w:rPr>
          <w:rFonts w:ascii="Times New Roman" w:hAnsi="Times New Roman" w:cs="Times New Roman"/>
          <w:sz w:val="24"/>
          <w:szCs w:val="24"/>
        </w:rPr>
      </w:pPr>
      <w:r w:rsidRPr="00DD53C1">
        <w:rPr>
          <w:rFonts w:ascii="Times New Roman" w:hAnsi="Times New Roman" w:cs="Times New Roman"/>
          <w:sz w:val="24"/>
          <w:szCs w:val="24"/>
        </w:rPr>
        <w:t>Empoderar a las familias para generar ingresos y empleo.</w:t>
      </w:r>
    </w:p>
    <w:p w14:paraId="68048BD4" w14:textId="1730B928" w:rsidR="00DD53C1" w:rsidRDefault="00DD53C1" w:rsidP="004F5D36">
      <w:pPr>
        <w:spacing w:line="360" w:lineRule="auto"/>
        <w:ind w:firstLine="720"/>
        <w:jc w:val="both"/>
        <w:rPr>
          <w:rFonts w:ascii="Times New Roman" w:hAnsi="Times New Roman" w:cs="Times New Roman"/>
          <w:sz w:val="24"/>
          <w:szCs w:val="24"/>
        </w:rPr>
      </w:pPr>
      <w:r w:rsidRPr="00DD53C1">
        <w:rPr>
          <w:rFonts w:ascii="Times New Roman" w:hAnsi="Times New Roman" w:cs="Times New Roman"/>
          <w:sz w:val="24"/>
          <w:szCs w:val="24"/>
        </w:rPr>
        <w:t>Liberar el potencial económico para que las comunidades prosperen.</w:t>
      </w:r>
    </w:p>
    <w:p w14:paraId="579CF116" w14:textId="77777777" w:rsidR="00F23BD1" w:rsidRPr="00DD53C1" w:rsidRDefault="00F23BD1" w:rsidP="00DD53C1">
      <w:pPr>
        <w:spacing w:line="360" w:lineRule="auto"/>
        <w:jc w:val="both"/>
        <w:rPr>
          <w:rFonts w:ascii="Times New Roman" w:hAnsi="Times New Roman" w:cs="Times New Roman"/>
          <w:sz w:val="24"/>
          <w:szCs w:val="24"/>
        </w:rPr>
      </w:pPr>
    </w:p>
    <w:p w14:paraId="117545B9" w14:textId="1D3624C8" w:rsidR="00DD53C1" w:rsidRPr="00A55A1C" w:rsidRDefault="00A55A1C" w:rsidP="00A55A1C">
      <w:pPr>
        <w:pStyle w:val="Ttulo4"/>
        <w:ind w:left="0" w:firstLine="1440"/>
      </w:pPr>
      <w:bookmarkStart w:id="70" w:name="_Toc166705760"/>
      <w:bookmarkStart w:id="71" w:name="_Toc175171362"/>
      <w:r w:rsidRPr="00A55A1C">
        <w:t>2.1.3.3. VALORES</w:t>
      </w:r>
      <w:bookmarkEnd w:id="70"/>
      <w:bookmarkEnd w:id="71"/>
    </w:p>
    <w:p w14:paraId="78029B8A" w14:textId="77777777" w:rsidR="00F667F4" w:rsidRDefault="00F667F4" w:rsidP="00DD53C1">
      <w:pPr>
        <w:pStyle w:val="Prrafodelista"/>
        <w:numPr>
          <w:ilvl w:val="0"/>
          <w:numId w:val="14"/>
        </w:numPr>
        <w:spacing w:line="360" w:lineRule="auto"/>
        <w:jc w:val="both"/>
        <w:rPr>
          <w:rFonts w:ascii="Times New Roman" w:hAnsi="Times New Roman" w:cs="Times New Roman"/>
          <w:sz w:val="24"/>
          <w:szCs w:val="24"/>
        </w:rPr>
        <w:sectPr w:rsidR="00F667F4" w:rsidSect="00342E08">
          <w:pgSz w:w="12240" w:h="15840" w:code="1"/>
          <w:pgMar w:top="1440" w:right="1440" w:bottom="1440" w:left="1440" w:header="709" w:footer="709" w:gutter="0"/>
          <w:pgNumType w:start="1"/>
          <w:cols w:space="708"/>
          <w:docGrid w:linePitch="360"/>
        </w:sectPr>
      </w:pPr>
    </w:p>
    <w:p w14:paraId="5B007511" w14:textId="556B1C83" w:rsidR="00DD53C1" w:rsidRPr="00DD53C1" w:rsidRDefault="00DD53C1" w:rsidP="00DD53C1">
      <w:pPr>
        <w:pStyle w:val="Prrafodelista"/>
        <w:numPr>
          <w:ilvl w:val="0"/>
          <w:numId w:val="14"/>
        </w:numPr>
        <w:spacing w:line="360" w:lineRule="auto"/>
        <w:jc w:val="both"/>
        <w:rPr>
          <w:rFonts w:ascii="Times New Roman" w:hAnsi="Times New Roman" w:cs="Times New Roman"/>
          <w:sz w:val="24"/>
          <w:szCs w:val="24"/>
        </w:rPr>
      </w:pPr>
      <w:r w:rsidRPr="00DD53C1">
        <w:rPr>
          <w:rFonts w:ascii="Times New Roman" w:hAnsi="Times New Roman" w:cs="Times New Roman"/>
          <w:sz w:val="24"/>
          <w:szCs w:val="24"/>
        </w:rPr>
        <w:t>Somos cristianos</w:t>
      </w:r>
    </w:p>
    <w:p w14:paraId="3B97E31E" w14:textId="77777777" w:rsidR="00DD53C1" w:rsidRPr="00DD53C1" w:rsidRDefault="00DD53C1" w:rsidP="00DD53C1">
      <w:pPr>
        <w:pStyle w:val="Prrafodelista"/>
        <w:numPr>
          <w:ilvl w:val="0"/>
          <w:numId w:val="14"/>
        </w:numPr>
        <w:spacing w:line="360" w:lineRule="auto"/>
        <w:jc w:val="both"/>
        <w:rPr>
          <w:rFonts w:ascii="Times New Roman" w:hAnsi="Times New Roman" w:cs="Times New Roman"/>
          <w:sz w:val="24"/>
          <w:szCs w:val="24"/>
        </w:rPr>
      </w:pPr>
      <w:r w:rsidRPr="00DD53C1">
        <w:rPr>
          <w:rFonts w:ascii="Times New Roman" w:hAnsi="Times New Roman" w:cs="Times New Roman"/>
          <w:sz w:val="24"/>
          <w:szCs w:val="24"/>
        </w:rPr>
        <w:t>Estamos comprometidos con los pobres</w:t>
      </w:r>
    </w:p>
    <w:p w14:paraId="4CF0DCD9" w14:textId="77777777" w:rsidR="00DD53C1" w:rsidRPr="00DD53C1" w:rsidRDefault="00DD53C1" w:rsidP="00DD53C1">
      <w:pPr>
        <w:pStyle w:val="Prrafodelista"/>
        <w:numPr>
          <w:ilvl w:val="0"/>
          <w:numId w:val="14"/>
        </w:numPr>
        <w:spacing w:line="360" w:lineRule="auto"/>
        <w:jc w:val="both"/>
        <w:rPr>
          <w:rFonts w:ascii="Times New Roman" w:hAnsi="Times New Roman" w:cs="Times New Roman"/>
          <w:sz w:val="24"/>
          <w:szCs w:val="24"/>
        </w:rPr>
      </w:pPr>
      <w:r w:rsidRPr="00DD53C1">
        <w:rPr>
          <w:rFonts w:ascii="Times New Roman" w:hAnsi="Times New Roman" w:cs="Times New Roman"/>
          <w:sz w:val="24"/>
          <w:szCs w:val="24"/>
        </w:rPr>
        <w:t>Valoramos a las personas</w:t>
      </w:r>
    </w:p>
    <w:p w14:paraId="4F5560B3" w14:textId="77777777" w:rsidR="00DD53C1" w:rsidRPr="00DD53C1" w:rsidRDefault="00DD53C1" w:rsidP="00DD53C1">
      <w:pPr>
        <w:pStyle w:val="Prrafodelista"/>
        <w:numPr>
          <w:ilvl w:val="0"/>
          <w:numId w:val="14"/>
        </w:numPr>
        <w:spacing w:line="360" w:lineRule="auto"/>
        <w:jc w:val="both"/>
        <w:rPr>
          <w:rFonts w:ascii="Times New Roman" w:hAnsi="Times New Roman" w:cs="Times New Roman"/>
          <w:sz w:val="24"/>
          <w:szCs w:val="24"/>
        </w:rPr>
      </w:pPr>
      <w:r w:rsidRPr="00DD53C1">
        <w:rPr>
          <w:rFonts w:ascii="Times New Roman" w:hAnsi="Times New Roman" w:cs="Times New Roman"/>
          <w:sz w:val="24"/>
          <w:szCs w:val="24"/>
        </w:rPr>
        <w:t>Somos compañeros</w:t>
      </w:r>
    </w:p>
    <w:p w14:paraId="196B9423" w14:textId="77777777" w:rsidR="00DD53C1" w:rsidRPr="00DD53C1" w:rsidRDefault="00DD53C1" w:rsidP="00DD53C1">
      <w:pPr>
        <w:pStyle w:val="Prrafodelista"/>
        <w:numPr>
          <w:ilvl w:val="0"/>
          <w:numId w:val="14"/>
        </w:numPr>
        <w:spacing w:line="360" w:lineRule="auto"/>
        <w:jc w:val="both"/>
        <w:rPr>
          <w:rFonts w:ascii="Times New Roman" w:hAnsi="Times New Roman" w:cs="Times New Roman"/>
          <w:sz w:val="24"/>
          <w:szCs w:val="24"/>
        </w:rPr>
      </w:pPr>
      <w:r w:rsidRPr="00DD53C1">
        <w:rPr>
          <w:rFonts w:ascii="Times New Roman" w:hAnsi="Times New Roman" w:cs="Times New Roman"/>
          <w:sz w:val="24"/>
          <w:szCs w:val="24"/>
        </w:rPr>
        <w:t>Estamos al servicio de la gente</w:t>
      </w:r>
    </w:p>
    <w:p w14:paraId="1715E62F" w14:textId="2B83A1E7" w:rsidR="00F667F4" w:rsidRPr="00F667F4" w:rsidRDefault="00DD53C1" w:rsidP="00F667F4">
      <w:pPr>
        <w:pStyle w:val="Prrafodelista"/>
        <w:numPr>
          <w:ilvl w:val="0"/>
          <w:numId w:val="14"/>
        </w:numPr>
        <w:spacing w:line="360" w:lineRule="auto"/>
        <w:jc w:val="both"/>
        <w:rPr>
          <w:rFonts w:ascii="Times New Roman" w:hAnsi="Times New Roman" w:cs="Times New Roman"/>
          <w:sz w:val="24"/>
          <w:szCs w:val="24"/>
        </w:rPr>
        <w:sectPr w:rsidR="00F667F4" w:rsidRPr="00F667F4" w:rsidSect="00F667F4">
          <w:type w:val="continuous"/>
          <w:pgSz w:w="12240" w:h="15840" w:code="1"/>
          <w:pgMar w:top="1440" w:right="1440" w:bottom="1440" w:left="1440" w:header="709" w:footer="709" w:gutter="0"/>
          <w:pgNumType w:start="1"/>
          <w:cols w:num="2" w:space="708"/>
          <w:docGrid w:linePitch="360"/>
        </w:sectPr>
      </w:pPr>
      <w:r w:rsidRPr="00DD53C1">
        <w:rPr>
          <w:rFonts w:ascii="Times New Roman" w:hAnsi="Times New Roman" w:cs="Times New Roman"/>
          <w:sz w:val="24"/>
          <w:szCs w:val="24"/>
        </w:rPr>
        <w:t>Somos receptivos y entusiastas</w:t>
      </w:r>
    </w:p>
    <w:p w14:paraId="435C9FE2" w14:textId="75F398B4" w:rsidR="00920EB7" w:rsidRPr="00A55A1C" w:rsidRDefault="00A55A1C" w:rsidP="00A55A1C">
      <w:pPr>
        <w:pStyle w:val="Ttulo4"/>
        <w:ind w:left="0" w:firstLine="1440"/>
        <w:rPr>
          <w:rFonts w:cs="Times New Roman"/>
        </w:rPr>
      </w:pPr>
      <w:bookmarkStart w:id="72" w:name="_Toc166705761"/>
      <w:bookmarkStart w:id="73" w:name="_Toc175171363"/>
      <w:r w:rsidRPr="00A55A1C">
        <w:lastRenderedPageBreak/>
        <w:t>2.1.3.4. SERVICIOS OFERTADOS</w:t>
      </w:r>
      <w:bookmarkEnd w:id="72"/>
      <w:bookmarkEnd w:id="73"/>
    </w:p>
    <w:p w14:paraId="41F083FA" w14:textId="547B2376" w:rsidR="004C7AC3" w:rsidRPr="004C7AC3" w:rsidRDefault="004C7AC3" w:rsidP="004C7AC3">
      <w:pPr>
        <w:spacing w:line="360" w:lineRule="auto"/>
        <w:ind w:firstLine="708"/>
        <w:jc w:val="both"/>
        <w:rPr>
          <w:rFonts w:ascii="Times New Roman" w:hAnsi="Times New Roman" w:cs="Times New Roman"/>
          <w:sz w:val="24"/>
          <w:szCs w:val="24"/>
        </w:rPr>
      </w:pPr>
      <w:r w:rsidRPr="004C7AC3">
        <w:rPr>
          <w:rFonts w:ascii="Times New Roman" w:hAnsi="Times New Roman" w:cs="Times New Roman"/>
          <w:sz w:val="24"/>
          <w:szCs w:val="24"/>
        </w:rPr>
        <w:t xml:space="preserve">En IMF </w:t>
      </w:r>
      <w:r w:rsidR="00E5074B">
        <w:rPr>
          <w:rFonts w:ascii="Times New Roman" w:hAnsi="Times New Roman" w:cs="Times New Roman"/>
          <w:sz w:val="24"/>
          <w:szCs w:val="24"/>
        </w:rPr>
        <w:t>“XYZ”</w:t>
      </w:r>
      <w:r w:rsidRPr="004C7AC3">
        <w:rPr>
          <w:rFonts w:ascii="Times New Roman" w:hAnsi="Times New Roman" w:cs="Times New Roman"/>
          <w:sz w:val="24"/>
          <w:szCs w:val="24"/>
        </w:rPr>
        <w:t xml:space="preserve"> se ofrecen una gran selección de préstamos a precios muy competitivos que los diferencian de la competencia, como ser:</w:t>
      </w:r>
    </w:p>
    <w:p w14:paraId="4303D30E" w14:textId="7AFFC541" w:rsidR="004C7AC3" w:rsidRPr="00F23BD1" w:rsidRDefault="00F23BD1" w:rsidP="00B32370">
      <w:pPr>
        <w:spacing w:line="360" w:lineRule="auto"/>
        <w:ind w:firstLine="708"/>
        <w:jc w:val="both"/>
        <w:rPr>
          <w:rFonts w:ascii="Times New Roman" w:hAnsi="Times New Roman" w:cs="Times New Roman"/>
          <w:sz w:val="24"/>
          <w:szCs w:val="24"/>
        </w:rPr>
      </w:pPr>
      <w:r>
        <w:rPr>
          <w:rFonts w:ascii="Times New Roman" w:hAnsi="Times New Roman" w:cs="Times New Roman"/>
          <w:b/>
          <w:bCs/>
          <w:i/>
          <w:iCs/>
          <w:sz w:val="24"/>
          <w:szCs w:val="24"/>
          <w:u w:val="single"/>
        </w:rPr>
        <w:t xml:space="preserve">1.- </w:t>
      </w:r>
      <w:proofErr w:type="spellStart"/>
      <w:r w:rsidR="004C7AC3" w:rsidRPr="00F23BD1">
        <w:rPr>
          <w:rFonts w:ascii="Times New Roman" w:hAnsi="Times New Roman" w:cs="Times New Roman"/>
          <w:b/>
          <w:bCs/>
          <w:i/>
          <w:iCs/>
          <w:sz w:val="24"/>
          <w:szCs w:val="24"/>
          <w:u w:val="single"/>
        </w:rPr>
        <w:t>Crediproductivo</w:t>
      </w:r>
      <w:proofErr w:type="spellEnd"/>
      <w:r w:rsidR="004C7AC3" w:rsidRPr="00F23BD1">
        <w:rPr>
          <w:rFonts w:ascii="Times New Roman" w:hAnsi="Times New Roman" w:cs="Times New Roman"/>
          <w:b/>
          <w:bCs/>
          <w:i/>
          <w:iCs/>
          <w:sz w:val="24"/>
          <w:szCs w:val="24"/>
          <w:u w:val="single"/>
        </w:rPr>
        <w:t>:</w:t>
      </w:r>
      <w:r w:rsidR="004C7AC3" w:rsidRPr="00F23BD1">
        <w:rPr>
          <w:rFonts w:ascii="Times New Roman" w:hAnsi="Times New Roman" w:cs="Times New Roman"/>
          <w:sz w:val="24"/>
          <w:szCs w:val="24"/>
        </w:rPr>
        <w:t xml:space="preserve"> Se destina únicamente para capital de trabajo.</w:t>
      </w:r>
    </w:p>
    <w:p w14:paraId="04C493A3" w14:textId="77777777" w:rsidR="004C7AC3" w:rsidRPr="00F23BD1" w:rsidRDefault="004C7AC3" w:rsidP="004C7AC3">
      <w:pPr>
        <w:spacing w:line="360" w:lineRule="auto"/>
        <w:jc w:val="both"/>
        <w:rPr>
          <w:rFonts w:ascii="Times New Roman" w:hAnsi="Times New Roman" w:cs="Times New Roman"/>
          <w:i/>
          <w:iCs/>
          <w:sz w:val="24"/>
          <w:szCs w:val="24"/>
        </w:rPr>
      </w:pPr>
      <w:r w:rsidRPr="00F23BD1">
        <w:rPr>
          <w:rFonts w:ascii="Times New Roman" w:hAnsi="Times New Roman" w:cs="Times New Roman"/>
          <w:i/>
          <w:iCs/>
          <w:sz w:val="24"/>
          <w:szCs w:val="24"/>
        </w:rPr>
        <w:t>Actividades a las que aplica:</w:t>
      </w:r>
    </w:p>
    <w:p w14:paraId="78F62AEC" w14:textId="77777777" w:rsidR="00816B30" w:rsidRDefault="00816B30" w:rsidP="00F23BD1">
      <w:pPr>
        <w:pStyle w:val="Prrafodelista"/>
        <w:numPr>
          <w:ilvl w:val="0"/>
          <w:numId w:val="19"/>
        </w:numPr>
        <w:spacing w:line="360" w:lineRule="auto"/>
        <w:jc w:val="both"/>
        <w:rPr>
          <w:rFonts w:ascii="Times New Roman" w:hAnsi="Times New Roman" w:cs="Times New Roman"/>
          <w:sz w:val="24"/>
          <w:szCs w:val="24"/>
        </w:rPr>
        <w:sectPr w:rsidR="00816B30" w:rsidSect="00F667F4">
          <w:type w:val="continuous"/>
          <w:pgSz w:w="12240" w:h="15840" w:code="1"/>
          <w:pgMar w:top="1440" w:right="1440" w:bottom="1440" w:left="1440" w:header="709" w:footer="709" w:gutter="0"/>
          <w:pgNumType w:start="1"/>
          <w:cols w:space="708"/>
          <w:docGrid w:linePitch="360"/>
        </w:sectPr>
      </w:pPr>
    </w:p>
    <w:p w14:paraId="046075A3" w14:textId="77777777" w:rsidR="004C7AC3" w:rsidRPr="00F23BD1" w:rsidRDefault="004C7AC3" w:rsidP="00F23BD1">
      <w:pPr>
        <w:pStyle w:val="Prrafodelista"/>
        <w:numPr>
          <w:ilvl w:val="0"/>
          <w:numId w:val="19"/>
        </w:numPr>
        <w:spacing w:line="360" w:lineRule="auto"/>
        <w:jc w:val="both"/>
        <w:rPr>
          <w:rFonts w:ascii="Times New Roman" w:hAnsi="Times New Roman" w:cs="Times New Roman"/>
          <w:sz w:val="24"/>
          <w:szCs w:val="24"/>
        </w:rPr>
      </w:pPr>
      <w:r w:rsidRPr="00F23BD1">
        <w:rPr>
          <w:rFonts w:ascii="Times New Roman" w:hAnsi="Times New Roman" w:cs="Times New Roman"/>
          <w:sz w:val="24"/>
          <w:szCs w:val="24"/>
        </w:rPr>
        <w:t>Comercio</w:t>
      </w:r>
    </w:p>
    <w:p w14:paraId="038DA225" w14:textId="77777777" w:rsidR="004C7AC3" w:rsidRPr="00F23BD1" w:rsidRDefault="004C7AC3" w:rsidP="00F23BD1">
      <w:pPr>
        <w:pStyle w:val="Prrafodelista"/>
        <w:numPr>
          <w:ilvl w:val="0"/>
          <w:numId w:val="19"/>
        </w:numPr>
        <w:spacing w:line="360" w:lineRule="auto"/>
        <w:jc w:val="both"/>
        <w:rPr>
          <w:rFonts w:ascii="Times New Roman" w:hAnsi="Times New Roman" w:cs="Times New Roman"/>
          <w:sz w:val="24"/>
          <w:szCs w:val="24"/>
        </w:rPr>
      </w:pPr>
      <w:r w:rsidRPr="00F23BD1">
        <w:rPr>
          <w:rFonts w:ascii="Times New Roman" w:hAnsi="Times New Roman" w:cs="Times New Roman"/>
          <w:sz w:val="24"/>
          <w:szCs w:val="24"/>
        </w:rPr>
        <w:t>Servicio</w:t>
      </w:r>
    </w:p>
    <w:p w14:paraId="2AA77270" w14:textId="6D33F01F" w:rsidR="004C7AC3" w:rsidRDefault="004C7AC3" w:rsidP="004C7AC3">
      <w:pPr>
        <w:pStyle w:val="Prrafodelista"/>
        <w:numPr>
          <w:ilvl w:val="0"/>
          <w:numId w:val="19"/>
        </w:numPr>
        <w:spacing w:line="360" w:lineRule="auto"/>
        <w:jc w:val="both"/>
        <w:rPr>
          <w:rFonts w:ascii="Times New Roman" w:hAnsi="Times New Roman" w:cs="Times New Roman"/>
          <w:sz w:val="24"/>
          <w:szCs w:val="24"/>
        </w:rPr>
      </w:pPr>
      <w:r w:rsidRPr="00F23BD1">
        <w:rPr>
          <w:rFonts w:ascii="Times New Roman" w:hAnsi="Times New Roman" w:cs="Times New Roman"/>
          <w:sz w:val="24"/>
          <w:szCs w:val="24"/>
        </w:rPr>
        <w:t>Industria</w:t>
      </w:r>
    </w:p>
    <w:p w14:paraId="16D99C6B" w14:textId="77777777" w:rsidR="00816B30" w:rsidRDefault="00816B30" w:rsidP="00816B30">
      <w:pPr>
        <w:pStyle w:val="Prrafodelista"/>
        <w:spacing w:line="360" w:lineRule="auto"/>
        <w:ind w:left="720"/>
        <w:jc w:val="both"/>
        <w:rPr>
          <w:rFonts w:ascii="Times New Roman" w:hAnsi="Times New Roman" w:cs="Times New Roman"/>
          <w:sz w:val="24"/>
          <w:szCs w:val="24"/>
        </w:rPr>
        <w:sectPr w:rsidR="00816B30" w:rsidSect="00816B30">
          <w:type w:val="continuous"/>
          <w:pgSz w:w="12240" w:h="15840" w:code="1"/>
          <w:pgMar w:top="1440" w:right="1440" w:bottom="1440" w:left="1440" w:header="709" w:footer="709" w:gutter="0"/>
          <w:pgNumType w:start="1"/>
          <w:cols w:num="3" w:space="708"/>
          <w:docGrid w:linePitch="360"/>
        </w:sectPr>
      </w:pPr>
    </w:p>
    <w:p w14:paraId="50BAD163" w14:textId="77777777" w:rsidR="00816B30" w:rsidRPr="00F23BD1" w:rsidRDefault="00816B30" w:rsidP="00816B30">
      <w:pPr>
        <w:pStyle w:val="Prrafodelista"/>
        <w:spacing w:line="360" w:lineRule="auto"/>
        <w:ind w:left="720"/>
        <w:jc w:val="both"/>
        <w:rPr>
          <w:rFonts w:ascii="Times New Roman" w:hAnsi="Times New Roman" w:cs="Times New Roman"/>
          <w:sz w:val="24"/>
          <w:szCs w:val="24"/>
        </w:rPr>
      </w:pPr>
    </w:p>
    <w:p w14:paraId="688F3438" w14:textId="7A1E07F7" w:rsidR="004C7AC3" w:rsidRPr="00F23BD1" w:rsidRDefault="00F23BD1" w:rsidP="00B32370">
      <w:pPr>
        <w:spacing w:line="360" w:lineRule="auto"/>
        <w:ind w:firstLine="708"/>
        <w:jc w:val="both"/>
        <w:rPr>
          <w:rFonts w:ascii="Times New Roman" w:hAnsi="Times New Roman" w:cs="Times New Roman"/>
          <w:sz w:val="24"/>
          <w:szCs w:val="24"/>
        </w:rPr>
      </w:pPr>
      <w:r>
        <w:rPr>
          <w:rFonts w:ascii="Times New Roman" w:hAnsi="Times New Roman" w:cs="Times New Roman"/>
          <w:b/>
          <w:bCs/>
          <w:i/>
          <w:iCs/>
          <w:sz w:val="24"/>
          <w:szCs w:val="24"/>
          <w:u w:val="single"/>
        </w:rPr>
        <w:t xml:space="preserve">2.- </w:t>
      </w:r>
      <w:proofErr w:type="spellStart"/>
      <w:r w:rsidR="004C7AC3" w:rsidRPr="00F23BD1">
        <w:rPr>
          <w:rFonts w:ascii="Times New Roman" w:hAnsi="Times New Roman" w:cs="Times New Roman"/>
          <w:b/>
          <w:bCs/>
          <w:i/>
          <w:iCs/>
          <w:sz w:val="24"/>
          <w:szCs w:val="24"/>
          <w:u w:val="single"/>
        </w:rPr>
        <w:t>Credimejora</w:t>
      </w:r>
      <w:proofErr w:type="spellEnd"/>
      <w:r w:rsidR="004C7AC3" w:rsidRPr="00F23BD1">
        <w:rPr>
          <w:rFonts w:ascii="Times New Roman" w:hAnsi="Times New Roman" w:cs="Times New Roman"/>
          <w:b/>
          <w:bCs/>
          <w:i/>
          <w:iCs/>
          <w:sz w:val="24"/>
          <w:szCs w:val="24"/>
          <w:u w:val="single"/>
        </w:rPr>
        <w:t>:</w:t>
      </w:r>
      <w:r w:rsidR="004C7AC3" w:rsidRPr="00F23BD1">
        <w:rPr>
          <w:rFonts w:ascii="Times New Roman" w:hAnsi="Times New Roman" w:cs="Times New Roman"/>
          <w:sz w:val="24"/>
          <w:szCs w:val="24"/>
        </w:rPr>
        <w:t xml:space="preserve"> Esta dirigido a microempresarios que buscan mejorar las condiciones habitacionales, vivienda productiva, reducción del riesgo de enfermedades e infecciones y/o contribución del control de hacinamiento.</w:t>
      </w:r>
    </w:p>
    <w:p w14:paraId="58D34A45" w14:textId="77777777" w:rsidR="004C7AC3" w:rsidRPr="00F23BD1" w:rsidRDefault="004C7AC3" w:rsidP="004C7AC3">
      <w:pPr>
        <w:spacing w:line="360" w:lineRule="auto"/>
        <w:jc w:val="both"/>
        <w:rPr>
          <w:rFonts w:ascii="Times New Roman" w:hAnsi="Times New Roman" w:cs="Times New Roman"/>
          <w:i/>
          <w:iCs/>
          <w:sz w:val="24"/>
          <w:szCs w:val="24"/>
        </w:rPr>
      </w:pPr>
      <w:r w:rsidRPr="00F23BD1">
        <w:rPr>
          <w:rFonts w:ascii="Times New Roman" w:hAnsi="Times New Roman" w:cs="Times New Roman"/>
          <w:i/>
          <w:iCs/>
          <w:sz w:val="24"/>
          <w:szCs w:val="24"/>
        </w:rPr>
        <w:t>Actividades a las que aplica:</w:t>
      </w:r>
    </w:p>
    <w:p w14:paraId="355271F0" w14:textId="77777777" w:rsidR="00816B30" w:rsidRDefault="00816B30" w:rsidP="00F23BD1">
      <w:pPr>
        <w:pStyle w:val="Prrafodelista"/>
        <w:numPr>
          <w:ilvl w:val="0"/>
          <w:numId w:val="18"/>
        </w:numPr>
        <w:spacing w:line="360" w:lineRule="auto"/>
        <w:jc w:val="both"/>
        <w:rPr>
          <w:rFonts w:ascii="Times New Roman" w:hAnsi="Times New Roman" w:cs="Times New Roman"/>
          <w:sz w:val="24"/>
          <w:szCs w:val="24"/>
        </w:rPr>
        <w:sectPr w:rsidR="00816B30" w:rsidSect="00F667F4">
          <w:type w:val="continuous"/>
          <w:pgSz w:w="12240" w:h="15840" w:code="1"/>
          <w:pgMar w:top="1440" w:right="1440" w:bottom="1440" w:left="1440" w:header="709" w:footer="709" w:gutter="0"/>
          <w:pgNumType w:start="1"/>
          <w:cols w:space="708"/>
          <w:docGrid w:linePitch="360"/>
        </w:sectPr>
      </w:pPr>
    </w:p>
    <w:p w14:paraId="3CD5118F" w14:textId="77777777" w:rsidR="004C7AC3" w:rsidRPr="00F23BD1" w:rsidRDefault="004C7AC3" w:rsidP="00F23BD1">
      <w:pPr>
        <w:pStyle w:val="Prrafodelista"/>
        <w:numPr>
          <w:ilvl w:val="0"/>
          <w:numId w:val="18"/>
        </w:numPr>
        <w:spacing w:line="360" w:lineRule="auto"/>
        <w:jc w:val="both"/>
        <w:rPr>
          <w:rFonts w:ascii="Times New Roman" w:hAnsi="Times New Roman" w:cs="Times New Roman"/>
          <w:sz w:val="24"/>
          <w:szCs w:val="24"/>
        </w:rPr>
      </w:pPr>
      <w:r w:rsidRPr="00F23BD1">
        <w:rPr>
          <w:rFonts w:ascii="Times New Roman" w:hAnsi="Times New Roman" w:cs="Times New Roman"/>
          <w:sz w:val="24"/>
          <w:szCs w:val="24"/>
        </w:rPr>
        <w:t>Comercio</w:t>
      </w:r>
    </w:p>
    <w:p w14:paraId="550F6248" w14:textId="77777777" w:rsidR="004C7AC3" w:rsidRPr="00F23BD1" w:rsidRDefault="004C7AC3" w:rsidP="00F23BD1">
      <w:pPr>
        <w:pStyle w:val="Prrafodelista"/>
        <w:numPr>
          <w:ilvl w:val="0"/>
          <w:numId w:val="18"/>
        </w:numPr>
        <w:spacing w:line="360" w:lineRule="auto"/>
        <w:jc w:val="both"/>
        <w:rPr>
          <w:rFonts w:ascii="Times New Roman" w:hAnsi="Times New Roman" w:cs="Times New Roman"/>
          <w:sz w:val="24"/>
          <w:szCs w:val="24"/>
        </w:rPr>
      </w:pPr>
      <w:r w:rsidRPr="00F23BD1">
        <w:rPr>
          <w:rFonts w:ascii="Times New Roman" w:hAnsi="Times New Roman" w:cs="Times New Roman"/>
          <w:sz w:val="24"/>
          <w:szCs w:val="24"/>
        </w:rPr>
        <w:t>Servicio</w:t>
      </w:r>
    </w:p>
    <w:p w14:paraId="38A20D98" w14:textId="3FAE02E9" w:rsidR="00F23BD1" w:rsidRDefault="004C7AC3" w:rsidP="004C7AC3">
      <w:pPr>
        <w:pStyle w:val="Prrafodelista"/>
        <w:numPr>
          <w:ilvl w:val="0"/>
          <w:numId w:val="18"/>
        </w:numPr>
        <w:spacing w:line="360" w:lineRule="auto"/>
        <w:jc w:val="both"/>
        <w:rPr>
          <w:rFonts w:ascii="Times New Roman" w:hAnsi="Times New Roman" w:cs="Times New Roman"/>
          <w:sz w:val="24"/>
          <w:szCs w:val="24"/>
        </w:rPr>
      </w:pPr>
      <w:r w:rsidRPr="00F23BD1">
        <w:rPr>
          <w:rFonts w:ascii="Times New Roman" w:hAnsi="Times New Roman" w:cs="Times New Roman"/>
          <w:sz w:val="24"/>
          <w:szCs w:val="24"/>
        </w:rPr>
        <w:t>Industria</w:t>
      </w:r>
    </w:p>
    <w:p w14:paraId="36E9DF73" w14:textId="77777777" w:rsidR="00816B30" w:rsidRDefault="00816B30" w:rsidP="00816B30">
      <w:pPr>
        <w:pStyle w:val="Prrafodelista"/>
        <w:spacing w:line="360" w:lineRule="auto"/>
        <w:ind w:left="720"/>
        <w:jc w:val="both"/>
        <w:rPr>
          <w:rFonts w:ascii="Times New Roman" w:hAnsi="Times New Roman" w:cs="Times New Roman"/>
          <w:sz w:val="24"/>
          <w:szCs w:val="24"/>
        </w:rPr>
        <w:sectPr w:rsidR="00816B30" w:rsidSect="00816B30">
          <w:type w:val="continuous"/>
          <w:pgSz w:w="12240" w:h="15840" w:code="1"/>
          <w:pgMar w:top="1440" w:right="1440" w:bottom="1440" w:left="1440" w:header="709" w:footer="709" w:gutter="0"/>
          <w:pgNumType w:start="1"/>
          <w:cols w:num="3" w:space="708"/>
          <w:docGrid w:linePitch="360"/>
        </w:sectPr>
      </w:pPr>
    </w:p>
    <w:p w14:paraId="43034624" w14:textId="77777777" w:rsidR="00816B30" w:rsidRPr="00F23BD1" w:rsidRDefault="00816B30" w:rsidP="00816B30">
      <w:pPr>
        <w:pStyle w:val="Prrafodelista"/>
        <w:spacing w:line="360" w:lineRule="auto"/>
        <w:ind w:left="720"/>
        <w:jc w:val="both"/>
        <w:rPr>
          <w:rFonts w:ascii="Times New Roman" w:hAnsi="Times New Roman" w:cs="Times New Roman"/>
          <w:sz w:val="24"/>
          <w:szCs w:val="24"/>
        </w:rPr>
      </w:pPr>
    </w:p>
    <w:p w14:paraId="332981ED" w14:textId="44146F81" w:rsidR="00F23BD1" w:rsidRPr="00F23BD1" w:rsidRDefault="00F23BD1" w:rsidP="00B32370">
      <w:pPr>
        <w:spacing w:line="360" w:lineRule="auto"/>
        <w:ind w:firstLine="708"/>
        <w:jc w:val="both"/>
        <w:rPr>
          <w:rFonts w:ascii="Times New Roman" w:hAnsi="Times New Roman" w:cs="Times New Roman"/>
          <w:sz w:val="24"/>
          <w:szCs w:val="24"/>
        </w:rPr>
      </w:pPr>
      <w:r w:rsidRPr="00F23BD1">
        <w:rPr>
          <w:rFonts w:ascii="Times New Roman" w:hAnsi="Times New Roman" w:cs="Times New Roman"/>
          <w:b/>
          <w:bCs/>
          <w:i/>
          <w:iCs/>
          <w:sz w:val="24"/>
          <w:szCs w:val="24"/>
          <w:u w:val="single"/>
        </w:rPr>
        <w:t xml:space="preserve">3.- </w:t>
      </w:r>
      <w:proofErr w:type="spellStart"/>
      <w:r w:rsidRPr="00F23BD1">
        <w:rPr>
          <w:rFonts w:ascii="Times New Roman" w:hAnsi="Times New Roman" w:cs="Times New Roman"/>
          <w:b/>
          <w:bCs/>
          <w:i/>
          <w:iCs/>
          <w:sz w:val="24"/>
          <w:szCs w:val="24"/>
          <w:u w:val="single"/>
        </w:rPr>
        <w:t>Credifijo</w:t>
      </w:r>
      <w:proofErr w:type="spellEnd"/>
      <w:r w:rsidRPr="00F23BD1">
        <w:rPr>
          <w:rFonts w:ascii="Times New Roman" w:hAnsi="Times New Roman" w:cs="Times New Roman"/>
          <w:b/>
          <w:bCs/>
          <w:i/>
          <w:iCs/>
          <w:sz w:val="24"/>
          <w:szCs w:val="24"/>
          <w:u w:val="single"/>
        </w:rPr>
        <w:t>:</w:t>
      </w:r>
      <w:r>
        <w:rPr>
          <w:rFonts w:ascii="Times New Roman" w:hAnsi="Times New Roman" w:cs="Times New Roman"/>
          <w:sz w:val="24"/>
          <w:szCs w:val="24"/>
        </w:rPr>
        <w:t xml:space="preserve"> E</w:t>
      </w:r>
      <w:r w:rsidRPr="00F23BD1">
        <w:rPr>
          <w:rFonts w:ascii="Times New Roman" w:hAnsi="Times New Roman" w:cs="Times New Roman"/>
          <w:sz w:val="24"/>
          <w:szCs w:val="24"/>
        </w:rPr>
        <w:t>s un crédito diseñado para financiar los proyectos de expansión y compra de activos fijos de las microempresas.</w:t>
      </w:r>
    </w:p>
    <w:p w14:paraId="5A6A28E1" w14:textId="77777777" w:rsidR="00F23BD1" w:rsidRPr="00F23BD1" w:rsidRDefault="00F23BD1" w:rsidP="00F23BD1">
      <w:pPr>
        <w:spacing w:line="360" w:lineRule="auto"/>
        <w:jc w:val="both"/>
        <w:rPr>
          <w:rFonts w:ascii="Times New Roman" w:hAnsi="Times New Roman" w:cs="Times New Roman"/>
          <w:i/>
          <w:iCs/>
          <w:sz w:val="24"/>
          <w:szCs w:val="24"/>
        </w:rPr>
      </w:pPr>
      <w:r w:rsidRPr="00F23BD1">
        <w:rPr>
          <w:rFonts w:ascii="Times New Roman" w:hAnsi="Times New Roman" w:cs="Times New Roman"/>
          <w:i/>
          <w:iCs/>
          <w:sz w:val="24"/>
          <w:szCs w:val="24"/>
        </w:rPr>
        <w:t>Actividades a las que aplica:</w:t>
      </w:r>
    </w:p>
    <w:p w14:paraId="452E21C2" w14:textId="77777777" w:rsidR="00816B30" w:rsidRDefault="00816B30" w:rsidP="00F23BD1">
      <w:pPr>
        <w:pStyle w:val="Prrafodelista"/>
        <w:widowControl/>
        <w:numPr>
          <w:ilvl w:val="0"/>
          <w:numId w:val="15"/>
        </w:numPr>
        <w:spacing w:after="160" w:line="360" w:lineRule="auto"/>
        <w:contextualSpacing/>
        <w:jc w:val="both"/>
        <w:rPr>
          <w:rFonts w:ascii="Times New Roman" w:hAnsi="Times New Roman" w:cs="Times New Roman"/>
          <w:sz w:val="24"/>
          <w:szCs w:val="24"/>
        </w:rPr>
        <w:sectPr w:rsidR="00816B30" w:rsidSect="00F667F4">
          <w:type w:val="continuous"/>
          <w:pgSz w:w="12240" w:h="15840" w:code="1"/>
          <w:pgMar w:top="1440" w:right="1440" w:bottom="1440" w:left="1440" w:header="709" w:footer="709" w:gutter="0"/>
          <w:pgNumType w:start="1"/>
          <w:cols w:space="708"/>
          <w:docGrid w:linePitch="360"/>
        </w:sectPr>
      </w:pPr>
    </w:p>
    <w:p w14:paraId="35AF1A07" w14:textId="77777777" w:rsidR="00F23BD1" w:rsidRPr="00F23BD1" w:rsidRDefault="00F23BD1" w:rsidP="00F23BD1">
      <w:pPr>
        <w:pStyle w:val="Prrafodelista"/>
        <w:widowControl/>
        <w:numPr>
          <w:ilvl w:val="0"/>
          <w:numId w:val="15"/>
        </w:numPr>
        <w:spacing w:after="160" w:line="360" w:lineRule="auto"/>
        <w:contextualSpacing/>
        <w:jc w:val="both"/>
        <w:rPr>
          <w:rFonts w:ascii="Times New Roman" w:hAnsi="Times New Roman" w:cs="Times New Roman"/>
          <w:sz w:val="24"/>
          <w:szCs w:val="24"/>
        </w:rPr>
      </w:pPr>
      <w:r w:rsidRPr="00F23BD1">
        <w:rPr>
          <w:rFonts w:ascii="Times New Roman" w:hAnsi="Times New Roman" w:cs="Times New Roman"/>
          <w:sz w:val="24"/>
          <w:szCs w:val="24"/>
        </w:rPr>
        <w:t>Comercio</w:t>
      </w:r>
    </w:p>
    <w:p w14:paraId="198653AA" w14:textId="77777777" w:rsidR="00F23BD1" w:rsidRPr="00F23BD1" w:rsidRDefault="00F23BD1" w:rsidP="00F23BD1">
      <w:pPr>
        <w:pStyle w:val="Prrafodelista"/>
        <w:widowControl/>
        <w:numPr>
          <w:ilvl w:val="0"/>
          <w:numId w:val="15"/>
        </w:numPr>
        <w:spacing w:after="160" w:line="360" w:lineRule="auto"/>
        <w:contextualSpacing/>
        <w:jc w:val="both"/>
        <w:rPr>
          <w:rFonts w:ascii="Times New Roman" w:hAnsi="Times New Roman" w:cs="Times New Roman"/>
          <w:sz w:val="24"/>
          <w:szCs w:val="24"/>
        </w:rPr>
      </w:pPr>
      <w:r w:rsidRPr="00F23BD1">
        <w:rPr>
          <w:rFonts w:ascii="Times New Roman" w:hAnsi="Times New Roman" w:cs="Times New Roman"/>
          <w:sz w:val="24"/>
          <w:szCs w:val="24"/>
        </w:rPr>
        <w:t>Servicio</w:t>
      </w:r>
    </w:p>
    <w:p w14:paraId="475A3CB5" w14:textId="33EDF46D" w:rsidR="00F23BD1" w:rsidRDefault="00F23BD1" w:rsidP="00F23BD1">
      <w:pPr>
        <w:pStyle w:val="Prrafodelista"/>
        <w:widowControl/>
        <w:numPr>
          <w:ilvl w:val="0"/>
          <w:numId w:val="15"/>
        </w:numPr>
        <w:spacing w:after="160" w:line="360" w:lineRule="auto"/>
        <w:contextualSpacing/>
        <w:jc w:val="both"/>
        <w:rPr>
          <w:rFonts w:ascii="Times New Roman" w:hAnsi="Times New Roman" w:cs="Times New Roman"/>
          <w:sz w:val="24"/>
          <w:szCs w:val="24"/>
        </w:rPr>
      </w:pPr>
      <w:r w:rsidRPr="00F23BD1">
        <w:rPr>
          <w:rFonts w:ascii="Times New Roman" w:hAnsi="Times New Roman" w:cs="Times New Roman"/>
          <w:sz w:val="24"/>
          <w:szCs w:val="24"/>
        </w:rPr>
        <w:t>Industria</w:t>
      </w:r>
    </w:p>
    <w:p w14:paraId="15D1E74C" w14:textId="77777777" w:rsidR="00816B30" w:rsidRDefault="00816B30" w:rsidP="00816B30">
      <w:pPr>
        <w:pStyle w:val="Prrafodelista"/>
        <w:widowControl/>
        <w:spacing w:after="160" w:line="360" w:lineRule="auto"/>
        <w:ind w:left="720"/>
        <w:contextualSpacing/>
        <w:jc w:val="both"/>
        <w:rPr>
          <w:rFonts w:ascii="Times New Roman" w:hAnsi="Times New Roman" w:cs="Times New Roman"/>
          <w:sz w:val="24"/>
          <w:szCs w:val="24"/>
        </w:rPr>
        <w:sectPr w:rsidR="00816B30" w:rsidSect="00816B30">
          <w:type w:val="continuous"/>
          <w:pgSz w:w="12240" w:h="15840" w:code="1"/>
          <w:pgMar w:top="1440" w:right="1440" w:bottom="1440" w:left="1440" w:header="709" w:footer="709" w:gutter="0"/>
          <w:pgNumType w:start="1"/>
          <w:cols w:num="3" w:space="708"/>
          <w:docGrid w:linePitch="360"/>
        </w:sectPr>
      </w:pPr>
    </w:p>
    <w:p w14:paraId="6ADC872B" w14:textId="77777777" w:rsidR="00816B30" w:rsidRPr="00F23BD1" w:rsidRDefault="00816B30" w:rsidP="00816B30">
      <w:pPr>
        <w:pStyle w:val="Prrafodelista"/>
        <w:widowControl/>
        <w:spacing w:after="160" w:line="360" w:lineRule="auto"/>
        <w:ind w:left="720"/>
        <w:contextualSpacing/>
        <w:jc w:val="both"/>
        <w:rPr>
          <w:rFonts w:ascii="Times New Roman" w:hAnsi="Times New Roman" w:cs="Times New Roman"/>
          <w:sz w:val="24"/>
          <w:szCs w:val="24"/>
        </w:rPr>
      </w:pPr>
    </w:p>
    <w:p w14:paraId="6BD7C8BD" w14:textId="220BD33B" w:rsidR="00F23BD1" w:rsidRPr="00F23BD1" w:rsidRDefault="00F23BD1" w:rsidP="00B32370">
      <w:pPr>
        <w:spacing w:line="360" w:lineRule="auto"/>
        <w:ind w:firstLine="708"/>
        <w:jc w:val="both"/>
        <w:rPr>
          <w:rFonts w:ascii="Times New Roman" w:hAnsi="Times New Roman" w:cs="Times New Roman"/>
          <w:sz w:val="24"/>
          <w:szCs w:val="24"/>
        </w:rPr>
      </w:pPr>
      <w:r w:rsidRPr="00F23BD1">
        <w:rPr>
          <w:rFonts w:ascii="Times New Roman" w:hAnsi="Times New Roman" w:cs="Times New Roman"/>
          <w:b/>
          <w:bCs/>
          <w:i/>
          <w:iCs/>
          <w:sz w:val="24"/>
          <w:szCs w:val="24"/>
          <w:u w:val="single"/>
        </w:rPr>
        <w:t xml:space="preserve">4.- </w:t>
      </w:r>
      <w:proofErr w:type="spellStart"/>
      <w:r w:rsidRPr="00F23BD1">
        <w:rPr>
          <w:rFonts w:ascii="Times New Roman" w:hAnsi="Times New Roman" w:cs="Times New Roman"/>
          <w:b/>
          <w:bCs/>
          <w:i/>
          <w:iCs/>
          <w:sz w:val="24"/>
          <w:szCs w:val="24"/>
          <w:u w:val="single"/>
        </w:rPr>
        <w:t>Credidesarrollo</w:t>
      </w:r>
      <w:proofErr w:type="spellEnd"/>
      <w:r w:rsidRPr="00F23BD1">
        <w:rPr>
          <w:rFonts w:ascii="Times New Roman" w:hAnsi="Times New Roman" w:cs="Times New Roman"/>
          <w:b/>
          <w:bCs/>
          <w:i/>
          <w:iCs/>
          <w:sz w:val="24"/>
          <w:szCs w:val="24"/>
          <w:u w:val="single"/>
        </w:rPr>
        <w:t>:</w:t>
      </w:r>
      <w:r w:rsidRPr="00F23BD1">
        <w:rPr>
          <w:rFonts w:ascii="Times New Roman" w:hAnsi="Times New Roman" w:cs="Times New Roman"/>
          <w:sz w:val="24"/>
          <w:szCs w:val="24"/>
        </w:rPr>
        <w:t xml:space="preserve"> Es un crédito diseñado para financiar los proyectos y necesidades de los clientes beneficiados por proyectos de desarrollo de área, tanto para capital de trabajo como para compra de activos fijos.</w:t>
      </w:r>
    </w:p>
    <w:p w14:paraId="503CE475" w14:textId="77777777" w:rsidR="00F23BD1" w:rsidRPr="00F23BD1" w:rsidRDefault="00F23BD1" w:rsidP="00F23BD1">
      <w:pPr>
        <w:spacing w:line="360" w:lineRule="auto"/>
        <w:jc w:val="both"/>
        <w:rPr>
          <w:rFonts w:ascii="Times New Roman" w:hAnsi="Times New Roman" w:cs="Times New Roman"/>
          <w:i/>
          <w:iCs/>
          <w:sz w:val="24"/>
          <w:szCs w:val="24"/>
        </w:rPr>
      </w:pPr>
      <w:r w:rsidRPr="00F23BD1">
        <w:rPr>
          <w:rFonts w:ascii="Times New Roman" w:hAnsi="Times New Roman" w:cs="Times New Roman"/>
          <w:i/>
          <w:iCs/>
          <w:sz w:val="24"/>
          <w:szCs w:val="24"/>
        </w:rPr>
        <w:t>Actividades a las que aplica:</w:t>
      </w:r>
    </w:p>
    <w:p w14:paraId="30A2FD97" w14:textId="77777777" w:rsidR="00816B30" w:rsidRDefault="00816B30" w:rsidP="00F23BD1">
      <w:pPr>
        <w:pStyle w:val="Prrafodelista"/>
        <w:widowControl/>
        <w:numPr>
          <w:ilvl w:val="0"/>
          <w:numId w:val="16"/>
        </w:numPr>
        <w:spacing w:after="160" w:line="360" w:lineRule="auto"/>
        <w:contextualSpacing/>
        <w:jc w:val="both"/>
        <w:rPr>
          <w:rFonts w:ascii="Times New Roman" w:hAnsi="Times New Roman" w:cs="Times New Roman"/>
          <w:sz w:val="24"/>
          <w:szCs w:val="24"/>
        </w:rPr>
        <w:sectPr w:rsidR="00816B30" w:rsidSect="00F667F4">
          <w:type w:val="continuous"/>
          <w:pgSz w:w="12240" w:h="15840" w:code="1"/>
          <w:pgMar w:top="1440" w:right="1440" w:bottom="1440" w:left="1440" w:header="709" w:footer="709" w:gutter="0"/>
          <w:pgNumType w:start="1"/>
          <w:cols w:space="708"/>
          <w:docGrid w:linePitch="360"/>
        </w:sectPr>
      </w:pPr>
    </w:p>
    <w:p w14:paraId="4B1548A0" w14:textId="77777777" w:rsidR="00F23BD1" w:rsidRPr="00F23BD1" w:rsidRDefault="00F23BD1" w:rsidP="00F23BD1">
      <w:pPr>
        <w:pStyle w:val="Prrafodelista"/>
        <w:widowControl/>
        <w:numPr>
          <w:ilvl w:val="0"/>
          <w:numId w:val="16"/>
        </w:numPr>
        <w:spacing w:after="160" w:line="360" w:lineRule="auto"/>
        <w:contextualSpacing/>
        <w:jc w:val="both"/>
        <w:rPr>
          <w:rFonts w:ascii="Times New Roman" w:hAnsi="Times New Roman" w:cs="Times New Roman"/>
          <w:sz w:val="24"/>
          <w:szCs w:val="24"/>
        </w:rPr>
      </w:pPr>
      <w:r w:rsidRPr="00F23BD1">
        <w:rPr>
          <w:rFonts w:ascii="Times New Roman" w:hAnsi="Times New Roman" w:cs="Times New Roman"/>
          <w:sz w:val="24"/>
          <w:szCs w:val="24"/>
        </w:rPr>
        <w:t>Comercio</w:t>
      </w:r>
    </w:p>
    <w:p w14:paraId="0A900017" w14:textId="77777777" w:rsidR="00F23BD1" w:rsidRPr="00F23BD1" w:rsidRDefault="00F23BD1" w:rsidP="00F23BD1">
      <w:pPr>
        <w:pStyle w:val="Prrafodelista"/>
        <w:widowControl/>
        <w:numPr>
          <w:ilvl w:val="0"/>
          <w:numId w:val="16"/>
        </w:numPr>
        <w:spacing w:after="160" w:line="360" w:lineRule="auto"/>
        <w:contextualSpacing/>
        <w:jc w:val="both"/>
        <w:rPr>
          <w:rFonts w:ascii="Times New Roman" w:hAnsi="Times New Roman" w:cs="Times New Roman"/>
          <w:sz w:val="24"/>
          <w:szCs w:val="24"/>
        </w:rPr>
      </w:pPr>
      <w:r w:rsidRPr="00F23BD1">
        <w:rPr>
          <w:rFonts w:ascii="Times New Roman" w:hAnsi="Times New Roman" w:cs="Times New Roman"/>
          <w:sz w:val="24"/>
          <w:szCs w:val="24"/>
        </w:rPr>
        <w:t>Servicio</w:t>
      </w:r>
    </w:p>
    <w:p w14:paraId="6F507CCB" w14:textId="0ADE3ADA" w:rsidR="00F23BD1" w:rsidRDefault="00F23BD1" w:rsidP="00F23BD1">
      <w:pPr>
        <w:pStyle w:val="Prrafodelista"/>
        <w:widowControl/>
        <w:numPr>
          <w:ilvl w:val="0"/>
          <w:numId w:val="16"/>
        </w:numPr>
        <w:spacing w:after="160" w:line="360" w:lineRule="auto"/>
        <w:contextualSpacing/>
        <w:jc w:val="both"/>
        <w:rPr>
          <w:rFonts w:ascii="Times New Roman" w:hAnsi="Times New Roman" w:cs="Times New Roman"/>
          <w:sz w:val="24"/>
          <w:szCs w:val="24"/>
        </w:rPr>
      </w:pPr>
      <w:r w:rsidRPr="00F23BD1">
        <w:rPr>
          <w:rFonts w:ascii="Times New Roman" w:hAnsi="Times New Roman" w:cs="Times New Roman"/>
          <w:sz w:val="24"/>
          <w:szCs w:val="24"/>
        </w:rPr>
        <w:t>Industria</w:t>
      </w:r>
    </w:p>
    <w:p w14:paraId="77E75F6C" w14:textId="77777777" w:rsidR="00816B30" w:rsidRDefault="00816B30" w:rsidP="00816B30">
      <w:pPr>
        <w:pStyle w:val="Prrafodelista"/>
        <w:widowControl/>
        <w:spacing w:after="160" w:line="360" w:lineRule="auto"/>
        <w:ind w:left="720"/>
        <w:contextualSpacing/>
        <w:jc w:val="both"/>
        <w:rPr>
          <w:rFonts w:ascii="Times New Roman" w:hAnsi="Times New Roman" w:cs="Times New Roman"/>
          <w:sz w:val="24"/>
          <w:szCs w:val="24"/>
        </w:rPr>
        <w:sectPr w:rsidR="00816B30" w:rsidSect="00816B30">
          <w:type w:val="continuous"/>
          <w:pgSz w:w="12240" w:h="15840" w:code="1"/>
          <w:pgMar w:top="1440" w:right="1440" w:bottom="1440" w:left="1440" w:header="709" w:footer="709" w:gutter="0"/>
          <w:pgNumType w:start="1"/>
          <w:cols w:num="3" w:space="708"/>
          <w:docGrid w:linePitch="360"/>
        </w:sectPr>
      </w:pPr>
    </w:p>
    <w:p w14:paraId="3F1672FA" w14:textId="77777777" w:rsidR="00816B30" w:rsidRPr="00F23BD1" w:rsidRDefault="00816B30" w:rsidP="00816B30">
      <w:pPr>
        <w:pStyle w:val="Prrafodelista"/>
        <w:widowControl/>
        <w:spacing w:after="160" w:line="360" w:lineRule="auto"/>
        <w:ind w:left="720"/>
        <w:contextualSpacing/>
        <w:jc w:val="both"/>
        <w:rPr>
          <w:rFonts w:ascii="Times New Roman" w:hAnsi="Times New Roman" w:cs="Times New Roman"/>
          <w:sz w:val="24"/>
          <w:szCs w:val="24"/>
        </w:rPr>
      </w:pPr>
    </w:p>
    <w:p w14:paraId="7DD05A93" w14:textId="5606710F" w:rsidR="00F23BD1" w:rsidRPr="00F23BD1" w:rsidRDefault="00F23BD1" w:rsidP="00B32370">
      <w:pPr>
        <w:spacing w:line="360" w:lineRule="auto"/>
        <w:ind w:firstLine="708"/>
        <w:jc w:val="both"/>
        <w:rPr>
          <w:rFonts w:ascii="Times New Roman" w:hAnsi="Times New Roman" w:cs="Times New Roman"/>
          <w:sz w:val="24"/>
          <w:szCs w:val="24"/>
        </w:rPr>
      </w:pPr>
      <w:r>
        <w:rPr>
          <w:rFonts w:ascii="Times New Roman" w:hAnsi="Times New Roman" w:cs="Times New Roman"/>
          <w:b/>
          <w:bCs/>
          <w:i/>
          <w:iCs/>
          <w:sz w:val="24"/>
          <w:szCs w:val="24"/>
          <w:u w:val="single"/>
        </w:rPr>
        <w:t xml:space="preserve">5.- </w:t>
      </w:r>
      <w:proofErr w:type="spellStart"/>
      <w:r w:rsidRPr="00F23BD1">
        <w:rPr>
          <w:rFonts w:ascii="Times New Roman" w:hAnsi="Times New Roman" w:cs="Times New Roman"/>
          <w:b/>
          <w:bCs/>
          <w:i/>
          <w:iCs/>
          <w:sz w:val="24"/>
          <w:szCs w:val="24"/>
          <w:u w:val="single"/>
        </w:rPr>
        <w:t>CrediAgro</w:t>
      </w:r>
      <w:proofErr w:type="spellEnd"/>
      <w:r w:rsidRPr="00F23BD1">
        <w:rPr>
          <w:rFonts w:ascii="Times New Roman" w:hAnsi="Times New Roman" w:cs="Times New Roman"/>
          <w:b/>
          <w:bCs/>
          <w:i/>
          <w:iCs/>
          <w:sz w:val="24"/>
          <w:szCs w:val="24"/>
          <w:u w:val="single"/>
        </w:rPr>
        <w:t>:</w:t>
      </w:r>
      <w:r w:rsidRPr="00F23BD1">
        <w:rPr>
          <w:rFonts w:ascii="Times New Roman" w:hAnsi="Times New Roman" w:cs="Times New Roman"/>
          <w:sz w:val="24"/>
          <w:szCs w:val="24"/>
        </w:rPr>
        <w:t xml:space="preserve"> Se destina únicamente para capital de trabajo.</w:t>
      </w:r>
    </w:p>
    <w:p w14:paraId="3D2FA9B8" w14:textId="77777777" w:rsidR="00F23BD1" w:rsidRPr="00F23BD1" w:rsidRDefault="00F23BD1" w:rsidP="00F23BD1">
      <w:pPr>
        <w:spacing w:line="360" w:lineRule="auto"/>
        <w:jc w:val="both"/>
        <w:rPr>
          <w:rFonts w:ascii="Times New Roman" w:hAnsi="Times New Roman" w:cs="Times New Roman"/>
          <w:i/>
          <w:iCs/>
          <w:sz w:val="24"/>
          <w:szCs w:val="24"/>
        </w:rPr>
      </w:pPr>
      <w:r w:rsidRPr="00F23BD1">
        <w:rPr>
          <w:rFonts w:ascii="Times New Roman" w:hAnsi="Times New Roman" w:cs="Times New Roman"/>
          <w:i/>
          <w:iCs/>
          <w:sz w:val="24"/>
          <w:szCs w:val="24"/>
        </w:rPr>
        <w:t>Actividades a las que aplica:</w:t>
      </w:r>
    </w:p>
    <w:p w14:paraId="688EDC78" w14:textId="77777777" w:rsidR="00F23BD1" w:rsidRPr="00F23BD1" w:rsidRDefault="00F23BD1" w:rsidP="00F23BD1">
      <w:pPr>
        <w:pStyle w:val="Prrafodelista"/>
        <w:widowControl/>
        <w:numPr>
          <w:ilvl w:val="0"/>
          <w:numId w:val="17"/>
        </w:numPr>
        <w:spacing w:after="160" w:line="360" w:lineRule="auto"/>
        <w:contextualSpacing/>
        <w:jc w:val="both"/>
        <w:rPr>
          <w:rFonts w:ascii="Times New Roman" w:hAnsi="Times New Roman" w:cs="Times New Roman"/>
          <w:sz w:val="24"/>
          <w:szCs w:val="24"/>
        </w:rPr>
      </w:pPr>
      <w:r w:rsidRPr="00F23BD1">
        <w:rPr>
          <w:rFonts w:ascii="Times New Roman" w:hAnsi="Times New Roman" w:cs="Times New Roman"/>
          <w:sz w:val="24"/>
          <w:szCs w:val="24"/>
        </w:rPr>
        <w:t>Agrícola</w:t>
      </w:r>
    </w:p>
    <w:p w14:paraId="4BACE59F" w14:textId="77777777" w:rsidR="00F23BD1" w:rsidRDefault="00F23BD1" w:rsidP="00F23BD1">
      <w:pPr>
        <w:spacing w:line="360" w:lineRule="auto"/>
        <w:jc w:val="both"/>
        <w:rPr>
          <w:rFonts w:ascii="Times New Roman" w:hAnsi="Times New Roman" w:cs="Times New Roman"/>
          <w:sz w:val="24"/>
          <w:szCs w:val="24"/>
        </w:rPr>
      </w:pPr>
    </w:p>
    <w:p w14:paraId="1D3CA9F1" w14:textId="77777777" w:rsidR="00816B30" w:rsidRDefault="00816B30" w:rsidP="00F23BD1">
      <w:pPr>
        <w:spacing w:line="360" w:lineRule="auto"/>
        <w:jc w:val="both"/>
        <w:rPr>
          <w:rFonts w:ascii="Times New Roman" w:hAnsi="Times New Roman" w:cs="Times New Roman"/>
          <w:sz w:val="24"/>
          <w:szCs w:val="24"/>
        </w:rPr>
      </w:pPr>
    </w:p>
    <w:p w14:paraId="791C398B" w14:textId="77777777" w:rsidR="00816B30" w:rsidRPr="00F23BD1" w:rsidRDefault="00816B30" w:rsidP="00F23BD1">
      <w:pPr>
        <w:spacing w:line="360" w:lineRule="auto"/>
        <w:jc w:val="both"/>
        <w:rPr>
          <w:rFonts w:ascii="Times New Roman" w:hAnsi="Times New Roman" w:cs="Times New Roman"/>
          <w:sz w:val="24"/>
          <w:szCs w:val="24"/>
        </w:rPr>
      </w:pPr>
    </w:p>
    <w:p w14:paraId="42F1F288" w14:textId="688FF695" w:rsidR="00F23BD1" w:rsidRPr="00A55A1C" w:rsidRDefault="00A55A1C" w:rsidP="00A55A1C">
      <w:pPr>
        <w:pStyle w:val="Ttulo4"/>
        <w:ind w:left="0" w:firstLine="1440"/>
      </w:pPr>
      <w:bookmarkStart w:id="74" w:name="_Toc166705762"/>
      <w:bookmarkStart w:id="75" w:name="_Toc175171364"/>
      <w:r w:rsidRPr="00A55A1C">
        <w:lastRenderedPageBreak/>
        <w:t>2.1.3.5. UBICACIÓN</w:t>
      </w:r>
      <w:bookmarkEnd w:id="74"/>
      <w:bookmarkEnd w:id="75"/>
    </w:p>
    <w:p w14:paraId="56F22937" w14:textId="59566484" w:rsidR="00F23BD1" w:rsidRPr="00F23BD1" w:rsidRDefault="00F23BD1" w:rsidP="00F23BD1">
      <w:pPr>
        <w:spacing w:line="360" w:lineRule="auto"/>
        <w:ind w:firstLine="708"/>
        <w:jc w:val="both"/>
        <w:rPr>
          <w:rFonts w:ascii="Times New Roman" w:hAnsi="Times New Roman" w:cs="Times New Roman"/>
          <w:sz w:val="24"/>
          <w:szCs w:val="24"/>
        </w:rPr>
      </w:pPr>
      <w:r w:rsidRPr="00F23BD1">
        <w:rPr>
          <w:rFonts w:ascii="Times New Roman" w:hAnsi="Times New Roman" w:cs="Times New Roman"/>
          <w:sz w:val="24"/>
          <w:szCs w:val="24"/>
        </w:rPr>
        <w:t xml:space="preserve">Microfinanciera </w:t>
      </w:r>
      <w:r w:rsidR="00E5074B">
        <w:rPr>
          <w:rFonts w:ascii="Times New Roman" w:hAnsi="Times New Roman" w:cs="Times New Roman"/>
          <w:sz w:val="24"/>
          <w:szCs w:val="24"/>
        </w:rPr>
        <w:t>“XYZ”</w:t>
      </w:r>
      <w:r w:rsidRPr="00F23BD1">
        <w:rPr>
          <w:rFonts w:ascii="Times New Roman" w:hAnsi="Times New Roman" w:cs="Times New Roman"/>
          <w:sz w:val="24"/>
          <w:szCs w:val="24"/>
        </w:rPr>
        <w:t xml:space="preserve"> cuenta con su oficina principal en Colonia Montecarlo, Boulevard Morazán, calle Gold Gym, contiguo a Vision Mundial Tegucigalpa.</w:t>
      </w:r>
    </w:p>
    <w:p w14:paraId="23240CB5" w14:textId="77777777" w:rsidR="00F23BD1" w:rsidRPr="00F23BD1" w:rsidRDefault="00F23BD1" w:rsidP="00F23BD1">
      <w:pPr>
        <w:spacing w:line="360" w:lineRule="auto"/>
        <w:jc w:val="both"/>
        <w:rPr>
          <w:rFonts w:ascii="Times New Roman" w:hAnsi="Times New Roman" w:cs="Times New Roman"/>
          <w:sz w:val="24"/>
          <w:szCs w:val="24"/>
        </w:rPr>
      </w:pPr>
    </w:p>
    <w:p w14:paraId="39083A8B" w14:textId="0DFE1C4A" w:rsidR="00F23BD1" w:rsidRPr="00A55A1C" w:rsidRDefault="00A55A1C" w:rsidP="00A55A1C">
      <w:pPr>
        <w:pStyle w:val="Ttulo4"/>
        <w:ind w:left="0" w:firstLine="1440"/>
      </w:pPr>
      <w:bookmarkStart w:id="76" w:name="_Toc166705763"/>
      <w:bookmarkStart w:id="77" w:name="_Toc175171365"/>
      <w:r w:rsidRPr="00A55A1C">
        <w:t>2.1.3.6. RADIO DE ACCIÓN</w:t>
      </w:r>
      <w:bookmarkEnd w:id="76"/>
      <w:bookmarkEnd w:id="77"/>
    </w:p>
    <w:p w14:paraId="0BBAC895" w14:textId="77777777" w:rsidR="00F23BD1" w:rsidRPr="00F23BD1" w:rsidRDefault="00F23BD1" w:rsidP="00F23BD1">
      <w:pPr>
        <w:pStyle w:val="Prrafodelista"/>
        <w:widowControl/>
        <w:numPr>
          <w:ilvl w:val="0"/>
          <w:numId w:val="17"/>
        </w:numPr>
        <w:spacing w:after="160" w:line="360" w:lineRule="auto"/>
        <w:contextualSpacing/>
        <w:jc w:val="both"/>
        <w:rPr>
          <w:rFonts w:ascii="Times New Roman" w:hAnsi="Times New Roman" w:cs="Times New Roman"/>
          <w:sz w:val="24"/>
          <w:szCs w:val="24"/>
        </w:rPr>
      </w:pPr>
      <w:r w:rsidRPr="00F23BD1">
        <w:rPr>
          <w:rFonts w:ascii="Times New Roman" w:hAnsi="Times New Roman" w:cs="Times New Roman"/>
          <w:sz w:val="24"/>
          <w:szCs w:val="24"/>
        </w:rPr>
        <w:t>Región Centro Sur: 6 agencias (Comayagüela, Talanga, Juticalpa, San Lorenzo, Choluteca, Danlí)</w:t>
      </w:r>
    </w:p>
    <w:p w14:paraId="17ADA6B1" w14:textId="77777777" w:rsidR="00F23BD1" w:rsidRPr="00F23BD1" w:rsidRDefault="00F23BD1" w:rsidP="00F23BD1">
      <w:pPr>
        <w:pStyle w:val="Prrafodelista"/>
        <w:widowControl/>
        <w:numPr>
          <w:ilvl w:val="0"/>
          <w:numId w:val="17"/>
        </w:numPr>
        <w:spacing w:after="160" w:line="360" w:lineRule="auto"/>
        <w:contextualSpacing/>
        <w:jc w:val="both"/>
        <w:rPr>
          <w:rFonts w:ascii="Times New Roman" w:hAnsi="Times New Roman" w:cs="Times New Roman"/>
          <w:sz w:val="24"/>
          <w:szCs w:val="24"/>
        </w:rPr>
      </w:pPr>
      <w:r w:rsidRPr="00F23BD1">
        <w:rPr>
          <w:rFonts w:ascii="Times New Roman" w:hAnsi="Times New Roman" w:cs="Times New Roman"/>
          <w:sz w:val="24"/>
          <w:szCs w:val="24"/>
        </w:rPr>
        <w:t>Región Norte: 6 agencias (San Pedro Sula, Progreso, Yoro, Morazán, Comayagua, La Esperanza)</w:t>
      </w:r>
    </w:p>
    <w:p w14:paraId="7BE08E5E" w14:textId="77777777" w:rsidR="00F23BD1" w:rsidRPr="00F23BD1" w:rsidRDefault="00F23BD1" w:rsidP="00F23BD1">
      <w:pPr>
        <w:pStyle w:val="Prrafodelista"/>
        <w:widowControl/>
        <w:numPr>
          <w:ilvl w:val="0"/>
          <w:numId w:val="17"/>
        </w:numPr>
        <w:spacing w:after="160" w:line="360" w:lineRule="auto"/>
        <w:contextualSpacing/>
        <w:jc w:val="both"/>
        <w:rPr>
          <w:rFonts w:ascii="Times New Roman" w:hAnsi="Times New Roman" w:cs="Times New Roman"/>
          <w:sz w:val="24"/>
          <w:szCs w:val="24"/>
        </w:rPr>
      </w:pPr>
      <w:r w:rsidRPr="00F23BD1">
        <w:rPr>
          <w:rFonts w:ascii="Times New Roman" w:hAnsi="Times New Roman" w:cs="Times New Roman"/>
          <w:sz w:val="24"/>
          <w:szCs w:val="24"/>
        </w:rPr>
        <w:t xml:space="preserve">Región Occidente: 6 agencias (La Entrada, </w:t>
      </w:r>
      <w:proofErr w:type="spellStart"/>
      <w:r w:rsidRPr="00F23BD1">
        <w:rPr>
          <w:rFonts w:ascii="Times New Roman" w:hAnsi="Times New Roman" w:cs="Times New Roman"/>
          <w:sz w:val="24"/>
          <w:szCs w:val="24"/>
        </w:rPr>
        <w:t>Cucuyagua</w:t>
      </w:r>
      <w:proofErr w:type="spellEnd"/>
      <w:r w:rsidRPr="00F23BD1">
        <w:rPr>
          <w:rFonts w:ascii="Times New Roman" w:hAnsi="Times New Roman" w:cs="Times New Roman"/>
          <w:sz w:val="24"/>
          <w:szCs w:val="24"/>
        </w:rPr>
        <w:t>, San Marcos, Ocotepeque, Santa Rosa, Gracias)</w:t>
      </w:r>
    </w:p>
    <w:p w14:paraId="70C2A395" w14:textId="77777777" w:rsidR="00F23BD1" w:rsidRPr="00F23BD1" w:rsidRDefault="00F23BD1" w:rsidP="00F23BD1">
      <w:pPr>
        <w:spacing w:line="360" w:lineRule="auto"/>
        <w:jc w:val="both"/>
        <w:rPr>
          <w:rFonts w:ascii="Times New Roman" w:hAnsi="Times New Roman" w:cs="Times New Roman"/>
          <w:sz w:val="24"/>
          <w:szCs w:val="24"/>
        </w:rPr>
      </w:pPr>
    </w:p>
    <w:p w14:paraId="760A79A5" w14:textId="05CC69A9" w:rsidR="00F23BD1" w:rsidRPr="00A55A1C" w:rsidRDefault="00A55A1C" w:rsidP="00A55A1C">
      <w:pPr>
        <w:pStyle w:val="Ttulo4"/>
        <w:spacing w:line="360" w:lineRule="auto"/>
        <w:ind w:left="0" w:firstLine="1440"/>
      </w:pPr>
      <w:bookmarkStart w:id="78" w:name="_Toc166705764"/>
      <w:bookmarkStart w:id="79" w:name="_Toc175171366"/>
      <w:r w:rsidRPr="00A55A1C">
        <w:t>2.1.3.7. COLABORADORES</w:t>
      </w:r>
      <w:bookmarkEnd w:id="78"/>
      <w:bookmarkEnd w:id="79"/>
    </w:p>
    <w:p w14:paraId="0C3D9FD6" w14:textId="5B096B13" w:rsidR="00F23BD1" w:rsidRPr="00F23BD1" w:rsidRDefault="00F23BD1" w:rsidP="00E27301">
      <w:pPr>
        <w:spacing w:line="360" w:lineRule="auto"/>
        <w:ind w:firstLine="708"/>
        <w:jc w:val="both"/>
        <w:rPr>
          <w:rFonts w:ascii="Times New Roman" w:hAnsi="Times New Roman" w:cs="Times New Roman"/>
          <w:sz w:val="24"/>
          <w:szCs w:val="24"/>
        </w:rPr>
      </w:pPr>
      <w:r w:rsidRPr="00F23BD1">
        <w:rPr>
          <w:rFonts w:ascii="Times New Roman" w:hAnsi="Times New Roman" w:cs="Times New Roman"/>
          <w:sz w:val="24"/>
          <w:szCs w:val="24"/>
        </w:rPr>
        <w:t xml:space="preserve">Microfinanciera </w:t>
      </w:r>
      <w:r w:rsidR="00E5074B">
        <w:rPr>
          <w:rFonts w:ascii="Times New Roman" w:hAnsi="Times New Roman" w:cs="Times New Roman"/>
          <w:sz w:val="24"/>
          <w:szCs w:val="24"/>
        </w:rPr>
        <w:t>“XYZ”</w:t>
      </w:r>
      <w:r w:rsidRPr="00F23BD1">
        <w:rPr>
          <w:rFonts w:ascii="Times New Roman" w:hAnsi="Times New Roman" w:cs="Times New Roman"/>
          <w:sz w:val="24"/>
          <w:szCs w:val="24"/>
        </w:rPr>
        <w:t xml:space="preserve"> dispone de una fuerza laboral de 166 empleados, distribuidos en las 18 agencias a nivel nacional, y realizando actividades administrativas y operativas (de campo).</w:t>
      </w:r>
    </w:p>
    <w:p w14:paraId="1FF0C744" w14:textId="7BC9404B" w:rsidR="00E27301" w:rsidRDefault="00E27301">
      <w:pPr>
        <w:widowControl/>
        <w:spacing w:after="160" w:line="259" w:lineRule="auto"/>
        <w:rPr>
          <w:rFonts w:ascii="Times New Roman" w:hAnsi="Times New Roman" w:cs="Times New Roman"/>
          <w:sz w:val="24"/>
          <w:szCs w:val="24"/>
        </w:rPr>
      </w:pPr>
      <w:r>
        <w:rPr>
          <w:rFonts w:ascii="Times New Roman" w:hAnsi="Times New Roman" w:cs="Times New Roman"/>
          <w:sz w:val="24"/>
          <w:szCs w:val="24"/>
        </w:rPr>
        <w:br w:type="page"/>
      </w:r>
    </w:p>
    <w:p w14:paraId="5561343A" w14:textId="77777777" w:rsidR="00E27301" w:rsidRDefault="00E27301">
      <w:pPr>
        <w:widowControl/>
        <w:spacing w:after="160" w:line="259" w:lineRule="auto"/>
        <w:rPr>
          <w:rFonts w:ascii="Times New Roman" w:hAnsi="Times New Roman" w:cs="Times New Roman"/>
          <w:sz w:val="24"/>
          <w:szCs w:val="24"/>
        </w:rPr>
        <w:sectPr w:rsidR="00E27301" w:rsidSect="00F667F4">
          <w:type w:val="continuous"/>
          <w:pgSz w:w="12240" w:h="15840" w:code="1"/>
          <w:pgMar w:top="1440" w:right="1440" w:bottom="1440" w:left="1440" w:header="709" w:footer="709" w:gutter="0"/>
          <w:pgNumType w:start="1"/>
          <w:cols w:space="708"/>
          <w:docGrid w:linePitch="360"/>
        </w:sectPr>
      </w:pPr>
    </w:p>
    <w:p w14:paraId="68D510A2" w14:textId="1371DC78" w:rsidR="00E27301" w:rsidRPr="00A55A1C" w:rsidRDefault="00A55A1C" w:rsidP="00A55A1C">
      <w:pPr>
        <w:pStyle w:val="Ttulo4"/>
        <w:ind w:left="0" w:firstLine="1440"/>
      </w:pPr>
      <w:bookmarkStart w:id="80" w:name="_Toc166705765"/>
      <w:bookmarkStart w:id="81" w:name="_Toc175171367"/>
      <w:r w:rsidRPr="00A55A1C">
        <w:lastRenderedPageBreak/>
        <w:t>2.1.3.8. ORGANIGRAMA INSTITUCIONAL</w:t>
      </w:r>
      <w:bookmarkEnd w:id="80"/>
      <w:bookmarkEnd w:id="81"/>
    </w:p>
    <w:p w14:paraId="304380A8" w14:textId="2E595996" w:rsidR="00E27301" w:rsidRDefault="009140A7">
      <w:pPr>
        <w:widowControl/>
        <w:spacing w:after="160" w:line="259" w:lineRule="auto"/>
        <w:rPr>
          <w:rFonts w:ascii="Times New Roman" w:hAnsi="Times New Roman" w:cs="Times New Roman"/>
          <w:sz w:val="24"/>
          <w:szCs w:val="24"/>
        </w:rPr>
      </w:pPr>
      <w:r>
        <w:rPr>
          <w:noProof/>
        </w:rPr>
        <mc:AlternateContent>
          <mc:Choice Requires="wps">
            <w:drawing>
              <wp:anchor distT="0" distB="0" distL="114300" distR="114300" simplePos="0" relativeHeight="251662336" behindDoc="0" locked="0" layoutInCell="1" allowOverlap="1" wp14:anchorId="0AAD7C27" wp14:editId="478AAE9B">
                <wp:simplePos x="0" y="0"/>
                <wp:positionH relativeFrom="margin">
                  <wp:posOffset>6800850</wp:posOffset>
                </wp:positionH>
                <wp:positionV relativeFrom="paragraph">
                  <wp:posOffset>245745</wp:posOffset>
                </wp:positionV>
                <wp:extent cx="1173480" cy="541020"/>
                <wp:effectExtent l="0" t="0" r="0" b="0"/>
                <wp:wrapNone/>
                <wp:docPr id="1994782904" name="Rectángulo 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173480" cy="541020"/>
                        </a:xfrm>
                        <a:prstGeom prst="rect">
                          <a:avLst/>
                        </a:prstGeom>
                        <a:solidFill>
                          <a:schemeClr val="bg1"/>
                        </a:solidFill>
                        <a:ln>
                          <a:no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0E4840CD" id="Rectángulo 1" o:spid="_x0000_s1026" style="position:absolute;margin-left:535.5pt;margin-top:19.35pt;width:92.4pt;height:42.6pt;z-index:25166233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" fillcolor="white [3212]" stroked="f" strokeweight="1pt">
                <w10:wrap anchorx="margin"/>
              </v:rect>
            </w:pict>
          </mc:Fallback>
        </mc:AlternateContent>
      </w:r>
      <w:r w:rsidR="00715190" w:rsidRPr="004938D0">
        <w:rPr>
          <w:noProof/>
        </w:rPr>
        <w:drawing>
          <wp:inline distT="0" distB="0" distL="0" distR="0" wp14:anchorId="1AC919ED" wp14:editId="2563A3FE">
            <wp:extent cx="8228965" cy="5105400"/>
            <wp:effectExtent l="0" t="0" r="635" b="0"/>
            <wp:docPr id="1994207619" name="Imagen 1" descr="Diagram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94207619" name="Imagen 1" descr="Diagrama&#10;&#10;Descripción generada automáticamente"/>
                    <pic:cNvPicPr/>
                  </pic:nvPicPr>
                  <pic:blipFill rotWithShape="1">
                    <a:blip r:embed="rId13"/>
                    <a:srcRect l="460"/>
                    <a:stretch/>
                  </pic:blipFill>
                  <pic:spPr bwMode="auto">
                    <a:xfrm>
                      <a:off x="0" y="0"/>
                      <a:ext cx="8230144" cy="5106131"/>
                    </a:xfrm>
                    <a:prstGeom prst="rect">
                      <a:avLst/>
                    </a:prstGeom>
                    <a:ln>
                      <a:noFill/>
                    </a:ln>
                    <a:extLst>
                      <a:ext uri="{53640926-AAD7-44D8-BBD7-CCE9431645EC}">
                        <a14:shadowObscured xmlns:a14="http://schemas.microsoft.com/office/drawing/2010/main"/>
                      </a:ext>
                    </a:extLst>
                  </pic:spPr>
                </pic:pic>
              </a:graphicData>
            </a:graphic>
          </wp:inline>
        </w:drawing>
      </w:r>
    </w:p>
    <w:p w14:paraId="23677E1A" w14:textId="6B110FF6" w:rsidR="00685B02" w:rsidRDefault="00E210E0" w:rsidP="00685B02">
      <w:pPr>
        <w:widowControl/>
        <w:spacing w:line="360" w:lineRule="auto"/>
        <w:ind w:firstLine="720"/>
        <w:rPr>
          <w:rFonts w:ascii="Times New Roman" w:hAnsi="Times New Roman" w:cs="Times New Roman"/>
          <w:sz w:val="24"/>
          <w:szCs w:val="24"/>
        </w:rPr>
      </w:pPr>
      <w:r>
        <w:rPr>
          <w:rFonts w:ascii="Times New Roman" w:hAnsi="Times New Roman" w:cs="Times New Roman"/>
          <w:sz w:val="24"/>
          <w:szCs w:val="24"/>
        </w:rPr>
        <w:t>Figura 1. Organigrama Institucional.</w:t>
      </w:r>
    </w:p>
    <w:p w14:paraId="039ECDC7" w14:textId="45662546" w:rsidR="00685B02" w:rsidRDefault="00685B02" w:rsidP="00685B02">
      <w:pPr>
        <w:widowControl/>
        <w:spacing w:line="360" w:lineRule="auto"/>
        <w:ind w:firstLine="720"/>
        <w:rPr>
          <w:rFonts w:ascii="Times New Roman" w:hAnsi="Times New Roman" w:cs="Times New Roman"/>
          <w:sz w:val="24"/>
          <w:szCs w:val="24"/>
        </w:rPr>
        <w:sectPr w:rsidR="00685B02" w:rsidSect="00342E08">
          <w:footerReference w:type="default" r:id="rId14"/>
          <w:pgSz w:w="15840" w:h="12240" w:orient="landscape" w:code="1"/>
          <w:pgMar w:top="1440" w:right="1440" w:bottom="1440" w:left="1440" w:header="709" w:footer="709" w:gutter="0"/>
          <w:pgNumType w:start="19"/>
          <w:cols w:space="708"/>
          <w:docGrid w:linePitch="360"/>
        </w:sectPr>
      </w:pPr>
      <w:r>
        <w:rPr>
          <w:rFonts w:ascii="Times New Roman" w:hAnsi="Times New Roman" w:cs="Times New Roman"/>
          <w:sz w:val="24"/>
          <w:szCs w:val="24"/>
        </w:rPr>
        <w:t>Fuente: Tomado de la microfinanciera “XYZ”.</w:t>
      </w:r>
      <w:r>
        <w:rPr>
          <w:rFonts w:ascii="Times New Roman" w:hAnsi="Times New Roman" w:cs="Times New Roman"/>
          <w:sz w:val="24"/>
          <w:szCs w:val="24"/>
        </w:rPr>
        <w:br/>
      </w:r>
    </w:p>
    <w:p w14:paraId="3F918AE6" w14:textId="5DED8CF2" w:rsidR="00190067" w:rsidRPr="0088489F" w:rsidRDefault="005F191B" w:rsidP="00AC1843">
      <w:pPr>
        <w:pStyle w:val="Ttulo2"/>
        <w:numPr>
          <w:ilvl w:val="1"/>
          <w:numId w:val="6"/>
        </w:numPr>
        <w:spacing w:line="360" w:lineRule="auto"/>
        <w:ind w:left="0" w:firstLine="0"/>
      </w:pPr>
      <w:r w:rsidRPr="0088489F">
        <w:lastRenderedPageBreak/>
        <w:t xml:space="preserve"> </w:t>
      </w:r>
      <w:bookmarkStart w:id="82" w:name="_Toc166705766"/>
      <w:bookmarkStart w:id="83" w:name="_Toc175171368"/>
      <w:r w:rsidR="00BE6D1A" w:rsidRPr="0088489F">
        <w:t>CONCEPTUALIZACIÓN</w:t>
      </w:r>
      <w:bookmarkEnd w:id="82"/>
      <w:bookmarkEnd w:id="83"/>
    </w:p>
    <w:p w14:paraId="665C350B" w14:textId="76BDF199" w:rsidR="00D03F23" w:rsidRPr="00391E99" w:rsidRDefault="005F191B" w:rsidP="00D40FD1">
      <w:pPr>
        <w:pStyle w:val="Ttulo3"/>
        <w:spacing w:line="360" w:lineRule="auto"/>
        <w:ind w:left="0" w:firstLine="720"/>
        <w:jc w:val="both"/>
        <w:rPr>
          <w:rFonts w:cs="Times New Roman"/>
        </w:rPr>
      </w:pPr>
      <w:bookmarkStart w:id="84" w:name="_Toc166705767"/>
      <w:bookmarkStart w:id="85" w:name="_Toc175171369"/>
      <w:r w:rsidRPr="00391E99">
        <w:rPr>
          <w:rFonts w:cs="Times New Roman"/>
        </w:rPr>
        <w:t>2.2.1. CAPACIDAD DE PAGO</w:t>
      </w:r>
      <w:bookmarkEnd w:id="84"/>
      <w:bookmarkEnd w:id="85"/>
    </w:p>
    <w:p w14:paraId="5C385201" w14:textId="267B1797" w:rsidR="00702DE9" w:rsidRDefault="00D03F23" w:rsidP="00D40FD1">
      <w:pPr>
        <w:tabs>
          <w:tab w:val="left" w:pos="2626"/>
        </w:tabs>
        <w:ind w:left="720"/>
        <w:jc w:val="both"/>
        <w:rPr>
          <w:rFonts w:ascii="Times New Roman" w:hAnsi="Times New Roman" w:cs="Times New Roman"/>
        </w:rPr>
      </w:pPr>
      <w:r w:rsidRPr="004D2D6F">
        <w:rPr>
          <w:rFonts w:ascii="Times New Roman" w:hAnsi="Times New Roman" w:cs="Times New Roman"/>
        </w:rPr>
        <w:t>La noción de capacidad de pago ha sido debatida debido a su difícil definición y medición precisa. La capacidad de pago no es cuantificable ni definible de manera precisa. La determinación de la capacidad imponible también es compleja y está sujeta a variadas opiniones. Sin embargo, si consideramos la capacidad de pago como la parte de la renta personal que excede el consumo necesario, un enfoque razonable para la tributación, podríamos relacionarlo con la idea general de la imposición óptima.</w:t>
      </w:r>
      <w:sdt>
        <w:sdtPr>
          <w:rPr>
            <w:rFonts w:ascii="Times New Roman" w:hAnsi="Times New Roman" w:cs="Times New Roman"/>
          </w:rPr>
          <w:id w:val="623584782"/>
          <w:citation/>
        </w:sdtPr>
        <w:sdtContent>
          <w:r w:rsidRPr="004D2D6F">
            <w:rPr>
              <w:rFonts w:ascii="Times New Roman" w:hAnsi="Times New Roman" w:cs="Times New Roman"/>
            </w:rPr>
            <w:fldChar w:fldCharType="begin"/>
          </w:r>
          <w:r w:rsidRPr="004D2D6F">
            <w:rPr>
              <w:rFonts w:ascii="Times New Roman" w:hAnsi="Times New Roman" w:cs="Times New Roman"/>
            </w:rPr>
            <w:instrText xml:space="preserve"> CITATION Var11 \l 18442 </w:instrText>
          </w:r>
          <w:r w:rsidRPr="004D2D6F">
            <w:rPr>
              <w:rFonts w:ascii="Times New Roman" w:hAnsi="Times New Roman" w:cs="Times New Roman"/>
            </w:rPr>
            <w:fldChar w:fldCharType="separate"/>
          </w:r>
          <w:r w:rsidRPr="004D2D6F">
            <w:rPr>
              <w:rFonts w:ascii="Times New Roman" w:hAnsi="Times New Roman" w:cs="Times New Roman"/>
              <w:noProof/>
            </w:rPr>
            <w:t xml:space="preserve"> (Varela Candamio, 2011)</w:t>
          </w:r>
          <w:r w:rsidRPr="004D2D6F">
            <w:rPr>
              <w:rFonts w:ascii="Times New Roman" w:hAnsi="Times New Roman" w:cs="Times New Roman"/>
            </w:rPr>
            <w:fldChar w:fldCharType="end"/>
          </w:r>
        </w:sdtContent>
      </w:sdt>
    </w:p>
    <w:p w14:paraId="7AB5A01C" w14:textId="77777777" w:rsidR="00A77CF7" w:rsidRDefault="00A77CF7" w:rsidP="00A77CF7">
      <w:pPr>
        <w:tabs>
          <w:tab w:val="left" w:pos="2626"/>
        </w:tabs>
        <w:ind w:left="708"/>
        <w:jc w:val="both"/>
        <w:rPr>
          <w:rFonts w:ascii="Times New Roman" w:hAnsi="Times New Roman" w:cs="Times New Roman"/>
        </w:rPr>
      </w:pPr>
    </w:p>
    <w:p w14:paraId="1D0418A7" w14:textId="69FC7E67" w:rsidR="00702DE9" w:rsidRPr="00702DE9" w:rsidRDefault="000143FD" w:rsidP="00F33DDA">
      <w:pPr>
        <w:spacing w:line="360" w:lineRule="auto"/>
        <w:ind w:firstLine="720"/>
        <w:jc w:val="both"/>
        <w:rPr>
          <w:rFonts w:ascii="Times New Roman" w:hAnsi="Times New Roman" w:cs="Times New Roman"/>
          <w:sz w:val="24"/>
          <w:szCs w:val="24"/>
        </w:rPr>
      </w:pPr>
      <w:r w:rsidRPr="000143FD">
        <w:rPr>
          <w:rFonts w:ascii="Times New Roman" w:hAnsi="Times New Roman" w:cs="Times New Roman"/>
          <w:sz w:val="24"/>
          <w:szCs w:val="24"/>
        </w:rPr>
        <w:t>En una más reciente definición se platea como:</w:t>
      </w:r>
      <w:r w:rsidR="00F33DDA">
        <w:rPr>
          <w:rFonts w:ascii="Times New Roman" w:hAnsi="Times New Roman" w:cs="Times New Roman"/>
          <w:sz w:val="24"/>
          <w:szCs w:val="24"/>
        </w:rPr>
        <w:t xml:space="preserve"> </w:t>
      </w:r>
      <w:r w:rsidR="00702DE9" w:rsidRPr="00702DE9">
        <w:rPr>
          <w:rFonts w:ascii="Times New Roman" w:hAnsi="Times New Roman" w:cs="Times New Roman"/>
          <w:sz w:val="24"/>
          <w:szCs w:val="24"/>
        </w:rPr>
        <w:t xml:space="preserve">“La capacidad de la empresa para cubrir los pagos requeridos de acuerdo con lo programado durante la vigencia de una deuda” </w:t>
      </w:r>
      <w:r w:rsidR="00702DE9" w:rsidRPr="00702DE9">
        <w:rPr>
          <w:rFonts w:ascii="Times New Roman" w:hAnsi="Times New Roman" w:cs="Times New Roman"/>
          <w:sz w:val="24"/>
          <w:szCs w:val="24"/>
        </w:rPr>
        <w:fldChar w:fldCharType="begin"/>
      </w:r>
      <w:r w:rsidR="00C52841">
        <w:rPr>
          <w:rFonts w:ascii="Times New Roman" w:hAnsi="Times New Roman" w:cs="Times New Roman"/>
          <w:sz w:val="24"/>
          <w:szCs w:val="24"/>
        </w:rPr>
        <w:instrText xml:space="preserve"> ADDIN ZOTERO_ITEM CSL_CITATION {"citationID":"Ci3qYu49","properties":{"formattedCitation":"(Gitman &amp; Zutter, 2016, p. 888)","plainCitation":"(Gitman &amp; Zutter, 2016, p. 888)","noteIndex":0},"citationItems":[{"id":"mhK3fgOx/7HJPH9By","uris":["http://zotero.org/users/local/rewjbDUP/items/LGD3L9TY"],"itemData":{"id":37,"type":"book","edition":"14","event-place":"México D.F.","ISBN":"978-607-32-3722-2","language":"Español","license":"2016 por Pearson Educación de México, S.A. de C.V.","publisher":"Pearson Educación","publisher-place":"México D.F.","title":"Pricipios de Administración Financiera","author":[{"family":"Gitman","given":"Lawrence J."},{"family":"Zutter","given":"Chad J."}],"issued":{"date-parts":[["2016"]]}},"locator":"888","label":"page"}],"schema":"https://github.com/citation-style-language/schema/raw/master/csl-citation.json"} </w:instrText>
      </w:r>
      <w:r w:rsidR="00702DE9" w:rsidRPr="00702DE9">
        <w:rPr>
          <w:rFonts w:ascii="Times New Roman" w:hAnsi="Times New Roman" w:cs="Times New Roman"/>
          <w:sz w:val="24"/>
          <w:szCs w:val="24"/>
        </w:rPr>
        <w:fldChar w:fldCharType="separate"/>
      </w:r>
      <w:r w:rsidR="00702DE9" w:rsidRPr="00702DE9">
        <w:rPr>
          <w:rFonts w:ascii="Times New Roman" w:hAnsi="Times New Roman" w:cs="Times New Roman"/>
          <w:sz w:val="24"/>
          <w:szCs w:val="24"/>
        </w:rPr>
        <w:t xml:space="preserve">(Gitman &amp; </w:t>
      </w:r>
      <w:proofErr w:type="spellStart"/>
      <w:r w:rsidR="00702DE9" w:rsidRPr="00702DE9">
        <w:rPr>
          <w:rFonts w:ascii="Times New Roman" w:hAnsi="Times New Roman" w:cs="Times New Roman"/>
          <w:sz w:val="24"/>
          <w:szCs w:val="24"/>
        </w:rPr>
        <w:t>Zutter</w:t>
      </w:r>
      <w:proofErr w:type="spellEnd"/>
      <w:r w:rsidR="00702DE9" w:rsidRPr="00702DE9">
        <w:rPr>
          <w:rFonts w:ascii="Times New Roman" w:hAnsi="Times New Roman" w:cs="Times New Roman"/>
          <w:sz w:val="24"/>
          <w:szCs w:val="24"/>
        </w:rPr>
        <w:t>, 2016, p. 888)</w:t>
      </w:r>
      <w:r w:rsidR="00702DE9" w:rsidRPr="00702DE9">
        <w:rPr>
          <w:rFonts w:ascii="Times New Roman" w:hAnsi="Times New Roman" w:cs="Times New Roman"/>
          <w:sz w:val="24"/>
          <w:szCs w:val="24"/>
        </w:rPr>
        <w:fldChar w:fldCharType="end"/>
      </w:r>
      <w:r w:rsidR="00702DE9" w:rsidRPr="00702DE9">
        <w:rPr>
          <w:rFonts w:ascii="Times New Roman" w:hAnsi="Times New Roman" w:cs="Times New Roman"/>
          <w:sz w:val="24"/>
          <w:szCs w:val="24"/>
        </w:rPr>
        <w:t>.</w:t>
      </w:r>
    </w:p>
    <w:p w14:paraId="09E8C389" w14:textId="77777777" w:rsidR="00702DE9" w:rsidRPr="00D03F23" w:rsidRDefault="00702DE9" w:rsidP="00B260A8">
      <w:pPr>
        <w:tabs>
          <w:tab w:val="left" w:pos="2626"/>
        </w:tabs>
        <w:ind w:left="708"/>
        <w:jc w:val="both"/>
        <w:rPr>
          <w:rFonts w:ascii="Times New Roman" w:hAnsi="Times New Roman" w:cs="Times New Roman"/>
        </w:rPr>
      </w:pPr>
    </w:p>
    <w:p w14:paraId="2481DCC9" w14:textId="21F311AB" w:rsidR="00D03F23" w:rsidRPr="00391E99" w:rsidRDefault="005F191B" w:rsidP="00D40FD1">
      <w:pPr>
        <w:pStyle w:val="Ttulo3"/>
        <w:spacing w:line="360" w:lineRule="auto"/>
        <w:ind w:left="0" w:firstLine="720"/>
        <w:jc w:val="both"/>
        <w:rPr>
          <w:rFonts w:cs="Times New Roman"/>
        </w:rPr>
      </w:pPr>
      <w:bookmarkStart w:id="86" w:name="_Toc166705768"/>
      <w:bookmarkStart w:id="87" w:name="_Toc175171370"/>
      <w:r w:rsidRPr="00391E99">
        <w:rPr>
          <w:rFonts w:cs="Times New Roman"/>
        </w:rPr>
        <w:t>2.2.2. CUOTA</w:t>
      </w:r>
      <w:bookmarkEnd w:id="86"/>
      <w:bookmarkEnd w:id="87"/>
    </w:p>
    <w:p w14:paraId="24FFC2C5" w14:textId="77777777" w:rsidR="00D03F23" w:rsidRDefault="00D03F23" w:rsidP="00D40FD1">
      <w:pPr>
        <w:ind w:left="720"/>
        <w:jc w:val="both"/>
        <w:rPr>
          <w:rFonts w:ascii="Times New Roman" w:hAnsi="Times New Roman" w:cs="Times New Roman"/>
        </w:rPr>
      </w:pPr>
      <w:r w:rsidRPr="004D2D6F">
        <w:rPr>
          <w:rFonts w:ascii="Times New Roman" w:hAnsi="Times New Roman" w:cs="Times New Roman"/>
        </w:rPr>
        <w:t>Se establece para los créditos que no son al vencimiento, y es el monto que el deudor paga regularmente al acreedor por las obligaciones que tiene con este, en el cual se incluye capital, intereses, comisiones, importes por seguro y otros cargos, debidamente establecidos en las condiciones del crédito y formalizados mediante calendario de pago de acuerdo con lo pactado.</w:t>
      </w:r>
      <w:sdt>
        <w:sdtPr>
          <w:rPr>
            <w:rFonts w:ascii="Times New Roman" w:hAnsi="Times New Roman" w:cs="Times New Roman"/>
          </w:rPr>
          <w:id w:val="322163614"/>
          <w:citation/>
        </w:sdtPr>
        <w:sdtContent>
          <w:r w:rsidRPr="004D2D6F">
            <w:rPr>
              <w:rFonts w:ascii="Times New Roman" w:hAnsi="Times New Roman" w:cs="Times New Roman"/>
            </w:rPr>
            <w:fldChar w:fldCharType="begin"/>
          </w:r>
          <w:r w:rsidRPr="004D2D6F">
            <w:rPr>
              <w:rFonts w:ascii="Times New Roman" w:hAnsi="Times New Roman" w:cs="Times New Roman"/>
            </w:rPr>
            <w:instrText xml:space="preserve">CITATION CON13 \p 27 \l 3082 </w:instrText>
          </w:r>
          <w:r w:rsidRPr="004D2D6F">
            <w:rPr>
              <w:rFonts w:ascii="Times New Roman" w:hAnsi="Times New Roman" w:cs="Times New Roman"/>
            </w:rPr>
            <w:fldChar w:fldCharType="separate"/>
          </w:r>
          <w:r w:rsidRPr="004D2D6F">
            <w:rPr>
              <w:rFonts w:ascii="Times New Roman" w:hAnsi="Times New Roman" w:cs="Times New Roman"/>
              <w:noProof/>
            </w:rPr>
            <w:t xml:space="preserve"> (CONAMI , 2013, pág. 27)</w:t>
          </w:r>
          <w:r w:rsidRPr="004D2D6F">
            <w:rPr>
              <w:rFonts w:ascii="Times New Roman" w:hAnsi="Times New Roman" w:cs="Times New Roman"/>
            </w:rPr>
            <w:fldChar w:fldCharType="end"/>
          </w:r>
        </w:sdtContent>
      </w:sdt>
    </w:p>
    <w:p w14:paraId="15F1441A" w14:textId="77777777" w:rsidR="00702DE9" w:rsidRDefault="00702DE9" w:rsidP="00D40FD1">
      <w:pPr>
        <w:ind w:left="720"/>
        <w:jc w:val="both"/>
        <w:rPr>
          <w:rFonts w:ascii="Times New Roman" w:hAnsi="Times New Roman" w:cs="Times New Roman"/>
        </w:rPr>
      </w:pPr>
    </w:p>
    <w:p w14:paraId="67FCAA8D" w14:textId="0EE16183" w:rsidR="00702DE9" w:rsidRPr="007B461C" w:rsidRDefault="007B461C" w:rsidP="00D40FD1">
      <w:pPr>
        <w:spacing w:line="360" w:lineRule="auto"/>
        <w:ind w:firstLine="720"/>
        <w:jc w:val="both"/>
        <w:rPr>
          <w:rFonts w:ascii="Times New Roman" w:hAnsi="Times New Roman" w:cs="Times New Roman"/>
          <w:sz w:val="24"/>
          <w:szCs w:val="24"/>
        </w:rPr>
      </w:pPr>
      <w:r w:rsidRPr="007B461C">
        <w:rPr>
          <w:rFonts w:ascii="Times New Roman" w:hAnsi="Times New Roman" w:cs="Times New Roman"/>
          <w:sz w:val="24"/>
          <w:szCs w:val="24"/>
        </w:rPr>
        <w:t>En una reciente actualización del término, establece que:</w:t>
      </w:r>
      <w:r w:rsidR="00F33DDA">
        <w:rPr>
          <w:rFonts w:ascii="Times New Roman" w:hAnsi="Times New Roman" w:cs="Times New Roman"/>
          <w:sz w:val="24"/>
          <w:szCs w:val="24"/>
        </w:rPr>
        <w:t xml:space="preserve"> </w:t>
      </w:r>
      <w:r w:rsidR="00702DE9" w:rsidRPr="007B461C">
        <w:rPr>
          <w:rFonts w:ascii="Times New Roman" w:hAnsi="Times New Roman" w:cs="Times New Roman"/>
          <w:sz w:val="24"/>
          <w:szCs w:val="24"/>
        </w:rPr>
        <w:t xml:space="preserve">“La cuota de un crédito es el pago periódico que se compromete a realizar un deudor a su acreedor con el fin de devolver el financiamiento que éste le otorgó” </w:t>
      </w:r>
      <w:r w:rsidR="00702DE9" w:rsidRPr="007B461C">
        <w:rPr>
          <w:rFonts w:ascii="Times New Roman" w:hAnsi="Times New Roman" w:cs="Times New Roman"/>
          <w:sz w:val="24"/>
          <w:szCs w:val="24"/>
        </w:rPr>
        <w:fldChar w:fldCharType="begin"/>
      </w:r>
      <w:r w:rsidR="00C52841">
        <w:rPr>
          <w:rFonts w:ascii="Times New Roman" w:hAnsi="Times New Roman" w:cs="Times New Roman"/>
          <w:sz w:val="24"/>
          <w:szCs w:val="24"/>
        </w:rPr>
        <w:instrText xml:space="preserve"> ADDIN ZOTERO_ITEM CSL_CITATION {"citationID":"c63TIce8","properties":{"formattedCitation":"(Westreicher, 2018)","plainCitation":"(Westreicher, 2018)","noteIndex":0},"citationItems":[{"id":"mhK3fgOx/RfOnjzwK","uris":["http://zotero.org/users/local/rewjbDUP/items/MQTHCKEK"],"itemData":{"id":42,"type":"webpage","language":"Español","title":"Economipedia","URL":"https://economipedia.com/definiciones/cuota-de-un-credito.html","author":[{"family":"Westreicher","given":"Guillermo"}],"issued":{"date-parts":[["2018",3,20]]}}}],"schema":"https://github.com/citation-style-language/schema/raw/master/csl-citation.json"} </w:instrText>
      </w:r>
      <w:r w:rsidR="00702DE9" w:rsidRPr="007B461C">
        <w:rPr>
          <w:rFonts w:ascii="Times New Roman" w:hAnsi="Times New Roman" w:cs="Times New Roman"/>
          <w:sz w:val="24"/>
          <w:szCs w:val="24"/>
        </w:rPr>
        <w:fldChar w:fldCharType="separate"/>
      </w:r>
      <w:r w:rsidR="00702DE9" w:rsidRPr="007B461C">
        <w:rPr>
          <w:rFonts w:ascii="Times New Roman" w:hAnsi="Times New Roman" w:cs="Times New Roman"/>
          <w:sz w:val="24"/>
          <w:szCs w:val="24"/>
        </w:rPr>
        <w:t>(</w:t>
      </w:r>
      <w:proofErr w:type="spellStart"/>
      <w:r w:rsidR="00702DE9" w:rsidRPr="007B461C">
        <w:rPr>
          <w:rFonts w:ascii="Times New Roman" w:hAnsi="Times New Roman" w:cs="Times New Roman"/>
          <w:sz w:val="24"/>
          <w:szCs w:val="24"/>
        </w:rPr>
        <w:t>Westreicher</w:t>
      </w:r>
      <w:proofErr w:type="spellEnd"/>
      <w:r w:rsidR="00702DE9" w:rsidRPr="007B461C">
        <w:rPr>
          <w:rFonts w:ascii="Times New Roman" w:hAnsi="Times New Roman" w:cs="Times New Roman"/>
          <w:sz w:val="24"/>
          <w:szCs w:val="24"/>
        </w:rPr>
        <w:t>, 2018)</w:t>
      </w:r>
      <w:r w:rsidR="00702DE9" w:rsidRPr="007B461C">
        <w:rPr>
          <w:rFonts w:ascii="Times New Roman" w:hAnsi="Times New Roman" w:cs="Times New Roman"/>
          <w:sz w:val="24"/>
          <w:szCs w:val="24"/>
        </w:rPr>
        <w:fldChar w:fldCharType="end"/>
      </w:r>
      <w:r w:rsidR="00702DE9" w:rsidRPr="007B461C">
        <w:rPr>
          <w:rFonts w:ascii="Times New Roman" w:hAnsi="Times New Roman" w:cs="Times New Roman"/>
          <w:sz w:val="24"/>
          <w:szCs w:val="24"/>
        </w:rPr>
        <w:t>.</w:t>
      </w:r>
    </w:p>
    <w:p w14:paraId="7F272BD9" w14:textId="77777777" w:rsidR="00702DE9" w:rsidRDefault="00702DE9" w:rsidP="00347CC2">
      <w:pPr>
        <w:ind w:left="708"/>
        <w:jc w:val="both"/>
        <w:rPr>
          <w:rFonts w:ascii="Times New Roman" w:hAnsi="Times New Roman" w:cs="Times New Roman"/>
        </w:rPr>
      </w:pPr>
    </w:p>
    <w:p w14:paraId="172252ED" w14:textId="04E7B21B" w:rsidR="00D03F23" w:rsidRPr="00391E99" w:rsidRDefault="005F191B" w:rsidP="00D40FD1">
      <w:pPr>
        <w:pStyle w:val="Ttulo3"/>
        <w:spacing w:line="360" w:lineRule="auto"/>
        <w:ind w:left="0" w:firstLine="720"/>
        <w:jc w:val="both"/>
        <w:rPr>
          <w:rFonts w:cs="Times New Roman"/>
        </w:rPr>
      </w:pPr>
      <w:bookmarkStart w:id="88" w:name="_Toc166705769"/>
      <w:bookmarkStart w:id="89" w:name="_Toc175171371"/>
      <w:r w:rsidRPr="00391E99">
        <w:rPr>
          <w:rFonts w:cs="Times New Roman"/>
        </w:rPr>
        <w:t>2.2.3. ENDEUDAMIENTO</w:t>
      </w:r>
      <w:bookmarkEnd w:id="88"/>
      <w:bookmarkEnd w:id="89"/>
    </w:p>
    <w:p w14:paraId="1AD41B80" w14:textId="77777777" w:rsidR="00D03F23" w:rsidRDefault="00D03F23" w:rsidP="00AC1843">
      <w:pPr>
        <w:spacing w:line="360" w:lineRule="auto"/>
        <w:ind w:firstLine="567"/>
        <w:jc w:val="both"/>
        <w:rPr>
          <w:rFonts w:ascii="Times New Roman" w:hAnsi="Times New Roman" w:cs="Times New Roman"/>
          <w:sz w:val="24"/>
          <w:szCs w:val="24"/>
        </w:rPr>
      </w:pPr>
      <w:r w:rsidRPr="004D2D6F">
        <w:rPr>
          <w:rFonts w:ascii="Times New Roman" w:hAnsi="Times New Roman" w:cs="Times New Roman"/>
          <w:sz w:val="24"/>
          <w:szCs w:val="24"/>
        </w:rPr>
        <w:t>“Es un medio de financiamiento, mediante el cual una persona, empresa o país, contrae obligaciones con terceros”</w:t>
      </w:r>
      <w:sdt>
        <w:sdtPr>
          <w:rPr>
            <w:rFonts w:ascii="Times New Roman" w:hAnsi="Times New Roman" w:cs="Times New Roman"/>
            <w:sz w:val="24"/>
            <w:szCs w:val="24"/>
          </w:rPr>
          <w:id w:val="1430088308"/>
          <w:citation/>
        </w:sdtPr>
        <w:sdtContent>
          <w:r w:rsidRPr="004D2D6F">
            <w:rPr>
              <w:rFonts w:ascii="Times New Roman" w:hAnsi="Times New Roman" w:cs="Times New Roman"/>
              <w:sz w:val="24"/>
              <w:szCs w:val="24"/>
            </w:rPr>
            <w:fldChar w:fldCharType="begin"/>
          </w:r>
          <w:r w:rsidRPr="004D2D6F">
            <w:rPr>
              <w:rFonts w:ascii="Times New Roman" w:hAnsi="Times New Roman" w:cs="Times New Roman"/>
              <w:sz w:val="24"/>
              <w:szCs w:val="24"/>
            </w:rPr>
            <w:instrText xml:space="preserve">CITATION SER \p 1 \l 3082 </w:instrText>
          </w:r>
          <w:r w:rsidRPr="004D2D6F">
            <w:rPr>
              <w:rFonts w:ascii="Times New Roman" w:hAnsi="Times New Roman" w:cs="Times New Roman"/>
              <w:sz w:val="24"/>
              <w:szCs w:val="24"/>
            </w:rPr>
            <w:fldChar w:fldCharType="separate"/>
          </w:r>
          <w:r w:rsidRPr="004D2D6F">
            <w:rPr>
              <w:rFonts w:ascii="Times New Roman" w:hAnsi="Times New Roman" w:cs="Times New Roman"/>
              <w:noProof/>
              <w:sz w:val="24"/>
              <w:szCs w:val="24"/>
            </w:rPr>
            <w:t xml:space="preserve"> (SERNAC, pág. 1)</w:t>
          </w:r>
          <w:r w:rsidRPr="004D2D6F">
            <w:rPr>
              <w:rFonts w:ascii="Times New Roman" w:hAnsi="Times New Roman" w:cs="Times New Roman"/>
              <w:sz w:val="24"/>
              <w:szCs w:val="24"/>
            </w:rPr>
            <w:fldChar w:fldCharType="end"/>
          </w:r>
        </w:sdtContent>
      </w:sdt>
      <w:r w:rsidRPr="004D2D6F">
        <w:rPr>
          <w:rFonts w:ascii="Times New Roman" w:hAnsi="Times New Roman" w:cs="Times New Roman"/>
          <w:sz w:val="24"/>
          <w:szCs w:val="24"/>
        </w:rPr>
        <w:t>.</w:t>
      </w:r>
    </w:p>
    <w:p w14:paraId="02283419" w14:textId="1EBAF6CB" w:rsidR="00A77CF7" w:rsidRDefault="007B461C" w:rsidP="00816B30">
      <w:pPr>
        <w:spacing w:line="360" w:lineRule="auto"/>
        <w:ind w:firstLine="720"/>
        <w:jc w:val="both"/>
        <w:rPr>
          <w:rFonts w:ascii="Times New Roman" w:hAnsi="Times New Roman" w:cs="Times New Roman"/>
          <w:sz w:val="24"/>
          <w:szCs w:val="24"/>
        </w:rPr>
      </w:pPr>
      <w:r w:rsidRPr="007B461C">
        <w:rPr>
          <w:rFonts w:ascii="Times New Roman" w:hAnsi="Times New Roman" w:cs="Times New Roman"/>
          <w:sz w:val="24"/>
          <w:szCs w:val="24"/>
        </w:rPr>
        <w:t>Este término también es conocido como deuda y su definición más reciente indica que</w:t>
      </w:r>
      <w:r w:rsidR="00F33DDA">
        <w:rPr>
          <w:rFonts w:ascii="Times New Roman" w:hAnsi="Times New Roman" w:cs="Times New Roman"/>
          <w:sz w:val="24"/>
          <w:szCs w:val="24"/>
        </w:rPr>
        <w:t>:</w:t>
      </w:r>
      <w:r w:rsidRPr="007B461C">
        <w:rPr>
          <w:rFonts w:ascii="Times New Roman" w:hAnsi="Times New Roman" w:cs="Times New Roman"/>
          <w:sz w:val="24"/>
          <w:szCs w:val="24"/>
        </w:rPr>
        <w:tab/>
        <w:t>“Cuando hablamos de deuda nos referimos a la financiación a largo y a corto que paga intereses. Normalmente es financiación bancaria, pero en grandes empresas puede ser también una emisión de bonos o de pagarés”</w:t>
      </w:r>
      <w:r w:rsidRPr="007B461C">
        <w:rPr>
          <w:rFonts w:ascii="Times New Roman" w:hAnsi="Times New Roman" w:cs="Times New Roman"/>
          <w:b/>
          <w:bCs/>
          <w:sz w:val="24"/>
          <w:szCs w:val="24"/>
        </w:rPr>
        <w:t xml:space="preserve"> </w:t>
      </w:r>
      <w:r w:rsidRPr="007B461C">
        <w:rPr>
          <w:rFonts w:ascii="Times New Roman" w:hAnsi="Times New Roman" w:cs="Times New Roman"/>
          <w:b/>
          <w:bCs/>
          <w:sz w:val="24"/>
          <w:szCs w:val="24"/>
        </w:rPr>
        <w:fldChar w:fldCharType="begin"/>
      </w:r>
      <w:r w:rsidR="00C52841">
        <w:rPr>
          <w:rFonts w:ascii="Times New Roman" w:hAnsi="Times New Roman" w:cs="Times New Roman"/>
          <w:b/>
          <w:bCs/>
          <w:sz w:val="24"/>
          <w:szCs w:val="24"/>
        </w:rPr>
        <w:instrText xml:space="preserve"> ADDIN ZOTERO_ITEM CSL_CITATION {"citationID":"HrCPWuPR","properties":{"formattedCitation":"(Mart\\uc0\\u237{}nez Abascal, 2017, p. 23)","plainCitation":"(Martínez Abascal, 2017, p. 23)","noteIndex":0},"citationItems":[{"id":"mhK3fgOx/VUTNTwex","uris":["http://zotero.org/users/local/rewjbDUP/items/6VAYXTZZ"],"itemData":{"id":44,"type":"book","call-number":"Economia y Comercio / General","edition":"2","event-place":"Madrid","ISBN":"978-84-481-9006-4","language":"Español","license":"McGraw-Hill Education","number-of-pages":"282","publisher":"McGraw-Hill España","publisher-place":"Madrid","title":"Finanzas para directivos","author":[{"family":"Martínez Abascal","given":"Eduardo"}],"issued":{"date-parts":[["2017"]]}},"locator":"23","label":"page"}],"schema":"https://github.com/citation-style-language/schema/raw/master/csl-citation.json"} </w:instrText>
      </w:r>
      <w:r w:rsidRPr="007B461C">
        <w:rPr>
          <w:rFonts w:ascii="Times New Roman" w:hAnsi="Times New Roman" w:cs="Times New Roman"/>
          <w:b/>
          <w:bCs/>
          <w:sz w:val="24"/>
          <w:szCs w:val="24"/>
        </w:rPr>
        <w:fldChar w:fldCharType="separate"/>
      </w:r>
      <w:r w:rsidRPr="007B461C">
        <w:rPr>
          <w:rFonts w:ascii="Times New Roman" w:hAnsi="Times New Roman" w:cs="Times New Roman"/>
          <w:sz w:val="24"/>
          <w:szCs w:val="24"/>
        </w:rPr>
        <w:t>(Martínez Abascal, 2017, p. 23)</w:t>
      </w:r>
      <w:r w:rsidRPr="007B461C">
        <w:rPr>
          <w:rFonts w:ascii="Times New Roman" w:hAnsi="Times New Roman" w:cs="Times New Roman"/>
          <w:b/>
          <w:bCs/>
          <w:sz w:val="24"/>
          <w:szCs w:val="24"/>
        </w:rPr>
        <w:fldChar w:fldCharType="end"/>
      </w:r>
      <w:r w:rsidRPr="007B461C">
        <w:rPr>
          <w:rFonts w:ascii="Times New Roman" w:hAnsi="Times New Roman" w:cs="Times New Roman"/>
          <w:b/>
          <w:bCs/>
          <w:sz w:val="24"/>
          <w:szCs w:val="24"/>
        </w:rPr>
        <w:t>.</w:t>
      </w:r>
    </w:p>
    <w:p w14:paraId="0F834087" w14:textId="77777777" w:rsidR="00A77CF7" w:rsidRDefault="00A77CF7" w:rsidP="00AC1843">
      <w:pPr>
        <w:spacing w:line="360" w:lineRule="auto"/>
        <w:ind w:firstLine="567"/>
        <w:jc w:val="both"/>
        <w:rPr>
          <w:rFonts w:ascii="Times New Roman" w:hAnsi="Times New Roman" w:cs="Times New Roman"/>
          <w:sz w:val="24"/>
          <w:szCs w:val="24"/>
        </w:rPr>
      </w:pPr>
    </w:p>
    <w:p w14:paraId="2C9F7567" w14:textId="5108F497" w:rsidR="00D03F23" w:rsidRPr="00391E99" w:rsidRDefault="005F191B" w:rsidP="00B260A8">
      <w:pPr>
        <w:pStyle w:val="Ttulo3"/>
        <w:spacing w:line="360" w:lineRule="auto"/>
        <w:ind w:left="0" w:firstLine="567"/>
        <w:jc w:val="both"/>
      </w:pPr>
      <w:bookmarkStart w:id="90" w:name="_Toc166705770"/>
      <w:bookmarkStart w:id="91" w:name="_Toc175171372"/>
      <w:r w:rsidRPr="00391E99">
        <w:t>2.2.4. FINANZAS</w:t>
      </w:r>
      <w:bookmarkEnd w:id="90"/>
      <w:bookmarkEnd w:id="91"/>
    </w:p>
    <w:p w14:paraId="7C67AE28" w14:textId="40DF0197" w:rsidR="00D03F23" w:rsidRPr="00330743" w:rsidRDefault="00D03F23" w:rsidP="00347CC2">
      <w:pPr>
        <w:ind w:left="708"/>
        <w:jc w:val="both"/>
        <w:rPr>
          <w:rFonts w:ascii="Times New Roman" w:hAnsi="Times New Roman" w:cs="Times New Roman"/>
        </w:rPr>
      </w:pPr>
      <w:r w:rsidRPr="00330743">
        <w:rPr>
          <w:rFonts w:ascii="Times New Roman" w:hAnsi="Times New Roman" w:cs="Times New Roman"/>
        </w:rPr>
        <w:t>Se refiere a hacienda, caudal y negocios. Se le define como el conjunto de actividades mercantiles relacionadas con el dinero de los negocios, de la banca y de la bolsa; y como el grupo de mercados o instituciones financieras de ámbito nacional o internacional.</w:t>
      </w:r>
    </w:p>
    <w:p w14:paraId="562FC954" w14:textId="4A0C2FF3" w:rsidR="00D03F23" w:rsidRDefault="00D03F23" w:rsidP="00347CC2">
      <w:pPr>
        <w:ind w:left="708"/>
        <w:jc w:val="both"/>
        <w:rPr>
          <w:rFonts w:ascii="Times New Roman" w:hAnsi="Times New Roman" w:cs="Times New Roman"/>
        </w:rPr>
      </w:pPr>
      <w:r w:rsidRPr="00330743">
        <w:rPr>
          <w:rFonts w:ascii="Times New Roman" w:hAnsi="Times New Roman" w:cs="Times New Roman"/>
        </w:rPr>
        <w:lastRenderedPageBreak/>
        <w:t xml:space="preserve">Así, la palabra “finanzas” se puede definir como el conjunto de actividades que, a través de la toma de decisiones, mueven, controlan, utilizan y administran dinero y otros recursos de valor. “Finanzas” es una palabra que provoca reacciones distintas, las cuales pueden ir desde el interés y la curiosidad hasta el temor y la angustia. Para la mayoría de las personas las finanzas se perciben como algo complejo, poco accesible y que solo es manejado por los estudiosos; en realidad, estas pueden ser tan sencillas, interesantes y útiles si se cuenta con los conocimientos financieros esenciales. </w:t>
      </w:r>
      <w:r w:rsidRPr="00330743">
        <w:rPr>
          <w:rFonts w:ascii="Times New Roman" w:hAnsi="Times New Roman" w:cs="Times New Roman"/>
        </w:rPr>
        <w:fldChar w:fldCharType="begin"/>
      </w:r>
      <w:r w:rsidR="000F6563">
        <w:rPr>
          <w:rFonts w:ascii="Times New Roman" w:hAnsi="Times New Roman" w:cs="Times New Roman"/>
        </w:rPr>
        <w:instrText xml:space="preserve"> ADDIN ZOTERO_ITEM CSL_CITATION {"citationID":"M63C47Ia","properties":{"formattedCitation":"(Garc\\uc0\\u237{}a Padilla, 2014, p. 12)","plainCitation":"(García Padilla, 2014, p. 12)","noteIndex":0},"citationItems":[{"id":42,"uris":["http://zotero.org/users/13562074/items/6LWHJGRN"],"itemData":{"id":42,"type":"book","ISBN":"978-607-438-879-4","language":"es","publisher":"Grupo Editorial Patria","source":"elibro.net","title":"Introducción a las finanzas","URL":"https://elibro.net/es/ereader/unitechn/39412?page=12","author":[{"family":"García Padilla","given":"Víctor Manuel"}],"accessed":{"date-parts":[["2024",2,22]]},"issued":{"date-parts":[["2014"]]}},"locator":"12","label":"page"}],"schema":"https://github.com/citation-style-language/schema/raw/master/csl-citation.json"} </w:instrText>
      </w:r>
      <w:r w:rsidRPr="00330743">
        <w:rPr>
          <w:rFonts w:ascii="Times New Roman" w:hAnsi="Times New Roman" w:cs="Times New Roman"/>
        </w:rPr>
        <w:fldChar w:fldCharType="separate"/>
      </w:r>
      <w:r w:rsidRPr="00330743">
        <w:rPr>
          <w:rFonts w:ascii="Times New Roman" w:hAnsi="Times New Roman" w:cs="Times New Roman"/>
        </w:rPr>
        <w:t>(García Padilla, 2014, p. 12)</w:t>
      </w:r>
      <w:r w:rsidRPr="00330743">
        <w:rPr>
          <w:rFonts w:ascii="Times New Roman" w:hAnsi="Times New Roman" w:cs="Times New Roman"/>
        </w:rPr>
        <w:fldChar w:fldCharType="end"/>
      </w:r>
    </w:p>
    <w:p w14:paraId="404FAE3B" w14:textId="77777777" w:rsidR="007B461C" w:rsidRDefault="007B461C" w:rsidP="00347CC2">
      <w:pPr>
        <w:ind w:left="708"/>
        <w:jc w:val="both"/>
        <w:rPr>
          <w:rFonts w:ascii="Times New Roman" w:hAnsi="Times New Roman" w:cs="Times New Roman"/>
        </w:rPr>
      </w:pPr>
    </w:p>
    <w:p w14:paraId="2A95CE12" w14:textId="4CD6E61E" w:rsidR="007B461C" w:rsidRPr="007B461C" w:rsidRDefault="007B461C" w:rsidP="007B461C">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En sus definiciones más recientes,</w:t>
      </w:r>
      <w:r w:rsidR="00F33DDA">
        <w:rPr>
          <w:rFonts w:ascii="Times New Roman" w:hAnsi="Times New Roman" w:cs="Times New Roman"/>
          <w:sz w:val="24"/>
          <w:szCs w:val="24"/>
        </w:rPr>
        <w:t xml:space="preserve"> </w:t>
      </w:r>
      <w:r w:rsidRPr="007B461C">
        <w:rPr>
          <w:rFonts w:ascii="Times New Roman" w:hAnsi="Times New Roman" w:cs="Times New Roman"/>
          <w:sz w:val="24"/>
          <w:szCs w:val="24"/>
        </w:rPr>
        <w:t xml:space="preserve">“La palabra finanzas se puede definir como el conjunto de actividades que, a través de la toma de decisiones, mueven, controlan, utilizan y administran el dinero y otros recursos de valor” </w:t>
      </w:r>
      <w:r w:rsidRPr="007B461C">
        <w:rPr>
          <w:rFonts w:ascii="Times New Roman" w:hAnsi="Times New Roman" w:cs="Times New Roman"/>
          <w:sz w:val="24"/>
          <w:szCs w:val="24"/>
        </w:rPr>
        <w:fldChar w:fldCharType="begin"/>
      </w:r>
      <w:r w:rsidR="00C52841">
        <w:rPr>
          <w:rFonts w:ascii="Times New Roman" w:hAnsi="Times New Roman" w:cs="Times New Roman"/>
          <w:sz w:val="24"/>
          <w:szCs w:val="24"/>
        </w:rPr>
        <w:instrText xml:space="preserve"> ADDIN ZOTERO_ITEM CSL_CITATION {"citationID":"JeZRzbMY","properties":{"formattedCitation":"(Garc\\uc0\\u237{}a Padilla, 2015, p. 12)","plainCitation":"(García Padilla, 2015, p. 12)","noteIndex":0},"citationItems":[{"id":"mhK3fgOx/lV0Q32IE","uris":["http://zotero.org/users/local/rewjbDUP/items/W2KXXFA8"],"itemData":{"id":35,"type":"book","edition":"2","event-place":"México","ISBN":"978-607-438-879-4","language":"Español","license":"Grupo Editorial Patria S.A. de C.V. Victor Manuel García Padilla","publisher":"Grupo Editorial Patria","publisher-place":"México","title":"Introducción a las Finanzas","author":[{"family":"García Padilla","given":"Victor Manuel"}],"issued":{"date-parts":[["2015"]]}},"locator":"12","label":"page"}],"schema":"https://github.com/citation-style-language/schema/raw/master/csl-citation.json"} </w:instrText>
      </w:r>
      <w:r w:rsidRPr="007B461C">
        <w:rPr>
          <w:rFonts w:ascii="Times New Roman" w:hAnsi="Times New Roman" w:cs="Times New Roman"/>
          <w:sz w:val="24"/>
          <w:szCs w:val="24"/>
        </w:rPr>
        <w:fldChar w:fldCharType="separate"/>
      </w:r>
      <w:r w:rsidRPr="007B461C">
        <w:rPr>
          <w:rFonts w:ascii="Times New Roman" w:hAnsi="Times New Roman" w:cs="Times New Roman"/>
          <w:sz w:val="24"/>
          <w:szCs w:val="24"/>
        </w:rPr>
        <w:t>(García Padilla, 2015, p. 12)</w:t>
      </w:r>
      <w:r w:rsidRPr="007B461C">
        <w:rPr>
          <w:rFonts w:ascii="Times New Roman" w:hAnsi="Times New Roman" w:cs="Times New Roman"/>
          <w:sz w:val="24"/>
          <w:szCs w:val="24"/>
        </w:rPr>
        <w:fldChar w:fldCharType="end"/>
      </w:r>
      <w:r w:rsidRPr="007B461C">
        <w:rPr>
          <w:rFonts w:ascii="Times New Roman" w:hAnsi="Times New Roman" w:cs="Times New Roman"/>
          <w:sz w:val="24"/>
          <w:szCs w:val="24"/>
        </w:rPr>
        <w:t>.</w:t>
      </w:r>
    </w:p>
    <w:p w14:paraId="500F4502" w14:textId="01D59E70" w:rsidR="007B461C" w:rsidRDefault="007B461C" w:rsidP="007B461C">
      <w:pPr>
        <w:spacing w:line="360" w:lineRule="auto"/>
        <w:ind w:firstLine="720"/>
        <w:jc w:val="both"/>
        <w:rPr>
          <w:rFonts w:ascii="Times New Roman" w:hAnsi="Times New Roman" w:cs="Times New Roman"/>
          <w:sz w:val="24"/>
          <w:szCs w:val="24"/>
        </w:rPr>
      </w:pPr>
      <w:r w:rsidRPr="007B461C">
        <w:rPr>
          <w:rFonts w:ascii="Times New Roman" w:hAnsi="Times New Roman" w:cs="Times New Roman"/>
          <w:sz w:val="24"/>
          <w:szCs w:val="24"/>
        </w:rPr>
        <w:tab/>
        <w:t xml:space="preserve">“El término finanzas puede definirse como el arte y la ciencia de administrar el dinero” </w:t>
      </w:r>
      <w:r w:rsidRPr="007B461C">
        <w:rPr>
          <w:rFonts w:ascii="Times New Roman" w:hAnsi="Times New Roman" w:cs="Times New Roman"/>
          <w:sz w:val="24"/>
          <w:szCs w:val="24"/>
        </w:rPr>
        <w:fldChar w:fldCharType="begin"/>
      </w:r>
      <w:r w:rsidR="00C52841">
        <w:rPr>
          <w:rFonts w:ascii="Times New Roman" w:hAnsi="Times New Roman" w:cs="Times New Roman"/>
          <w:sz w:val="24"/>
          <w:szCs w:val="24"/>
        </w:rPr>
        <w:instrText xml:space="preserve"> ADDIN ZOTERO_ITEM CSL_CITATION {"citationID":"uygXcU4g","properties":{"formattedCitation":"(Gitman &amp; Zutter, 2016, p. 52)","plainCitation":"(Gitman &amp; Zutter, 2016, p. 52)","noteIndex":0},"citationItems":[{"id":"mhK3fgOx/7HJPH9By","uris":["http://zotero.org/users/local/rewjbDUP/items/LGD3L9TY"],"itemData":{"id":37,"type":"book","edition":"14","event-place":"México D.F.","ISBN":"978-607-32-3722-2","language":"Español","license":"2016 por Pearson Educación de México, S.A. de C.V.","publisher":"Pearson Educación","publisher-place":"México D.F.","title":"Pricipios de Administración Financiera","author":[{"family":"Gitman","given":"Lawrence J."},{"family":"Zutter","given":"Chad J."}],"issued":{"date-parts":[["2016"]]}},"locator":"52","label":"page"}],"schema":"https://github.com/citation-style-language/schema/raw/master/csl-citation.json"} </w:instrText>
      </w:r>
      <w:r w:rsidRPr="007B461C">
        <w:rPr>
          <w:rFonts w:ascii="Times New Roman" w:hAnsi="Times New Roman" w:cs="Times New Roman"/>
          <w:sz w:val="24"/>
          <w:szCs w:val="24"/>
        </w:rPr>
        <w:fldChar w:fldCharType="separate"/>
      </w:r>
      <w:r w:rsidRPr="007B461C">
        <w:rPr>
          <w:rFonts w:ascii="Times New Roman" w:hAnsi="Times New Roman" w:cs="Times New Roman"/>
          <w:sz w:val="24"/>
          <w:szCs w:val="24"/>
        </w:rPr>
        <w:t xml:space="preserve">(Gitman &amp; </w:t>
      </w:r>
      <w:proofErr w:type="spellStart"/>
      <w:r w:rsidRPr="007B461C">
        <w:rPr>
          <w:rFonts w:ascii="Times New Roman" w:hAnsi="Times New Roman" w:cs="Times New Roman"/>
          <w:sz w:val="24"/>
          <w:szCs w:val="24"/>
        </w:rPr>
        <w:t>Zutter</w:t>
      </w:r>
      <w:proofErr w:type="spellEnd"/>
      <w:r w:rsidRPr="007B461C">
        <w:rPr>
          <w:rFonts w:ascii="Times New Roman" w:hAnsi="Times New Roman" w:cs="Times New Roman"/>
          <w:sz w:val="24"/>
          <w:szCs w:val="24"/>
        </w:rPr>
        <w:t>, 2016, p. 52)</w:t>
      </w:r>
      <w:r w:rsidRPr="007B461C">
        <w:rPr>
          <w:rFonts w:ascii="Times New Roman" w:hAnsi="Times New Roman" w:cs="Times New Roman"/>
          <w:sz w:val="24"/>
          <w:szCs w:val="24"/>
        </w:rPr>
        <w:fldChar w:fldCharType="end"/>
      </w:r>
      <w:r w:rsidRPr="007B461C">
        <w:rPr>
          <w:rFonts w:ascii="Times New Roman" w:hAnsi="Times New Roman" w:cs="Times New Roman"/>
          <w:sz w:val="24"/>
          <w:szCs w:val="24"/>
        </w:rPr>
        <w:t>.</w:t>
      </w:r>
    </w:p>
    <w:p w14:paraId="17772F32" w14:textId="77777777" w:rsidR="00816B30" w:rsidRPr="007B461C" w:rsidRDefault="00816B30" w:rsidP="007B461C">
      <w:pPr>
        <w:spacing w:line="360" w:lineRule="auto"/>
        <w:ind w:firstLine="720"/>
        <w:jc w:val="both"/>
        <w:rPr>
          <w:rFonts w:ascii="Times New Roman" w:hAnsi="Times New Roman" w:cs="Times New Roman"/>
          <w:sz w:val="24"/>
          <w:szCs w:val="24"/>
        </w:rPr>
      </w:pPr>
    </w:p>
    <w:p w14:paraId="65177C5B" w14:textId="77777777" w:rsidR="007B461C" w:rsidRPr="00D03F23" w:rsidRDefault="007B461C" w:rsidP="00347CC2">
      <w:pPr>
        <w:ind w:left="708"/>
        <w:jc w:val="both"/>
        <w:rPr>
          <w:rFonts w:ascii="Times New Roman" w:hAnsi="Times New Roman" w:cs="Times New Roman"/>
        </w:rPr>
      </w:pPr>
    </w:p>
    <w:p w14:paraId="024B6E77" w14:textId="08134A36" w:rsidR="00D03F23" w:rsidRPr="00391E99" w:rsidRDefault="005F191B" w:rsidP="00D40FD1">
      <w:pPr>
        <w:pStyle w:val="Ttulo3"/>
        <w:spacing w:line="360" w:lineRule="auto"/>
        <w:ind w:left="0" w:firstLine="720"/>
        <w:jc w:val="both"/>
        <w:rPr>
          <w:rFonts w:cs="Times New Roman"/>
        </w:rPr>
      </w:pPr>
      <w:bookmarkStart w:id="92" w:name="_Toc166705771"/>
      <w:bookmarkStart w:id="93" w:name="_Toc175171373"/>
      <w:r w:rsidRPr="00391E99">
        <w:rPr>
          <w:rFonts w:cs="Times New Roman"/>
        </w:rPr>
        <w:t>2.2.5. INTERÉS MORATORIO</w:t>
      </w:r>
      <w:bookmarkEnd w:id="92"/>
      <w:bookmarkEnd w:id="93"/>
    </w:p>
    <w:p w14:paraId="22D981A1" w14:textId="77777777" w:rsidR="00D03F23" w:rsidRDefault="00D03F23" w:rsidP="00D40FD1">
      <w:pPr>
        <w:spacing w:line="360" w:lineRule="auto"/>
        <w:ind w:firstLine="720"/>
        <w:jc w:val="both"/>
        <w:rPr>
          <w:rFonts w:ascii="Times New Roman" w:hAnsi="Times New Roman" w:cs="Times New Roman"/>
          <w:sz w:val="24"/>
          <w:szCs w:val="24"/>
        </w:rPr>
      </w:pPr>
      <w:r w:rsidRPr="004D2D6F">
        <w:rPr>
          <w:rFonts w:ascii="Times New Roman" w:hAnsi="Times New Roman" w:cs="Times New Roman"/>
          <w:sz w:val="24"/>
          <w:szCs w:val="24"/>
        </w:rPr>
        <w:t>“Son las tasas de interés que se establecen o devengan cuando el obligado no pagó en forma puntual la suma debida”</w:t>
      </w:r>
      <w:sdt>
        <w:sdtPr>
          <w:rPr>
            <w:rFonts w:ascii="Times New Roman" w:hAnsi="Times New Roman" w:cs="Times New Roman"/>
            <w:sz w:val="24"/>
            <w:szCs w:val="24"/>
          </w:rPr>
          <w:id w:val="1731111366"/>
          <w:citation/>
        </w:sdtPr>
        <w:sdtContent>
          <w:r w:rsidRPr="004D2D6F">
            <w:rPr>
              <w:rFonts w:ascii="Times New Roman" w:hAnsi="Times New Roman" w:cs="Times New Roman"/>
              <w:sz w:val="24"/>
              <w:szCs w:val="24"/>
            </w:rPr>
            <w:fldChar w:fldCharType="begin"/>
          </w:r>
          <w:r w:rsidRPr="004D2D6F">
            <w:rPr>
              <w:rFonts w:ascii="Times New Roman" w:hAnsi="Times New Roman" w:cs="Times New Roman"/>
              <w:sz w:val="24"/>
              <w:szCs w:val="24"/>
            </w:rPr>
            <w:instrText xml:space="preserve">CITATION Bar \p 7 \l 3082 </w:instrText>
          </w:r>
          <w:r w:rsidRPr="004D2D6F">
            <w:rPr>
              <w:rFonts w:ascii="Times New Roman" w:hAnsi="Times New Roman" w:cs="Times New Roman"/>
              <w:sz w:val="24"/>
              <w:szCs w:val="24"/>
            </w:rPr>
            <w:fldChar w:fldCharType="separate"/>
          </w:r>
          <w:r w:rsidRPr="004D2D6F">
            <w:rPr>
              <w:rFonts w:ascii="Times New Roman" w:hAnsi="Times New Roman" w:cs="Times New Roman"/>
              <w:noProof/>
              <w:sz w:val="24"/>
              <w:szCs w:val="24"/>
            </w:rPr>
            <w:t xml:space="preserve"> (Barbagelata, pág. 7)</w:t>
          </w:r>
          <w:r w:rsidRPr="004D2D6F">
            <w:rPr>
              <w:rFonts w:ascii="Times New Roman" w:hAnsi="Times New Roman" w:cs="Times New Roman"/>
              <w:sz w:val="24"/>
              <w:szCs w:val="24"/>
            </w:rPr>
            <w:fldChar w:fldCharType="end"/>
          </w:r>
        </w:sdtContent>
      </w:sdt>
      <w:r w:rsidRPr="004D2D6F">
        <w:rPr>
          <w:rFonts w:ascii="Times New Roman" w:hAnsi="Times New Roman" w:cs="Times New Roman"/>
          <w:sz w:val="24"/>
          <w:szCs w:val="24"/>
        </w:rPr>
        <w:t>.</w:t>
      </w:r>
    </w:p>
    <w:p w14:paraId="24DC2083" w14:textId="77777777" w:rsidR="00F33DDA" w:rsidRDefault="00F33DDA" w:rsidP="00AC1843">
      <w:pPr>
        <w:spacing w:line="360" w:lineRule="auto"/>
        <w:ind w:firstLine="567"/>
        <w:jc w:val="both"/>
        <w:rPr>
          <w:rFonts w:ascii="Times New Roman" w:hAnsi="Times New Roman" w:cs="Times New Roman"/>
          <w:sz w:val="24"/>
          <w:szCs w:val="24"/>
        </w:rPr>
      </w:pPr>
    </w:p>
    <w:p w14:paraId="69D3151E" w14:textId="7C620155" w:rsidR="00D03F23" w:rsidRPr="00391E99" w:rsidRDefault="005F191B" w:rsidP="00D40FD1">
      <w:pPr>
        <w:pStyle w:val="Ttulo3"/>
        <w:spacing w:line="360" w:lineRule="auto"/>
        <w:ind w:left="0" w:firstLine="720"/>
        <w:jc w:val="both"/>
      </w:pPr>
      <w:bookmarkStart w:id="94" w:name="_Toc166705772"/>
      <w:bookmarkStart w:id="95" w:name="_Toc175171374"/>
      <w:r w:rsidRPr="00391E99">
        <w:t>2.2.6. LIQUIDEZ</w:t>
      </w:r>
      <w:bookmarkEnd w:id="94"/>
      <w:bookmarkEnd w:id="95"/>
    </w:p>
    <w:p w14:paraId="61DE05B9" w14:textId="5061434C" w:rsidR="00D03F23" w:rsidRDefault="00D03F23" w:rsidP="00D40FD1">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“C</w:t>
      </w:r>
      <w:r w:rsidRPr="00920EB7">
        <w:rPr>
          <w:rFonts w:ascii="Times New Roman" w:hAnsi="Times New Roman" w:cs="Times New Roman"/>
          <w:sz w:val="24"/>
          <w:szCs w:val="24"/>
        </w:rPr>
        <w:t>apacidad de cumplir con nuestras obligaciones de corto plazo</w:t>
      </w:r>
      <w:r>
        <w:rPr>
          <w:rFonts w:ascii="Times New Roman" w:hAnsi="Times New Roman" w:cs="Times New Roman"/>
          <w:sz w:val="24"/>
          <w:szCs w:val="24"/>
        </w:rPr>
        <w:t xml:space="preserve">” </w:t>
      </w:r>
      <w:r>
        <w:rPr>
          <w:rFonts w:ascii="Times New Roman" w:hAnsi="Times New Roman" w:cs="Times New Roman"/>
          <w:sz w:val="24"/>
          <w:szCs w:val="24"/>
        </w:rPr>
        <w:fldChar w:fldCharType="begin"/>
      </w:r>
      <w:r w:rsidR="000F6563">
        <w:rPr>
          <w:rFonts w:ascii="Times New Roman" w:hAnsi="Times New Roman" w:cs="Times New Roman"/>
          <w:sz w:val="24"/>
          <w:szCs w:val="24"/>
        </w:rPr>
        <w:instrText xml:space="preserve"> ADDIN ZOTERO_ITEM CSL_CITATION {"citationID":"3DsOfzQ2","properties":{"formattedCitation":"(Chu Rubio, 2016, p. 13)","plainCitation":"(Chu Rubio, 2016, p. 13)","noteIndex":0},"citationItems":[{"id":38,"uris":["http://zotero.org/users/13562074/items/G34R79KD"],"itemData":{"id":38,"type":"book","ISBN":"978-612-318-052-2","language":"es","publisher":"Universidad Peruana de Ciencias Aplicadas (UPC)","source":"elibro.net","title":"Finanzas para no financieros","URL":"https://elibro.net/es/ereader/unitechn/41266?page=13","author":[{"family":"Chu Rubio","given":"Manuel"}],"accessed":{"date-parts":[["2024",2,22]]},"issued":{"date-parts":[["2016",6]]}},"locator":"13","label":"page"}],"schema":"https://github.com/citation-style-language/schema/raw/master/csl-citation.json"} </w:instrText>
      </w:r>
      <w:r>
        <w:rPr>
          <w:rFonts w:ascii="Times New Roman" w:hAnsi="Times New Roman" w:cs="Times New Roman"/>
          <w:sz w:val="24"/>
          <w:szCs w:val="24"/>
        </w:rPr>
        <w:fldChar w:fldCharType="separate"/>
      </w:r>
      <w:r w:rsidRPr="00330743">
        <w:rPr>
          <w:rFonts w:ascii="Times New Roman" w:hAnsi="Times New Roman" w:cs="Times New Roman"/>
          <w:sz w:val="24"/>
        </w:rPr>
        <w:t>(Chu Rubio, 2016, p. 13)</w:t>
      </w:r>
      <w:r>
        <w:rPr>
          <w:rFonts w:ascii="Times New Roman" w:hAnsi="Times New Roman" w:cs="Times New Roman"/>
          <w:sz w:val="24"/>
          <w:szCs w:val="24"/>
        </w:rPr>
        <w:fldChar w:fldCharType="end"/>
      </w:r>
      <w:r>
        <w:rPr>
          <w:rFonts w:ascii="Times New Roman" w:hAnsi="Times New Roman" w:cs="Times New Roman"/>
          <w:sz w:val="24"/>
          <w:szCs w:val="24"/>
        </w:rPr>
        <w:t>.</w:t>
      </w:r>
    </w:p>
    <w:p w14:paraId="20BE3F71" w14:textId="60FC9E02" w:rsidR="00F33DDA" w:rsidRPr="00F33DDA" w:rsidRDefault="00F33DDA" w:rsidP="00F33DDA">
      <w:pPr>
        <w:spacing w:line="360" w:lineRule="auto"/>
        <w:ind w:firstLine="720"/>
        <w:jc w:val="both"/>
        <w:rPr>
          <w:rFonts w:ascii="Times New Roman" w:hAnsi="Times New Roman" w:cs="Times New Roman"/>
          <w:sz w:val="24"/>
          <w:szCs w:val="24"/>
        </w:rPr>
      </w:pPr>
      <w:r w:rsidRPr="00F33DDA">
        <w:rPr>
          <w:rFonts w:ascii="Times New Roman" w:hAnsi="Times New Roman" w:cs="Times New Roman"/>
          <w:sz w:val="24"/>
          <w:szCs w:val="24"/>
        </w:rPr>
        <w:t>Recientemente, su concepto se ha descrito como:</w:t>
      </w:r>
      <w:r>
        <w:rPr>
          <w:rFonts w:ascii="Times New Roman" w:hAnsi="Times New Roman" w:cs="Times New Roman"/>
          <w:sz w:val="24"/>
          <w:szCs w:val="24"/>
        </w:rPr>
        <w:t xml:space="preserve"> </w:t>
      </w:r>
      <w:r w:rsidRPr="00F33DDA">
        <w:rPr>
          <w:rFonts w:ascii="Times New Roman" w:hAnsi="Times New Roman" w:cs="Times New Roman"/>
          <w:sz w:val="24"/>
          <w:szCs w:val="24"/>
        </w:rPr>
        <w:t xml:space="preserve">“La liquidez mide qué tan rápido y fácil es convertir el bien o servicio de una cuenta en efectivo (teniendo en cuenta que el efectivo es el activo más líquido que existe)” </w:t>
      </w:r>
      <w:r w:rsidRPr="00F33DDA">
        <w:rPr>
          <w:rFonts w:ascii="Times New Roman" w:hAnsi="Times New Roman" w:cs="Times New Roman"/>
          <w:sz w:val="24"/>
          <w:szCs w:val="24"/>
        </w:rPr>
        <w:fldChar w:fldCharType="begin"/>
      </w:r>
      <w:r w:rsidR="00C52841">
        <w:rPr>
          <w:rFonts w:ascii="Times New Roman" w:hAnsi="Times New Roman" w:cs="Times New Roman"/>
          <w:sz w:val="24"/>
          <w:szCs w:val="24"/>
        </w:rPr>
        <w:instrText xml:space="preserve"> ADDIN ZOTERO_ITEM CSL_CITATION {"citationID":"QdBLWmDX","properties":{"formattedCitation":"(Nobles &amp; Mattison, 2016, p. 234)","plainCitation":"(Nobles &amp; Mattison, 2016, p. 234)","noteIndex":0},"citationItems":[{"id":"mhK3fgOx/2Vz1Tfq9","uris":["http://zotero.org/users/local/rewjbDUP/items/MVYDJ26I"],"itemData":{"id":38,"type":"book","edition":"10","event-place":"Colombia","ISBN":"978-958-699-305-0","language":"Español","publisher":"Pearson Educación","publisher-place":"Colombia","title":"Contabilidad de Horngren","author":[{"family":"Nobles","given":"Tracie"},{"family":"Mattison","given":"Brenda"}],"issued":{"date-parts":[["2016"]]}},"locator":"234","label":"page"}],"schema":"https://github.com/citation-style-language/schema/raw/master/csl-citation.json"} </w:instrText>
      </w:r>
      <w:r w:rsidRPr="00F33DDA">
        <w:rPr>
          <w:rFonts w:ascii="Times New Roman" w:hAnsi="Times New Roman" w:cs="Times New Roman"/>
          <w:sz w:val="24"/>
          <w:szCs w:val="24"/>
        </w:rPr>
        <w:fldChar w:fldCharType="separate"/>
      </w:r>
      <w:r w:rsidRPr="00F33DDA">
        <w:rPr>
          <w:rFonts w:ascii="Times New Roman" w:hAnsi="Times New Roman" w:cs="Times New Roman"/>
          <w:sz w:val="24"/>
          <w:szCs w:val="24"/>
        </w:rPr>
        <w:t xml:space="preserve">(Nobles &amp; </w:t>
      </w:r>
      <w:proofErr w:type="spellStart"/>
      <w:r w:rsidRPr="00F33DDA">
        <w:rPr>
          <w:rFonts w:ascii="Times New Roman" w:hAnsi="Times New Roman" w:cs="Times New Roman"/>
          <w:sz w:val="24"/>
          <w:szCs w:val="24"/>
        </w:rPr>
        <w:t>Mattison</w:t>
      </w:r>
      <w:proofErr w:type="spellEnd"/>
      <w:r w:rsidRPr="00F33DDA">
        <w:rPr>
          <w:rFonts w:ascii="Times New Roman" w:hAnsi="Times New Roman" w:cs="Times New Roman"/>
          <w:sz w:val="24"/>
          <w:szCs w:val="24"/>
        </w:rPr>
        <w:t>, 2016, p. 234)</w:t>
      </w:r>
      <w:r w:rsidRPr="00F33DDA">
        <w:rPr>
          <w:rFonts w:ascii="Times New Roman" w:hAnsi="Times New Roman" w:cs="Times New Roman"/>
          <w:sz w:val="24"/>
          <w:szCs w:val="24"/>
        </w:rPr>
        <w:fldChar w:fldCharType="end"/>
      </w:r>
      <w:r w:rsidRPr="00F33DDA">
        <w:rPr>
          <w:rFonts w:ascii="Times New Roman" w:hAnsi="Times New Roman" w:cs="Times New Roman"/>
          <w:sz w:val="24"/>
          <w:szCs w:val="24"/>
        </w:rPr>
        <w:t>.</w:t>
      </w:r>
    </w:p>
    <w:p w14:paraId="54CE08E4" w14:textId="77777777" w:rsidR="00F33DDA" w:rsidRDefault="00F33DDA" w:rsidP="00AC1843">
      <w:pPr>
        <w:spacing w:line="360" w:lineRule="auto"/>
        <w:ind w:firstLine="708"/>
        <w:jc w:val="both"/>
        <w:rPr>
          <w:rFonts w:ascii="Times New Roman" w:hAnsi="Times New Roman" w:cs="Times New Roman"/>
          <w:sz w:val="24"/>
          <w:szCs w:val="24"/>
        </w:rPr>
      </w:pPr>
    </w:p>
    <w:p w14:paraId="5396D770" w14:textId="47C29C21" w:rsidR="00D03F23" w:rsidRPr="00391E99" w:rsidRDefault="005F191B" w:rsidP="00D40FD1">
      <w:pPr>
        <w:pStyle w:val="Ttulo3"/>
        <w:spacing w:line="360" w:lineRule="auto"/>
        <w:ind w:left="0" w:firstLine="720"/>
        <w:jc w:val="both"/>
      </w:pPr>
      <w:bookmarkStart w:id="96" w:name="_Toc166705773"/>
      <w:bookmarkStart w:id="97" w:name="_Toc175171375"/>
      <w:r w:rsidRPr="00391E99">
        <w:t>2.2.7. MICROCRÉDITOS</w:t>
      </w:r>
      <w:bookmarkEnd w:id="96"/>
      <w:bookmarkEnd w:id="97"/>
    </w:p>
    <w:p w14:paraId="655584C8" w14:textId="49BA2FCE" w:rsidR="00F33DDA" w:rsidRDefault="00D03F23" w:rsidP="00D40FD1">
      <w:pPr>
        <w:ind w:left="720"/>
        <w:jc w:val="both"/>
        <w:rPr>
          <w:rFonts w:ascii="Times New Roman" w:hAnsi="Times New Roman" w:cs="Times New Roman"/>
        </w:rPr>
      </w:pPr>
      <w:r w:rsidRPr="006525FE">
        <w:rPr>
          <w:rFonts w:ascii="Times New Roman" w:hAnsi="Times New Roman" w:cs="Times New Roman"/>
        </w:rPr>
        <w:t xml:space="preserve">Son un instrumento de financiación para el desarrollo, cuyo objetivo final es la reducción de la pobreza en el mundo. Los microcréditos son programas de concesión de pequeños créditos a los más necesitados de entre los pobres para que éstos puedan poner en marcha pequeños negocios que generen ingresos con los que mejorar su nivel de vida y el de sus familias. </w:t>
      </w:r>
      <w:r>
        <w:rPr>
          <w:rFonts w:ascii="Times New Roman" w:hAnsi="Times New Roman" w:cs="Times New Roman"/>
        </w:rPr>
        <w:fldChar w:fldCharType="begin"/>
      </w:r>
      <w:r w:rsidR="000F6563">
        <w:rPr>
          <w:rFonts w:ascii="Times New Roman" w:hAnsi="Times New Roman" w:cs="Times New Roman"/>
        </w:rPr>
        <w:instrText xml:space="preserve"> ADDIN ZOTERO_ITEM CSL_CITATION {"citationID":"vXQWBXxp","properties":{"formattedCitation":"(Calder\\uc0\\u243{}n, 2002, p. 46)","plainCitation":"(Calderón, 2002, p. 46)","noteIndex":0},"citationItems":[{"id":36,"uris":["http://zotero.org/users/13562074/items/L4MCQDY9"],"itemData":{"id":36,"type":"article-journal","language":"es","note":"publisher: Editorial Ariel","source":"elibro.net","title":"Microcréditos: de pobres a microempresarios","title-short":"Microcréditos","URL":"https://elibro.net/es/ereader/unitechn/48300?page=46","author":[{"family":"Calderón","given":"Maricruz Lacalle"}],"accessed":{"date-parts":[["2024",2,22]]},"issued":{"date-parts":[["2002"]]}},"locator":"46","label":"page"}],"schema":"https://github.com/citation-style-language/schema/raw/master/csl-citation.json"} </w:instrText>
      </w:r>
      <w:r>
        <w:rPr>
          <w:rFonts w:ascii="Times New Roman" w:hAnsi="Times New Roman" w:cs="Times New Roman"/>
        </w:rPr>
        <w:fldChar w:fldCharType="separate"/>
      </w:r>
      <w:r w:rsidRPr="00527BDF">
        <w:rPr>
          <w:rFonts w:ascii="Times New Roman" w:hAnsi="Times New Roman" w:cs="Times New Roman"/>
          <w:szCs w:val="24"/>
        </w:rPr>
        <w:t>(Calderón, 2002, p. 46)</w:t>
      </w:r>
      <w:r>
        <w:rPr>
          <w:rFonts w:ascii="Times New Roman" w:hAnsi="Times New Roman" w:cs="Times New Roman"/>
        </w:rPr>
        <w:fldChar w:fldCharType="end"/>
      </w:r>
    </w:p>
    <w:p w14:paraId="06A8E2D3" w14:textId="77777777" w:rsidR="00F33DDA" w:rsidRDefault="00F33DDA" w:rsidP="00F33DDA">
      <w:pPr>
        <w:ind w:left="708"/>
        <w:jc w:val="both"/>
        <w:rPr>
          <w:rFonts w:ascii="Times New Roman" w:hAnsi="Times New Roman" w:cs="Times New Roman"/>
        </w:rPr>
      </w:pPr>
    </w:p>
    <w:p w14:paraId="70423D63" w14:textId="037337BF" w:rsidR="00F33DDA" w:rsidRPr="009B0C9B" w:rsidRDefault="00F33DDA" w:rsidP="00D40FD1">
      <w:pPr>
        <w:ind w:left="720"/>
        <w:jc w:val="both"/>
        <w:rPr>
          <w:rFonts w:ascii="Times New Roman" w:hAnsi="Times New Roman" w:cs="Times New Roman"/>
        </w:rPr>
      </w:pPr>
      <w:r>
        <w:rPr>
          <w:rFonts w:ascii="Times New Roman" w:hAnsi="Times New Roman" w:cs="Times New Roman"/>
        </w:rPr>
        <w:t xml:space="preserve">En su significado más reciente se define que: </w:t>
      </w:r>
      <w:r w:rsidRPr="009B0C9B">
        <w:rPr>
          <w:rFonts w:ascii="Times New Roman" w:hAnsi="Times New Roman" w:cs="Times New Roman"/>
        </w:rPr>
        <w:t xml:space="preserve">Los microcréditos son una herramienta para reducir las diferencias en el acceso a los recursos financieros y, como consecuencia, para alcanzar mejores condiciones </w:t>
      </w:r>
      <w:r w:rsidRPr="009B0C9B">
        <w:rPr>
          <w:rFonts w:ascii="Times New Roman" w:hAnsi="Times New Roman" w:cs="Times New Roman"/>
        </w:rPr>
        <w:tab/>
        <w:t xml:space="preserve">de vida para los más pobres de la sociedad. El objetivo final es hacer llegar el dinero, en condiciones muy favorables, a pequeños emprendedores de los sectores </w:t>
      </w:r>
      <w:r w:rsidRPr="009B0C9B">
        <w:rPr>
          <w:rFonts w:ascii="Times New Roman" w:hAnsi="Times New Roman" w:cs="Times New Roman"/>
        </w:rPr>
        <w:tab/>
        <w:t>sociales</w:t>
      </w:r>
      <w:r>
        <w:rPr>
          <w:rFonts w:ascii="Times New Roman" w:hAnsi="Times New Roman" w:cs="Times New Roman"/>
        </w:rPr>
        <w:t xml:space="preserve"> </w:t>
      </w:r>
      <w:r w:rsidRPr="009B0C9B">
        <w:rPr>
          <w:rFonts w:ascii="Times New Roman" w:hAnsi="Times New Roman" w:cs="Times New Roman"/>
        </w:rPr>
        <w:t xml:space="preserve">más desfavorecidos. </w:t>
      </w:r>
      <w:r w:rsidRPr="009B0C9B">
        <w:rPr>
          <w:rFonts w:ascii="Times New Roman" w:hAnsi="Times New Roman" w:cs="Times New Roman"/>
        </w:rPr>
        <w:fldChar w:fldCharType="begin"/>
      </w:r>
      <w:r w:rsidR="00C52841">
        <w:rPr>
          <w:rFonts w:ascii="Times New Roman" w:hAnsi="Times New Roman" w:cs="Times New Roman"/>
        </w:rPr>
        <w:instrText xml:space="preserve"> ADDIN ZOTERO_ITEM CSL_CITATION {"citationID":"vRh90WtL","properties":{"formattedCitation":"(Ferrer Riquelme, 2010, p. 45)","plainCitation":"(Ferrer Riquelme, 2010, p. 45)","noteIndex":0},"citationItems":[{"id":"mhK3fgOx/eBiTkUEG","uris":["http://zotero.org/users/local/rewjbDUP/items/922BFTZH"],"itemData":{"id":40,"type":"book","call-number":"Economia y Comercio / Finanzas","edition":"6","ISBN":"978-84-15443-36-0","license":"Universitat Jaume I. Servei de Comunicació i Publicacions","number-of-pages":"213","publisher":"Castelló de la Plana","title":"Experiencias Internacionales sobre microfinanzas: manual del microcrédito","author":[{"family":"Ferrer Riquelme","given":"Javier"}],"issued":{"date-parts":[["2010"]]}},"locator":"45","label":"page"}],"schema":"https://github.com/citation-style-language/schema/raw/master/csl-citation.json"} </w:instrText>
      </w:r>
      <w:r w:rsidRPr="009B0C9B">
        <w:rPr>
          <w:rFonts w:ascii="Times New Roman" w:hAnsi="Times New Roman" w:cs="Times New Roman"/>
        </w:rPr>
        <w:fldChar w:fldCharType="separate"/>
      </w:r>
      <w:r w:rsidRPr="009B0C9B">
        <w:rPr>
          <w:rFonts w:ascii="Times New Roman" w:hAnsi="Times New Roman" w:cs="Times New Roman"/>
        </w:rPr>
        <w:t>(Ferrer Riquelme, 2010, p. 45)</w:t>
      </w:r>
      <w:r w:rsidRPr="009B0C9B">
        <w:rPr>
          <w:rFonts w:ascii="Times New Roman" w:hAnsi="Times New Roman" w:cs="Times New Roman"/>
        </w:rPr>
        <w:fldChar w:fldCharType="end"/>
      </w:r>
    </w:p>
    <w:p w14:paraId="4E14E892" w14:textId="77777777" w:rsidR="00F33DDA" w:rsidRPr="00D03F23" w:rsidRDefault="00F33DDA" w:rsidP="00347CC2">
      <w:pPr>
        <w:ind w:left="708"/>
        <w:jc w:val="both"/>
        <w:rPr>
          <w:rFonts w:ascii="Times New Roman" w:hAnsi="Times New Roman" w:cs="Times New Roman"/>
        </w:rPr>
      </w:pPr>
    </w:p>
    <w:p w14:paraId="0B44B8C0" w14:textId="2067EB6D" w:rsidR="00920EB7" w:rsidRPr="00391E99" w:rsidRDefault="005F191B" w:rsidP="00D40FD1">
      <w:pPr>
        <w:pStyle w:val="Ttulo3"/>
        <w:spacing w:line="360" w:lineRule="auto"/>
        <w:ind w:left="0" w:firstLine="720"/>
        <w:jc w:val="both"/>
      </w:pPr>
      <w:bookmarkStart w:id="98" w:name="_Toc166705774"/>
      <w:bookmarkStart w:id="99" w:name="_Toc175171376"/>
      <w:r w:rsidRPr="00391E99">
        <w:lastRenderedPageBreak/>
        <w:t>2.2.8. MICROFINANZAS</w:t>
      </w:r>
      <w:bookmarkEnd w:id="98"/>
      <w:bookmarkEnd w:id="99"/>
    </w:p>
    <w:p w14:paraId="5FCBA97C" w14:textId="3876CAA7" w:rsidR="00E779D7" w:rsidRDefault="00E064F2" w:rsidP="00D40FD1">
      <w:pPr>
        <w:pStyle w:val="TextoPrincipal"/>
        <w:spacing w:line="240" w:lineRule="auto"/>
        <w:ind w:left="720" w:firstLine="0"/>
        <w:rPr>
          <w:sz w:val="22"/>
          <w:szCs w:val="22"/>
        </w:rPr>
      </w:pPr>
      <w:r w:rsidRPr="00E064F2">
        <w:rPr>
          <w:sz w:val="22"/>
          <w:szCs w:val="22"/>
        </w:rPr>
        <w:t xml:space="preserve">Es el conjunto de programas e instituciones (bajo cualquier personería jurídica) que proveen de servicios financieros a personas de escasos recursos. Estos programas pueden aparecer combinados con servicios no financieros (capacitación, asistencia técnica, etc.) a los efectos de generar oportunidades de desarrollo empresarial. El concepto de microfinanzas puede incluir, además del crédito, servicios de ahorro, seguros, pensiones y otros. </w:t>
      </w:r>
      <w:r w:rsidR="00527BDF">
        <w:rPr>
          <w:sz w:val="22"/>
          <w:szCs w:val="22"/>
        </w:rPr>
        <w:fldChar w:fldCharType="begin"/>
      </w:r>
      <w:r w:rsidR="000F6563">
        <w:rPr>
          <w:sz w:val="22"/>
          <w:szCs w:val="22"/>
        </w:rPr>
        <w:instrText xml:space="preserve"> ADDIN ZOTERO_ITEM CSL_CITATION {"citationID":"Gs6kVAte","properties":{"formattedCitation":"(Bekerman, 2006, p. 1)","plainCitation":"(Bekerman, 2006, p. 1)","noteIndex":0},"citationItems":[{"id":35,"uris":["http://zotero.org/users/13562074/items/DCCWM2UC"],"itemData":{"id":35,"type":"article-journal","language":"es","source":"Zotero","title":"Las microfinanzas y sus desafíos en la Argentina","author":[{"family":"Bekerman","given":"Marta"}],"issued":{"date-parts":[["2006"]]}},"locator":"1","label":"page"}],"schema":"https://github.com/citation-style-language/schema/raw/master/csl-citation.json"} </w:instrText>
      </w:r>
      <w:r w:rsidR="00527BDF">
        <w:rPr>
          <w:sz w:val="22"/>
          <w:szCs w:val="22"/>
        </w:rPr>
        <w:fldChar w:fldCharType="separate"/>
      </w:r>
      <w:r w:rsidR="00527BDF" w:rsidRPr="00527BDF">
        <w:rPr>
          <w:sz w:val="22"/>
        </w:rPr>
        <w:t>(</w:t>
      </w:r>
      <w:proofErr w:type="spellStart"/>
      <w:r w:rsidR="00527BDF" w:rsidRPr="00527BDF">
        <w:rPr>
          <w:sz w:val="22"/>
        </w:rPr>
        <w:t>Bekerman</w:t>
      </w:r>
      <w:proofErr w:type="spellEnd"/>
      <w:r w:rsidR="00527BDF" w:rsidRPr="00527BDF">
        <w:rPr>
          <w:sz w:val="22"/>
        </w:rPr>
        <w:t>, 2006, p. 1)</w:t>
      </w:r>
      <w:r w:rsidR="00527BDF">
        <w:rPr>
          <w:sz w:val="22"/>
          <w:szCs w:val="22"/>
        </w:rPr>
        <w:fldChar w:fldCharType="end"/>
      </w:r>
    </w:p>
    <w:p w14:paraId="4C7A5C07" w14:textId="77777777" w:rsidR="00E779D7" w:rsidRDefault="00E779D7" w:rsidP="00E779D7">
      <w:pPr>
        <w:pStyle w:val="TextoPrincipal"/>
        <w:spacing w:line="240" w:lineRule="auto"/>
        <w:ind w:left="708" w:firstLine="0"/>
        <w:rPr>
          <w:sz w:val="22"/>
          <w:szCs w:val="22"/>
        </w:rPr>
      </w:pPr>
    </w:p>
    <w:p w14:paraId="2EC69615" w14:textId="3B145437" w:rsidR="00E779D7" w:rsidRPr="00E779D7" w:rsidRDefault="00E779D7" w:rsidP="00D40FD1">
      <w:pPr>
        <w:pStyle w:val="TextoPrincipal"/>
        <w:spacing w:line="240" w:lineRule="auto"/>
        <w:ind w:left="720" w:firstLine="0"/>
        <w:rPr>
          <w:sz w:val="22"/>
          <w:szCs w:val="22"/>
        </w:rPr>
      </w:pPr>
      <w:r w:rsidRPr="00E779D7">
        <w:t>Las microfinanzas se definieron en un principio como créditos pequeños a poblaciones marginadas con el objetivo principal de combatir la pobreza. Hoy en día se consideran una forma de contribuir al desarrollo económico ofreciendo oportunidades para que las personas puedan llevar a cabo actividades productivas que promuevan su propio desarrollo a través de experiencias empresariales</w:t>
      </w:r>
      <w:r w:rsidRPr="00E779D7">
        <w:rPr>
          <w:b/>
          <w:bCs/>
        </w:rPr>
        <w:t xml:space="preserve">. </w:t>
      </w:r>
      <w:r w:rsidRPr="00E779D7">
        <w:rPr>
          <w:b/>
          <w:bCs/>
        </w:rPr>
        <w:fldChar w:fldCharType="begin"/>
      </w:r>
      <w:r w:rsidR="00C52841">
        <w:rPr>
          <w:b/>
          <w:bCs/>
        </w:rPr>
        <w:instrText xml:space="preserve"> ADDIN ZOTERO_ITEM CSL_CITATION {"citationID":"m44zyFMY","properties":{"formattedCitation":"(Deschamps F., 2005, p. 13)","plainCitation":"(Deschamps F., 2005, p. 13)","noteIndex":0},"citationItems":[{"id":"mhK3fgOx/nPvYrNpm","uris":["http://zotero.org/users/local/rewjbDUP/items/7YIM8Q4L"],"itemData":{"id":41,"type":"book","call-number":"Economia y Comercio","edition":"1","event-place":"México D.F.","ISBN":"970-701-611-6","language":"Español","license":"Universidad Anáhuac del Sur","number-of-pages":"260","publisher":"Editorial Miguel Ángel Porrúa","publisher-place":"México D.F.","title":"Mercadotecnia Microfinanciera","author":[{"family":"Deschamps F.","given":"Marco"}],"issued":{"date-parts":[["2005",8,1]]}},"locator":"13","label":"page"}],"schema":"https://github.com/citation-style-language/schema/raw/master/csl-citation.json"} </w:instrText>
      </w:r>
      <w:r w:rsidRPr="00E779D7">
        <w:rPr>
          <w:b/>
          <w:bCs/>
        </w:rPr>
        <w:fldChar w:fldCharType="separate"/>
      </w:r>
      <w:r w:rsidRPr="00E779D7">
        <w:t>(Deschamps F., 2005, p. 13)</w:t>
      </w:r>
      <w:r w:rsidRPr="00E779D7">
        <w:rPr>
          <w:b/>
          <w:bCs/>
        </w:rPr>
        <w:fldChar w:fldCharType="end"/>
      </w:r>
    </w:p>
    <w:p w14:paraId="40CB240B" w14:textId="77777777" w:rsidR="00E779D7" w:rsidRDefault="00E779D7" w:rsidP="00E779D7">
      <w:pPr>
        <w:pStyle w:val="TextoPrincipal"/>
        <w:spacing w:line="240" w:lineRule="auto"/>
        <w:ind w:firstLine="0"/>
        <w:rPr>
          <w:sz w:val="22"/>
          <w:szCs w:val="22"/>
        </w:rPr>
      </w:pPr>
    </w:p>
    <w:p w14:paraId="55882849" w14:textId="4970C596" w:rsidR="00C861DE" w:rsidRPr="00C861DE" w:rsidRDefault="005F191B" w:rsidP="00D40FD1">
      <w:pPr>
        <w:pStyle w:val="Ttulo3"/>
        <w:spacing w:line="360" w:lineRule="auto"/>
        <w:ind w:left="0" w:firstLine="720"/>
        <w:jc w:val="both"/>
        <w:rPr>
          <w:rFonts w:cs="Times New Roman"/>
        </w:rPr>
      </w:pPr>
      <w:bookmarkStart w:id="100" w:name="_Toc166705775"/>
      <w:bookmarkStart w:id="101" w:name="_Toc175171377"/>
      <w:r w:rsidRPr="00391E99">
        <w:rPr>
          <w:rFonts w:cs="Times New Roman"/>
        </w:rPr>
        <w:t>2.2.9. MOROSIDAD</w:t>
      </w:r>
      <w:bookmarkEnd w:id="100"/>
      <w:bookmarkEnd w:id="101"/>
    </w:p>
    <w:p w14:paraId="407D5930" w14:textId="75A7FE1A" w:rsidR="00C861DE" w:rsidRDefault="00C861DE" w:rsidP="00C861DE">
      <w:pPr>
        <w:spacing w:line="360" w:lineRule="auto"/>
        <w:ind w:firstLine="720"/>
        <w:jc w:val="both"/>
        <w:rPr>
          <w:rFonts w:ascii="Times New Roman" w:hAnsi="Times New Roman" w:cs="Times New Roman"/>
        </w:rPr>
      </w:pPr>
      <w:r w:rsidRPr="009B0C9B">
        <w:rPr>
          <w:rFonts w:ascii="Times New Roman" w:hAnsi="Times New Roman" w:cs="Times New Roman"/>
        </w:rPr>
        <w:t xml:space="preserve">“Demora con relación a su vencimiento, en el pago de una obligación” </w:t>
      </w:r>
      <w:r w:rsidRPr="009B0C9B">
        <w:rPr>
          <w:rFonts w:ascii="Times New Roman" w:hAnsi="Times New Roman" w:cs="Times New Roman"/>
        </w:rPr>
        <w:fldChar w:fldCharType="begin"/>
      </w:r>
      <w:r w:rsidR="00C52841">
        <w:rPr>
          <w:rFonts w:ascii="Times New Roman" w:hAnsi="Times New Roman" w:cs="Times New Roman"/>
        </w:rPr>
        <w:instrText xml:space="preserve"> ADDIN ZOTERO_ITEM CSL_CITATION {"citationID":"JcFekgtV","properties":{"formattedCitation":"(Greco, 2008, p. 285)","plainCitation":"(Greco, 2008, p. 285)","noteIndex":0},"citationItems":[{"id":"mhK3fgOx/clOIiVqH","uris":["http://zotero.org/users/local/rewjbDUP/items/5XT67QXV"],"itemData":{"id":24,"type":"book","edition":"2","event-place":"Argentina","ISBN":"978-950-743-302-3","language":"Español","license":"Valletta Ediciones S.R.L. .","number-of-pages":"447","publisher":"Valleta Ediciones","publisher-place":"Argentina","title":"Diccionario de Finanzas","author":[{"family":"Greco","given":"Orlando"}],"issued":{"date-parts":[["2008"]]}},"locator":"285","label":"page"}],"schema":"https://github.com/citation-style-language/schema/raw/master/csl-citation.json"} </w:instrText>
      </w:r>
      <w:r w:rsidRPr="009B0C9B">
        <w:rPr>
          <w:rFonts w:ascii="Times New Roman" w:hAnsi="Times New Roman" w:cs="Times New Roman"/>
        </w:rPr>
        <w:fldChar w:fldCharType="separate"/>
      </w:r>
      <w:r w:rsidRPr="009B0C9B">
        <w:rPr>
          <w:rFonts w:ascii="Times New Roman" w:hAnsi="Times New Roman" w:cs="Times New Roman"/>
        </w:rPr>
        <w:t>(Greco, 2008, p. 285)</w:t>
      </w:r>
      <w:r w:rsidRPr="009B0C9B">
        <w:rPr>
          <w:rFonts w:ascii="Times New Roman" w:hAnsi="Times New Roman" w:cs="Times New Roman"/>
        </w:rPr>
        <w:fldChar w:fldCharType="end"/>
      </w:r>
      <w:r w:rsidRPr="009B0C9B">
        <w:rPr>
          <w:rFonts w:ascii="Times New Roman" w:hAnsi="Times New Roman" w:cs="Times New Roman"/>
        </w:rPr>
        <w:t>.</w:t>
      </w:r>
    </w:p>
    <w:p w14:paraId="4FA06F6F" w14:textId="265797F0" w:rsidR="00C861DE" w:rsidRDefault="00C861DE" w:rsidP="00C861DE">
      <w:pPr>
        <w:spacing w:line="360" w:lineRule="auto"/>
        <w:ind w:firstLine="720"/>
        <w:jc w:val="both"/>
        <w:rPr>
          <w:rFonts w:ascii="Times New Roman" w:hAnsi="Times New Roman" w:cs="Times New Roman"/>
        </w:rPr>
      </w:pPr>
      <w:r>
        <w:rPr>
          <w:rFonts w:ascii="Times New Roman" w:hAnsi="Times New Roman" w:cs="Times New Roman"/>
        </w:rPr>
        <w:tab/>
      </w:r>
      <w:r w:rsidRPr="009B0C9B">
        <w:rPr>
          <w:rFonts w:ascii="Times New Roman" w:hAnsi="Times New Roman" w:cs="Times New Roman"/>
        </w:rPr>
        <w:t xml:space="preserve">“Es aquella práctica en la que un deudor, persona física o jurídica, no cumple con el pago al vencimiento de una obligación” </w:t>
      </w:r>
      <w:r w:rsidRPr="009B0C9B">
        <w:rPr>
          <w:rFonts w:ascii="Times New Roman" w:hAnsi="Times New Roman" w:cs="Times New Roman"/>
        </w:rPr>
        <w:fldChar w:fldCharType="begin"/>
      </w:r>
      <w:r w:rsidR="00C52841">
        <w:rPr>
          <w:rFonts w:ascii="Times New Roman" w:hAnsi="Times New Roman" w:cs="Times New Roman"/>
        </w:rPr>
        <w:instrText xml:space="preserve"> ADDIN ZOTERO_ITEM CSL_CITATION {"citationID":"4NMYUceS","properties":{"formattedCitation":"(Pedrosa, 2020)","plainCitation":"(Pedrosa, 2020)","noteIndex":0},"citationItems":[{"id":"mhK3fgOx/yJgHz0K4","uris":["http://zotero.org/users/local/rewjbDUP/items/YFQIU26Z"],"itemData":{"id":43,"type":"webpage","language":"Español","title":"economipedia","URL":"https://economipedia.com/definiciones/morosidad.html","author":[{"family":"Pedrosa","given":"Steven Jorge"}],"issued":{"date-parts":[["2020",4,1]]}}}],"schema":"https://github.com/citation-style-language/schema/raw/master/csl-citation.json"} </w:instrText>
      </w:r>
      <w:r w:rsidRPr="009B0C9B">
        <w:rPr>
          <w:rFonts w:ascii="Times New Roman" w:hAnsi="Times New Roman" w:cs="Times New Roman"/>
        </w:rPr>
        <w:fldChar w:fldCharType="separate"/>
      </w:r>
      <w:r w:rsidRPr="009B0C9B">
        <w:rPr>
          <w:rFonts w:ascii="Times New Roman" w:hAnsi="Times New Roman" w:cs="Times New Roman"/>
        </w:rPr>
        <w:t>(Pedrosa, 2020)</w:t>
      </w:r>
      <w:r w:rsidRPr="009B0C9B">
        <w:rPr>
          <w:rFonts w:ascii="Times New Roman" w:hAnsi="Times New Roman" w:cs="Times New Roman"/>
        </w:rPr>
        <w:fldChar w:fldCharType="end"/>
      </w:r>
      <w:r w:rsidRPr="009B0C9B">
        <w:rPr>
          <w:rFonts w:ascii="Times New Roman" w:hAnsi="Times New Roman" w:cs="Times New Roman"/>
        </w:rPr>
        <w:t>.</w:t>
      </w:r>
    </w:p>
    <w:p w14:paraId="32158852" w14:textId="3014C993" w:rsidR="00C861DE" w:rsidRDefault="00C861DE" w:rsidP="00C861DE">
      <w:pPr>
        <w:pStyle w:val="TextoPrincipal"/>
        <w:spacing w:line="240" w:lineRule="auto"/>
        <w:ind w:left="708" w:firstLine="0"/>
        <w:rPr>
          <w:sz w:val="22"/>
          <w:szCs w:val="22"/>
        </w:rPr>
      </w:pPr>
      <w:r w:rsidRPr="00C861DE">
        <w:rPr>
          <w:sz w:val="22"/>
          <w:szCs w:val="22"/>
        </w:rPr>
        <w:t>Como parte de las definiciones más sencillas y recientes se conoce que la mora:</w:t>
      </w:r>
      <w:r>
        <w:rPr>
          <w:sz w:val="22"/>
          <w:szCs w:val="22"/>
        </w:rPr>
        <w:t xml:space="preserve"> </w:t>
      </w:r>
      <w:r w:rsidRPr="00740337">
        <w:rPr>
          <w:sz w:val="22"/>
          <w:szCs w:val="22"/>
        </w:rPr>
        <w:t xml:space="preserve">Es aquella práctica en la que un deudor, persona física o jurídica, no cumple con el pago al vencimiento de una obligación. La morosidad se define como la falta de cumplimiento de obligaciones financieras dentro de los términos acordados. Esto incluye el retraso o la omisión en el pago de deudas, préstamos o facturas. La morosidad puede dar lugar a penalizaciones financieras y tener un impacto negativo en la reputación crediticia y financiera de las partes involucradas. </w:t>
      </w:r>
      <w:r w:rsidRPr="00740337">
        <w:rPr>
          <w:sz w:val="22"/>
          <w:szCs w:val="22"/>
        </w:rPr>
        <w:fldChar w:fldCharType="begin"/>
      </w:r>
      <w:r w:rsidR="000F6563">
        <w:rPr>
          <w:sz w:val="22"/>
          <w:szCs w:val="22"/>
        </w:rPr>
        <w:instrText xml:space="preserve"> ADDIN ZOTERO_ITEM CSL_CITATION {"citationID":"QpMojHxq","properties":{"formattedCitation":"(Carrasco Herrera &amp; Zepeda Herrera, 2023, p. 29)","plainCitation":"(Carrasco Herrera &amp; Zepeda Herrera, 2023, p. 29)","noteIndex":0},"citationItems":[{"id":44,"uris":["http://zotero.org/users/13562074/items/MEDYFG6U"],"itemData":{"id":44,"type":"document","title":"La Educación Financiera Y El Endeudamiento De Los Empleados De Ashonplafa Honduras.","author":[{"family":"Carrasco Herrera","given":"Charles Yackson"},{"family":"Zepeda Herrera","given":"Daniel Alfredo"}],"issued":{"date-parts":[["2023"]]}},"locator":"29","label":"page"}],"schema":"https://github.com/citation-style-language/schema/raw/master/csl-citation.json"} </w:instrText>
      </w:r>
      <w:r w:rsidRPr="00740337">
        <w:rPr>
          <w:sz w:val="22"/>
          <w:szCs w:val="22"/>
        </w:rPr>
        <w:fldChar w:fldCharType="separate"/>
      </w:r>
      <w:r w:rsidRPr="00740337">
        <w:rPr>
          <w:sz w:val="22"/>
          <w:szCs w:val="22"/>
        </w:rPr>
        <w:t>(Carrasco Herrera &amp; Zepeda Herrera, 2023, p. 29)</w:t>
      </w:r>
      <w:r w:rsidRPr="00740337">
        <w:rPr>
          <w:sz w:val="22"/>
          <w:szCs w:val="22"/>
        </w:rPr>
        <w:fldChar w:fldCharType="end"/>
      </w:r>
    </w:p>
    <w:p w14:paraId="01C292BC" w14:textId="77777777" w:rsidR="00C861DE" w:rsidRPr="00740337" w:rsidRDefault="00C861DE" w:rsidP="00C861DE">
      <w:pPr>
        <w:pStyle w:val="TextoPrincipal"/>
        <w:spacing w:line="240" w:lineRule="auto"/>
        <w:ind w:firstLine="0"/>
        <w:rPr>
          <w:sz w:val="22"/>
          <w:szCs w:val="22"/>
        </w:rPr>
      </w:pPr>
    </w:p>
    <w:p w14:paraId="77936336" w14:textId="73444C22" w:rsidR="00D03F23" w:rsidRPr="00391E99" w:rsidRDefault="005F191B" w:rsidP="00D40FD1">
      <w:pPr>
        <w:pStyle w:val="Ttulo3"/>
        <w:spacing w:line="360" w:lineRule="auto"/>
        <w:ind w:left="0" w:firstLine="720"/>
        <w:jc w:val="both"/>
        <w:rPr>
          <w:rFonts w:cs="Times New Roman"/>
        </w:rPr>
      </w:pPr>
      <w:bookmarkStart w:id="102" w:name="_Toc166705776"/>
      <w:bookmarkStart w:id="103" w:name="_Toc175171378"/>
      <w:r w:rsidRPr="00391E99">
        <w:rPr>
          <w:rFonts w:cs="Times New Roman"/>
        </w:rPr>
        <w:t>2.2.10. PLAZO</w:t>
      </w:r>
      <w:bookmarkEnd w:id="102"/>
      <w:bookmarkEnd w:id="103"/>
    </w:p>
    <w:p w14:paraId="37CB2A6F" w14:textId="135DD3A0" w:rsidR="00C861DE" w:rsidRDefault="00C861DE" w:rsidP="00C861DE">
      <w:pPr>
        <w:spacing w:line="360" w:lineRule="auto"/>
        <w:ind w:firstLine="720"/>
        <w:jc w:val="both"/>
        <w:rPr>
          <w:rFonts w:ascii="Times New Roman" w:hAnsi="Times New Roman" w:cs="Times New Roman"/>
          <w:sz w:val="24"/>
          <w:szCs w:val="24"/>
        </w:rPr>
      </w:pPr>
      <w:r w:rsidRPr="00C861DE">
        <w:rPr>
          <w:rFonts w:ascii="Times New Roman" w:hAnsi="Times New Roman" w:cs="Times New Roman"/>
          <w:sz w:val="24"/>
          <w:szCs w:val="24"/>
        </w:rPr>
        <w:t xml:space="preserve">“Época en que vence una obligación según las estipulaciones pactadas entre las partes” </w:t>
      </w:r>
      <w:r w:rsidRPr="00C861DE">
        <w:rPr>
          <w:rFonts w:ascii="Times New Roman" w:hAnsi="Times New Roman" w:cs="Times New Roman"/>
          <w:sz w:val="24"/>
          <w:szCs w:val="24"/>
        </w:rPr>
        <w:fldChar w:fldCharType="begin"/>
      </w:r>
      <w:r w:rsidR="00C52841">
        <w:rPr>
          <w:rFonts w:ascii="Times New Roman" w:hAnsi="Times New Roman" w:cs="Times New Roman"/>
          <w:sz w:val="24"/>
          <w:szCs w:val="24"/>
        </w:rPr>
        <w:instrText xml:space="preserve"> ADDIN ZOTERO_ITEM CSL_CITATION {"citationID":"CzDwx6vp","properties":{"formattedCitation":"(Greco, 2008, p. 327)","plainCitation":"(Greco, 2008, p. 327)","noteIndex":0},"citationItems":[{"id":"mhK3fgOx/clOIiVqH","uris":["http://zotero.org/users/local/rewjbDUP/items/5XT67QXV"],"itemData":{"id":24,"type":"book","edition":"2","event-place":"Argentina","ISBN":"978-950-743-302-3","language":"Español","license":"Valletta Ediciones S.R.L. .","number-of-pages":"447","publisher":"Valleta Ediciones","publisher-place":"Argentina","title":"Diccionario de Finanzas","author":[{"family":"Greco","given":"Orlando"}],"issued":{"date-parts":[["2008"]]}},"locator":"327","label":"page"}],"schema":"https://github.com/citation-style-language/schema/raw/master/csl-citation.json"} </w:instrText>
      </w:r>
      <w:r w:rsidRPr="00C861DE">
        <w:rPr>
          <w:rFonts w:ascii="Times New Roman" w:hAnsi="Times New Roman" w:cs="Times New Roman"/>
          <w:sz w:val="24"/>
          <w:szCs w:val="24"/>
        </w:rPr>
        <w:fldChar w:fldCharType="separate"/>
      </w:r>
      <w:r w:rsidRPr="00C861DE">
        <w:rPr>
          <w:rFonts w:ascii="Times New Roman" w:hAnsi="Times New Roman" w:cs="Times New Roman"/>
          <w:sz w:val="24"/>
          <w:szCs w:val="24"/>
        </w:rPr>
        <w:t>(Greco, 2008, p. 327)</w:t>
      </w:r>
      <w:r w:rsidRPr="00C861DE">
        <w:rPr>
          <w:rFonts w:ascii="Times New Roman" w:hAnsi="Times New Roman" w:cs="Times New Roman"/>
          <w:sz w:val="24"/>
          <w:szCs w:val="24"/>
        </w:rPr>
        <w:fldChar w:fldCharType="end"/>
      </w:r>
      <w:r w:rsidRPr="00C861DE">
        <w:rPr>
          <w:rFonts w:ascii="Times New Roman" w:hAnsi="Times New Roman" w:cs="Times New Roman"/>
          <w:sz w:val="24"/>
          <w:szCs w:val="24"/>
        </w:rPr>
        <w:t>.</w:t>
      </w:r>
    </w:p>
    <w:p w14:paraId="211E167D" w14:textId="6D79D9A3" w:rsidR="00D03F23" w:rsidRDefault="00C861DE" w:rsidP="00D40FD1">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Una versión más actualizada de su concepto, </w:t>
      </w:r>
      <w:r w:rsidR="00D03F23" w:rsidRPr="004D2D6F">
        <w:rPr>
          <w:rFonts w:ascii="Times New Roman" w:hAnsi="Times New Roman" w:cs="Times New Roman"/>
          <w:sz w:val="24"/>
          <w:szCs w:val="24"/>
        </w:rPr>
        <w:t xml:space="preserve">“Es el número de días, meses o años que transcurren en un intervalo dado entre la fecha inicial y la fecha final en una operación financiera” </w:t>
      </w:r>
      <w:sdt>
        <w:sdtPr>
          <w:rPr>
            <w:rFonts w:ascii="Times New Roman" w:hAnsi="Times New Roman" w:cs="Times New Roman"/>
            <w:sz w:val="24"/>
            <w:szCs w:val="24"/>
          </w:rPr>
          <w:id w:val="-1579586734"/>
          <w:citation/>
        </w:sdtPr>
        <w:sdtContent>
          <w:r w:rsidR="00D03F23" w:rsidRPr="004D2D6F">
            <w:rPr>
              <w:rFonts w:ascii="Times New Roman" w:hAnsi="Times New Roman" w:cs="Times New Roman"/>
              <w:sz w:val="24"/>
              <w:szCs w:val="24"/>
            </w:rPr>
            <w:fldChar w:fldCharType="begin"/>
          </w:r>
          <w:r w:rsidR="00D03F23" w:rsidRPr="004D2D6F">
            <w:rPr>
              <w:rFonts w:ascii="Times New Roman" w:hAnsi="Times New Roman" w:cs="Times New Roman"/>
              <w:sz w:val="24"/>
              <w:szCs w:val="24"/>
            </w:rPr>
            <w:instrText xml:space="preserve">CITATION Fra14 \p 67 \l 3082 </w:instrText>
          </w:r>
          <w:r w:rsidR="00D03F23" w:rsidRPr="004D2D6F">
            <w:rPr>
              <w:rFonts w:ascii="Times New Roman" w:hAnsi="Times New Roman" w:cs="Times New Roman"/>
              <w:sz w:val="24"/>
              <w:szCs w:val="24"/>
            </w:rPr>
            <w:fldChar w:fldCharType="separate"/>
          </w:r>
          <w:r w:rsidR="00D03F23" w:rsidRPr="004D2D6F">
            <w:rPr>
              <w:rFonts w:ascii="Times New Roman" w:hAnsi="Times New Roman" w:cs="Times New Roman"/>
              <w:noProof/>
              <w:sz w:val="24"/>
              <w:szCs w:val="24"/>
            </w:rPr>
            <w:t>(Franco , Rodriguez, &amp; Pierdant , 2014, pág. 67)</w:t>
          </w:r>
          <w:r w:rsidR="00D03F23" w:rsidRPr="004D2D6F">
            <w:rPr>
              <w:rFonts w:ascii="Times New Roman" w:hAnsi="Times New Roman" w:cs="Times New Roman"/>
              <w:sz w:val="24"/>
              <w:szCs w:val="24"/>
            </w:rPr>
            <w:fldChar w:fldCharType="end"/>
          </w:r>
        </w:sdtContent>
      </w:sdt>
      <w:r w:rsidR="00D03F23" w:rsidRPr="004D2D6F">
        <w:rPr>
          <w:rFonts w:ascii="Times New Roman" w:hAnsi="Times New Roman" w:cs="Times New Roman"/>
          <w:sz w:val="24"/>
          <w:szCs w:val="24"/>
        </w:rPr>
        <w:t>.</w:t>
      </w:r>
    </w:p>
    <w:p w14:paraId="375404CC" w14:textId="77777777" w:rsidR="004A008C" w:rsidRPr="004D2D6F" w:rsidRDefault="004A008C" w:rsidP="00D40FD1">
      <w:pPr>
        <w:spacing w:line="360" w:lineRule="auto"/>
        <w:ind w:firstLine="720"/>
        <w:jc w:val="both"/>
        <w:rPr>
          <w:rFonts w:ascii="Times New Roman" w:hAnsi="Times New Roman" w:cs="Times New Roman"/>
          <w:sz w:val="24"/>
          <w:szCs w:val="24"/>
        </w:rPr>
      </w:pPr>
    </w:p>
    <w:p w14:paraId="1A516A7E" w14:textId="39C63DDA" w:rsidR="00D03F23" w:rsidRPr="00391E99" w:rsidRDefault="005F191B" w:rsidP="00D40FD1">
      <w:pPr>
        <w:pStyle w:val="Ttulo3"/>
        <w:spacing w:line="360" w:lineRule="auto"/>
        <w:ind w:left="0" w:firstLine="720"/>
        <w:jc w:val="both"/>
        <w:rPr>
          <w:rFonts w:cs="Times New Roman"/>
        </w:rPr>
      </w:pPr>
      <w:bookmarkStart w:id="104" w:name="_Toc166705777"/>
      <w:bookmarkStart w:id="105" w:name="_Toc175171379"/>
      <w:r w:rsidRPr="00391E99">
        <w:rPr>
          <w:rFonts w:cs="Times New Roman"/>
        </w:rPr>
        <w:t>2.2.11. POLÍTICAS DE CRÉDITO</w:t>
      </w:r>
      <w:bookmarkEnd w:id="104"/>
      <w:bookmarkEnd w:id="105"/>
    </w:p>
    <w:p w14:paraId="406F1647" w14:textId="77777777" w:rsidR="00D03F23" w:rsidRDefault="00D03F23" w:rsidP="00347CC2">
      <w:pPr>
        <w:tabs>
          <w:tab w:val="left" w:pos="2626"/>
        </w:tabs>
        <w:ind w:left="708"/>
        <w:jc w:val="both"/>
        <w:rPr>
          <w:rFonts w:ascii="Times New Roman" w:hAnsi="Times New Roman" w:cs="Times New Roman"/>
        </w:rPr>
      </w:pPr>
      <w:r w:rsidRPr="004D2D6F">
        <w:rPr>
          <w:rFonts w:ascii="Times New Roman" w:hAnsi="Times New Roman" w:cs="Times New Roman"/>
        </w:rPr>
        <w:t>Las políticas de Crédito son normas de actuación dictadas por la dirección de la empresa y derivan directamente de la estrategia de riesgos establecida. No obstante, las políticas de crédito también tienen en cuenta otros factores que matizan las grandes líneas marcadas por la estrategia de riesgos. Un punto determinante es que la política de créditos irá siempre estrechamente ligada a la política de marketing de la empresa</w:t>
      </w:r>
      <w:sdt>
        <w:sdtPr>
          <w:rPr>
            <w:rFonts w:ascii="Times New Roman" w:hAnsi="Times New Roman" w:cs="Times New Roman"/>
          </w:rPr>
          <w:id w:val="1016740971"/>
          <w:citation/>
        </w:sdtPr>
        <w:sdtContent>
          <w:r w:rsidRPr="004D2D6F">
            <w:rPr>
              <w:rFonts w:ascii="Times New Roman" w:hAnsi="Times New Roman" w:cs="Times New Roman"/>
            </w:rPr>
            <w:fldChar w:fldCharType="begin"/>
          </w:r>
          <w:r w:rsidRPr="004D2D6F">
            <w:rPr>
              <w:rFonts w:ascii="Times New Roman" w:hAnsi="Times New Roman" w:cs="Times New Roman"/>
            </w:rPr>
            <w:instrText xml:space="preserve">CITATION Med16 \p 28 \l 3082 </w:instrText>
          </w:r>
          <w:r w:rsidRPr="004D2D6F">
            <w:rPr>
              <w:rFonts w:ascii="Times New Roman" w:hAnsi="Times New Roman" w:cs="Times New Roman"/>
            </w:rPr>
            <w:fldChar w:fldCharType="separate"/>
          </w:r>
          <w:r w:rsidRPr="004D2D6F">
            <w:rPr>
              <w:rFonts w:ascii="Times New Roman" w:hAnsi="Times New Roman" w:cs="Times New Roman"/>
              <w:noProof/>
            </w:rPr>
            <w:t xml:space="preserve"> (Medina &amp; Ayala, 2016, pág. 28)</w:t>
          </w:r>
          <w:r w:rsidRPr="004D2D6F">
            <w:rPr>
              <w:rFonts w:ascii="Times New Roman" w:hAnsi="Times New Roman" w:cs="Times New Roman"/>
            </w:rPr>
            <w:fldChar w:fldCharType="end"/>
          </w:r>
        </w:sdtContent>
      </w:sdt>
      <w:r w:rsidRPr="004D2D6F">
        <w:rPr>
          <w:rFonts w:ascii="Times New Roman" w:hAnsi="Times New Roman" w:cs="Times New Roman"/>
        </w:rPr>
        <w:t>.</w:t>
      </w:r>
    </w:p>
    <w:p w14:paraId="16D8AFA5" w14:textId="4E2B347D" w:rsidR="00D03F23" w:rsidRPr="00391E99" w:rsidRDefault="005F191B" w:rsidP="00D40FD1">
      <w:pPr>
        <w:pStyle w:val="Ttulo3"/>
        <w:spacing w:line="360" w:lineRule="auto"/>
        <w:ind w:left="0" w:firstLine="720"/>
        <w:jc w:val="both"/>
      </w:pPr>
      <w:bookmarkStart w:id="106" w:name="_Toc166705778"/>
      <w:bookmarkStart w:id="107" w:name="_Toc175171380"/>
      <w:r w:rsidRPr="00391E99">
        <w:lastRenderedPageBreak/>
        <w:t>2.2.12. RENTABILIDAD</w:t>
      </w:r>
      <w:bookmarkEnd w:id="106"/>
      <w:bookmarkEnd w:id="107"/>
    </w:p>
    <w:p w14:paraId="4F493725" w14:textId="58D7B078" w:rsidR="00C861DE" w:rsidRPr="00C861DE" w:rsidRDefault="00C861DE" w:rsidP="00C861DE">
      <w:pPr>
        <w:tabs>
          <w:tab w:val="left" w:pos="2265"/>
        </w:tabs>
        <w:spacing w:line="360" w:lineRule="auto"/>
        <w:ind w:firstLine="720"/>
        <w:jc w:val="both"/>
        <w:rPr>
          <w:rFonts w:ascii="Times New Roman" w:hAnsi="Times New Roman" w:cs="Times New Roman"/>
          <w:sz w:val="24"/>
          <w:szCs w:val="24"/>
        </w:rPr>
      </w:pPr>
      <w:r w:rsidRPr="00C861DE">
        <w:rPr>
          <w:rFonts w:ascii="Times New Roman" w:hAnsi="Times New Roman" w:cs="Times New Roman"/>
          <w:sz w:val="24"/>
          <w:szCs w:val="24"/>
        </w:rPr>
        <w:t xml:space="preserve">“Capacidad de rentar o calidad de rentable de un capital o de una estructura productiva y comercial” </w:t>
      </w:r>
      <w:r w:rsidRPr="00C861DE">
        <w:rPr>
          <w:rFonts w:ascii="Times New Roman" w:hAnsi="Times New Roman" w:cs="Times New Roman"/>
          <w:sz w:val="24"/>
          <w:szCs w:val="24"/>
        </w:rPr>
        <w:fldChar w:fldCharType="begin"/>
      </w:r>
      <w:r w:rsidR="00C52841">
        <w:rPr>
          <w:rFonts w:ascii="Times New Roman" w:hAnsi="Times New Roman" w:cs="Times New Roman"/>
          <w:sz w:val="24"/>
          <w:szCs w:val="24"/>
        </w:rPr>
        <w:instrText xml:space="preserve"> ADDIN ZOTERO_ITEM CSL_CITATION {"citationID":"B1jagsll","properties":{"formattedCitation":"(Greco, 2008, p. 369)","plainCitation":"(Greco, 2008, p. 369)","noteIndex":0},"citationItems":[{"id":"mhK3fgOx/clOIiVqH","uris":["http://zotero.org/users/local/rewjbDUP/items/5XT67QXV"],"itemData":{"id":24,"type":"book","edition":"2","event-place":"Argentina","ISBN":"978-950-743-302-3","language":"Español","license":"Valletta Ediciones S.R.L. .","number-of-pages":"447","publisher":"Valleta Ediciones","publisher-place":"Argentina","title":"Diccionario de Finanzas","author":[{"family":"Greco","given":"Orlando"}],"issued":{"date-parts":[["2008"]]}},"locator":"369","label":"page"}],"schema":"https://github.com/citation-style-language/schema/raw/master/csl-citation.json"} </w:instrText>
      </w:r>
      <w:r w:rsidRPr="00C861DE">
        <w:rPr>
          <w:rFonts w:ascii="Times New Roman" w:hAnsi="Times New Roman" w:cs="Times New Roman"/>
          <w:sz w:val="24"/>
          <w:szCs w:val="24"/>
        </w:rPr>
        <w:fldChar w:fldCharType="separate"/>
      </w:r>
      <w:r w:rsidRPr="00C861DE">
        <w:rPr>
          <w:rFonts w:ascii="Times New Roman" w:hAnsi="Times New Roman" w:cs="Times New Roman"/>
          <w:sz w:val="24"/>
          <w:szCs w:val="24"/>
        </w:rPr>
        <w:t>(Greco, 2008, p. 369)</w:t>
      </w:r>
      <w:r w:rsidRPr="00C861DE">
        <w:rPr>
          <w:rFonts w:ascii="Times New Roman" w:hAnsi="Times New Roman" w:cs="Times New Roman"/>
          <w:sz w:val="24"/>
          <w:szCs w:val="24"/>
        </w:rPr>
        <w:fldChar w:fldCharType="end"/>
      </w:r>
      <w:r w:rsidRPr="00C861DE">
        <w:rPr>
          <w:rFonts w:ascii="Times New Roman" w:hAnsi="Times New Roman" w:cs="Times New Roman"/>
          <w:sz w:val="24"/>
          <w:szCs w:val="24"/>
        </w:rPr>
        <w:t>.</w:t>
      </w:r>
    </w:p>
    <w:p w14:paraId="334092B7" w14:textId="3CCE547B" w:rsidR="00C861DE" w:rsidRDefault="00C861DE" w:rsidP="00C861DE">
      <w:pPr>
        <w:tabs>
          <w:tab w:val="left" w:pos="2265"/>
        </w:tabs>
        <w:spacing w:line="360" w:lineRule="auto"/>
        <w:ind w:firstLine="720"/>
        <w:jc w:val="both"/>
        <w:rPr>
          <w:rFonts w:ascii="Times New Roman" w:hAnsi="Times New Roman" w:cs="Times New Roman"/>
          <w:sz w:val="24"/>
          <w:szCs w:val="24"/>
        </w:rPr>
      </w:pPr>
      <w:r w:rsidRPr="00C861DE">
        <w:rPr>
          <w:rFonts w:ascii="Times New Roman" w:hAnsi="Times New Roman" w:cs="Times New Roman"/>
          <w:sz w:val="24"/>
          <w:szCs w:val="24"/>
        </w:rPr>
        <w:t xml:space="preserve">“Mide la cantidad de recursos generados por las inversiones realizadas en un proyecto determinado” </w:t>
      </w:r>
      <w:r w:rsidRPr="00C861DE">
        <w:rPr>
          <w:rFonts w:ascii="Times New Roman" w:hAnsi="Times New Roman" w:cs="Times New Roman"/>
          <w:sz w:val="24"/>
          <w:szCs w:val="24"/>
        </w:rPr>
        <w:fldChar w:fldCharType="begin"/>
      </w:r>
      <w:r w:rsidR="00C52841">
        <w:rPr>
          <w:rFonts w:ascii="Times New Roman" w:hAnsi="Times New Roman" w:cs="Times New Roman"/>
          <w:sz w:val="24"/>
          <w:szCs w:val="24"/>
        </w:rPr>
        <w:instrText xml:space="preserve"> ADDIN ZOTERO_ITEM CSL_CITATION {"citationID":"5bcWMfOw","properties":{"formattedCitation":"(Garc\\uc0\\u237{}a Padilla, 2015, p. 144)","plainCitation":"(García Padilla, 2015, p. 144)","noteIndex":0},"citationItems":[{"id":"mhK3fgOx/lV0Q32IE","uris":["http://zotero.org/users/local/rewjbDUP/items/W2KXXFA8"],"itemData":{"id":35,"type":"book","edition":"2","event-place":"México","ISBN":"978-607-438-879-4","language":"Español","license":"Grupo Editorial Patria S.A. de C.V. Victor Manuel García Padilla","publisher":"Grupo Editorial Patria","publisher-place":"México","title":"Introducción a las Finanzas","author":[{"family":"García Padilla","given":"Victor Manuel"}],"issued":{"date-parts":[["2015"]]}},"locator":"144","label":"page"}],"schema":"https://github.com/citation-style-language/schema/raw/master/csl-citation.json"} </w:instrText>
      </w:r>
      <w:r w:rsidRPr="00C861DE">
        <w:rPr>
          <w:rFonts w:ascii="Times New Roman" w:hAnsi="Times New Roman" w:cs="Times New Roman"/>
          <w:sz w:val="24"/>
          <w:szCs w:val="24"/>
        </w:rPr>
        <w:fldChar w:fldCharType="separate"/>
      </w:r>
      <w:r w:rsidRPr="00C861DE">
        <w:rPr>
          <w:rFonts w:ascii="Times New Roman" w:hAnsi="Times New Roman" w:cs="Times New Roman"/>
          <w:sz w:val="24"/>
          <w:szCs w:val="24"/>
        </w:rPr>
        <w:t>(García Padilla, 2015, p. 144)</w:t>
      </w:r>
      <w:r w:rsidRPr="00C861DE">
        <w:rPr>
          <w:rFonts w:ascii="Times New Roman" w:hAnsi="Times New Roman" w:cs="Times New Roman"/>
          <w:sz w:val="24"/>
          <w:szCs w:val="24"/>
        </w:rPr>
        <w:fldChar w:fldCharType="end"/>
      </w:r>
      <w:r w:rsidRPr="00C861DE">
        <w:rPr>
          <w:rFonts w:ascii="Times New Roman" w:hAnsi="Times New Roman" w:cs="Times New Roman"/>
          <w:sz w:val="24"/>
          <w:szCs w:val="24"/>
        </w:rPr>
        <w:t>.</w:t>
      </w:r>
    </w:p>
    <w:p w14:paraId="11D70E35" w14:textId="78EAB549" w:rsidR="00D03F23" w:rsidRDefault="00C861DE" w:rsidP="00EA56D1">
      <w:pPr>
        <w:spacing w:line="360" w:lineRule="auto"/>
        <w:ind w:firstLine="720"/>
        <w:jc w:val="both"/>
        <w:rPr>
          <w:rFonts w:ascii="Times New Roman" w:hAnsi="Times New Roman" w:cs="Times New Roman"/>
          <w:sz w:val="24"/>
          <w:szCs w:val="24"/>
        </w:rPr>
      </w:pPr>
      <w:r w:rsidRPr="00C861DE">
        <w:rPr>
          <w:rFonts w:ascii="Times New Roman" w:hAnsi="Times New Roman" w:cs="Times New Roman"/>
          <w:sz w:val="24"/>
          <w:szCs w:val="24"/>
        </w:rPr>
        <w:t>En una definición más reciente se plantea que la rentabilidad</w:t>
      </w:r>
      <w:r w:rsidR="00EA56D1">
        <w:rPr>
          <w:rFonts w:ascii="Times New Roman" w:hAnsi="Times New Roman" w:cs="Times New Roman"/>
          <w:sz w:val="24"/>
          <w:szCs w:val="24"/>
        </w:rPr>
        <w:t xml:space="preserve"> es</w:t>
      </w:r>
      <w:r w:rsidR="00CA4287">
        <w:rPr>
          <w:rFonts w:ascii="Times New Roman" w:hAnsi="Times New Roman" w:cs="Times New Roman"/>
          <w:sz w:val="24"/>
          <w:szCs w:val="24"/>
        </w:rPr>
        <w:t xml:space="preserve"> la</w:t>
      </w:r>
      <w:r w:rsidR="00EA56D1">
        <w:rPr>
          <w:rFonts w:ascii="Times New Roman" w:hAnsi="Times New Roman" w:cs="Times New Roman"/>
          <w:sz w:val="24"/>
          <w:szCs w:val="24"/>
        </w:rPr>
        <w:t xml:space="preserve"> </w:t>
      </w:r>
      <w:r w:rsidR="00D03F23">
        <w:rPr>
          <w:rFonts w:ascii="Times New Roman" w:hAnsi="Times New Roman" w:cs="Times New Roman"/>
          <w:sz w:val="24"/>
          <w:szCs w:val="24"/>
        </w:rPr>
        <w:t>“P</w:t>
      </w:r>
      <w:r w:rsidR="00D03F23" w:rsidRPr="00920EB7">
        <w:rPr>
          <w:rFonts w:ascii="Times New Roman" w:hAnsi="Times New Roman" w:cs="Times New Roman"/>
          <w:sz w:val="24"/>
          <w:szCs w:val="24"/>
        </w:rPr>
        <w:t>osibilidad de generar beneficios, reinversión y crecimiento. Cuando se habla de rentabilidad, debemos tener presentes tres conceptos importantes: el costo de oportunidad, el valor del dinero en el tiempo y el análisis de los estados financieros</w:t>
      </w:r>
      <w:r w:rsidR="00D03F23">
        <w:rPr>
          <w:rFonts w:ascii="Times New Roman" w:hAnsi="Times New Roman" w:cs="Times New Roman"/>
          <w:sz w:val="24"/>
          <w:szCs w:val="24"/>
        </w:rPr>
        <w:t xml:space="preserve">” </w:t>
      </w:r>
      <w:r w:rsidR="00D03F23">
        <w:rPr>
          <w:rFonts w:ascii="Times New Roman" w:hAnsi="Times New Roman" w:cs="Times New Roman"/>
          <w:sz w:val="24"/>
          <w:szCs w:val="24"/>
        </w:rPr>
        <w:fldChar w:fldCharType="begin"/>
      </w:r>
      <w:r w:rsidR="000F6563">
        <w:rPr>
          <w:rFonts w:ascii="Times New Roman" w:hAnsi="Times New Roman" w:cs="Times New Roman"/>
          <w:sz w:val="24"/>
          <w:szCs w:val="24"/>
        </w:rPr>
        <w:instrText xml:space="preserve"> ADDIN ZOTERO_ITEM CSL_CITATION {"citationID":"dWV8LXLE","properties":{"formattedCitation":"(Chu Rubio, 2016, p. 13)","plainCitation":"(Chu Rubio, 2016, p. 13)","noteIndex":0},"citationItems":[{"id":38,"uris":["http://zotero.org/users/13562074/items/G34R79KD"],"itemData":{"id":38,"type":"book","ISBN":"978-612-318-052-2","language":"es","publisher":"Universidad Peruana de Ciencias Aplicadas (UPC)","source":"elibro.net","title":"Finanzas para no financieros","URL":"https://elibro.net/es/ereader/unitechn/41266?page=13","author":[{"family":"Chu Rubio","given":"Manuel"}],"accessed":{"date-parts":[["2024",2,22]]},"issued":{"date-parts":[["2016",6]]}},"locator":"13","label":"page"}],"schema":"https://github.com/citation-style-language/schema/raw/master/csl-citation.json"} </w:instrText>
      </w:r>
      <w:r w:rsidR="00D03F23">
        <w:rPr>
          <w:rFonts w:ascii="Times New Roman" w:hAnsi="Times New Roman" w:cs="Times New Roman"/>
          <w:sz w:val="24"/>
          <w:szCs w:val="24"/>
        </w:rPr>
        <w:fldChar w:fldCharType="separate"/>
      </w:r>
      <w:r w:rsidR="00D03F23" w:rsidRPr="00330743">
        <w:rPr>
          <w:rFonts w:ascii="Times New Roman" w:hAnsi="Times New Roman" w:cs="Times New Roman"/>
          <w:sz w:val="24"/>
        </w:rPr>
        <w:t>(Chu Rubio, 2016, p. 13)</w:t>
      </w:r>
      <w:r w:rsidR="00D03F23">
        <w:rPr>
          <w:rFonts w:ascii="Times New Roman" w:hAnsi="Times New Roman" w:cs="Times New Roman"/>
          <w:sz w:val="24"/>
          <w:szCs w:val="24"/>
        </w:rPr>
        <w:fldChar w:fldCharType="end"/>
      </w:r>
      <w:r w:rsidR="00D03F23">
        <w:rPr>
          <w:rFonts w:ascii="Times New Roman" w:hAnsi="Times New Roman" w:cs="Times New Roman"/>
          <w:sz w:val="24"/>
          <w:szCs w:val="24"/>
        </w:rPr>
        <w:t>.</w:t>
      </w:r>
    </w:p>
    <w:p w14:paraId="3436D1F4" w14:textId="77777777" w:rsidR="004A008C" w:rsidRDefault="004A008C" w:rsidP="00EA56D1">
      <w:pPr>
        <w:spacing w:line="360" w:lineRule="auto"/>
        <w:ind w:firstLine="720"/>
        <w:jc w:val="both"/>
        <w:rPr>
          <w:rFonts w:ascii="Times New Roman" w:hAnsi="Times New Roman" w:cs="Times New Roman"/>
          <w:sz w:val="24"/>
          <w:szCs w:val="24"/>
        </w:rPr>
      </w:pPr>
    </w:p>
    <w:p w14:paraId="6162BFBF" w14:textId="3923A656" w:rsidR="0065182A" w:rsidRDefault="005F191B" w:rsidP="00D40FD1">
      <w:pPr>
        <w:pStyle w:val="Ttulo3"/>
        <w:spacing w:line="360" w:lineRule="auto"/>
        <w:ind w:left="0" w:firstLine="720"/>
        <w:jc w:val="both"/>
      </w:pPr>
      <w:bookmarkStart w:id="108" w:name="_Toc166705779"/>
      <w:bookmarkStart w:id="109" w:name="_Toc175171381"/>
      <w:r w:rsidRPr="00391E99">
        <w:t>2.2.13. RIESGO</w:t>
      </w:r>
      <w:bookmarkEnd w:id="108"/>
      <w:bookmarkEnd w:id="109"/>
    </w:p>
    <w:p w14:paraId="627D386B" w14:textId="32EF014D" w:rsidR="00CA4287" w:rsidRPr="00CA4287" w:rsidRDefault="00CA4287" w:rsidP="00CA4287">
      <w:pPr>
        <w:ind w:left="708"/>
        <w:jc w:val="both"/>
        <w:rPr>
          <w:rFonts w:ascii="Times New Roman" w:hAnsi="Times New Roman" w:cs="Times New Roman"/>
        </w:rPr>
      </w:pPr>
      <w:r w:rsidRPr="0089348A">
        <w:rPr>
          <w:rFonts w:ascii="Times New Roman" w:hAnsi="Times New Roman" w:cs="Times New Roman"/>
        </w:rPr>
        <w:t xml:space="preserve">Se entiende por riesgo en general, la probabilidad de una situación negativa en el futuro, y desde el punto de vista financiero, la posibilidad de sufrir una pérdida de valor económico. El riesgo está asociado al concepto de incertidumbre, en cuanto a la posibilidad de sufrir una pérdida efectiva, cuantía de </w:t>
      </w:r>
      <w:proofErr w:type="gramStart"/>
      <w:r w:rsidRPr="0089348A">
        <w:rPr>
          <w:rFonts w:ascii="Times New Roman" w:hAnsi="Times New Roman" w:cs="Times New Roman"/>
        </w:rPr>
        <w:t>la misma</w:t>
      </w:r>
      <w:proofErr w:type="gramEnd"/>
      <w:r w:rsidRPr="0089348A">
        <w:rPr>
          <w:rFonts w:ascii="Times New Roman" w:hAnsi="Times New Roman" w:cs="Times New Roman"/>
        </w:rPr>
        <w:t xml:space="preserve"> e instante en que puede materializarse. </w:t>
      </w:r>
      <w:r w:rsidRPr="0089348A">
        <w:rPr>
          <w:rFonts w:ascii="Times New Roman" w:hAnsi="Times New Roman" w:cs="Times New Roman"/>
        </w:rPr>
        <w:fldChar w:fldCharType="begin"/>
      </w:r>
      <w:r w:rsidR="000F6563">
        <w:rPr>
          <w:rFonts w:ascii="Times New Roman" w:hAnsi="Times New Roman" w:cs="Times New Roman"/>
        </w:rPr>
        <w:instrText xml:space="preserve"> ADDIN ZOTERO_ITEM CSL_CITATION {"citationID":"XfVnKjhm","properties":{"formattedCitation":"(G\\uc0\\u243{}mez Fern\\uc0\\u225{}ndez-Aguado &amp; Partal Ure\\uc0\\u241{}a, 2010, p. 24)","plainCitation":"(Gómez Fernández-Aguado &amp; Partal Ureña, 2010, p. 24)","noteIndex":0},"citationItems":[{"id":40,"uris":["http://zotero.org/users/13562074/items/IMM9RG2R"],"itemData":{"id":40,"type":"book","ISBN":"978-84-92954-13-1","language":"es","publisher":"Delta Publicaciones","source":"elibro.net","title":"Gestión y control del riesgo de crédito en la banca","URL":"https://elibro.net/es/ereader/unitechn/169698?page=24","author":[{"family":"Gómez Fernández-Aguado","given":"Pilar"},{"family":"Partal Ureña","given":"Antonio"}],"accessed":{"date-parts":[["2024",2,22]]},"issued":{"date-parts":[["2010"]]}},"locator":"24","label":"page"}],"schema":"https://github.com/citation-style-language/schema/raw/master/csl-citation.json"} </w:instrText>
      </w:r>
      <w:r w:rsidRPr="0089348A">
        <w:rPr>
          <w:rFonts w:ascii="Times New Roman" w:hAnsi="Times New Roman" w:cs="Times New Roman"/>
        </w:rPr>
        <w:fldChar w:fldCharType="separate"/>
      </w:r>
      <w:r w:rsidRPr="0089348A">
        <w:rPr>
          <w:rFonts w:ascii="Times New Roman" w:hAnsi="Times New Roman" w:cs="Times New Roman"/>
        </w:rPr>
        <w:t xml:space="preserve">(Gómez Fernández-Aguado &amp; </w:t>
      </w:r>
      <w:proofErr w:type="spellStart"/>
      <w:r w:rsidRPr="0089348A">
        <w:rPr>
          <w:rFonts w:ascii="Times New Roman" w:hAnsi="Times New Roman" w:cs="Times New Roman"/>
        </w:rPr>
        <w:t>Partal</w:t>
      </w:r>
      <w:proofErr w:type="spellEnd"/>
      <w:r w:rsidRPr="0089348A">
        <w:rPr>
          <w:rFonts w:ascii="Times New Roman" w:hAnsi="Times New Roman" w:cs="Times New Roman"/>
        </w:rPr>
        <w:t xml:space="preserve"> Ureña, 2010, p. 24)</w:t>
      </w:r>
      <w:r w:rsidRPr="0089348A">
        <w:rPr>
          <w:rFonts w:ascii="Times New Roman" w:hAnsi="Times New Roman" w:cs="Times New Roman"/>
        </w:rPr>
        <w:fldChar w:fldCharType="end"/>
      </w:r>
    </w:p>
    <w:p w14:paraId="181D2E42" w14:textId="1C364C22" w:rsidR="00CA4287" w:rsidRPr="00CA4287" w:rsidRDefault="00527BDF" w:rsidP="00CA4287">
      <w:pPr>
        <w:spacing w:line="360" w:lineRule="auto"/>
        <w:ind w:firstLine="708"/>
        <w:jc w:val="both"/>
        <w:rPr>
          <w:rFonts w:ascii="Times New Roman" w:hAnsi="Times New Roman" w:cs="Times New Roman"/>
          <w:sz w:val="24"/>
          <w:szCs w:val="24"/>
        </w:rPr>
      </w:pPr>
      <w:r w:rsidRPr="00CA4287">
        <w:rPr>
          <w:rFonts w:ascii="Times New Roman" w:hAnsi="Times New Roman" w:cs="Times New Roman"/>
          <w:sz w:val="24"/>
          <w:szCs w:val="24"/>
        </w:rPr>
        <w:t>“E</w:t>
      </w:r>
      <w:r w:rsidR="00920EB7" w:rsidRPr="00CA4287">
        <w:rPr>
          <w:rFonts w:ascii="Times New Roman" w:hAnsi="Times New Roman" w:cs="Times New Roman"/>
          <w:sz w:val="24"/>
          <w:szCs w:val="24"/>
        </w:rPr>
        <w:t>s la posibilidad de perder, incertidumbre generada por el riesgo propio del negocio y por el riesgo del mercado que no es controlable</w:t>
      </w:r>
      <w:r w:rsidRPr="00CA4287">
        <w:rPr>
          <w:rFonts w:ascii="Times New Roman" w:hAnsi="Times New Roman" w:cs="Times New Roman"/>
          <w:sz w:val="24"/>
          <w:szCs w:val="24"/>
        </w:rPr>
        <w:t xml:space="preserve">” </w:t>
      </w:r>
      <w:r w:rsidRPr="00CA4287">
        <w:rPr>
          <w:rFonts w:ascii="Times New Roman" w:hAnsi="Times New Roman" w:cs="Times New Roman"/>
          <w:sz w:val="24"/>
          <w:szCs w:val="24"/>
        </w:rPr>
        <w:fldChar w:fldCharType="begin"/>
      </w:r>
      <w:r w:rsidR="000F6563">
        <w:rPr>
          <w:rFonts w:ascii="Times New Roman" w:hAnsi="Times New Roman" w:cs="Times New Roman"/>
          <w:sz w:val="24"/>
          <w:szCs w:val="24"/>
        </w:rPr>
        <w:instrText xml:space="preserve"> ADDIN ZOTERO_ITEM CSL_CITATION {"citationID":"KF6Q80P4","properties":{"formattedCitation":"(Chu Rubio, 2016, p. 13)","plainCitation":"(Chu Rubio, 2016, p. 13)","noteIndex":0},"citationItems":[{"id":38,"uris":["http://zotero.org/users/13562074/items/G34R79KD"],"itemData":{"id":38,"type":"book","ISBN":"978-612-318-052-2","language":"es","publisher":"Universidad Peruana de Ciencias Aplicadas (UPC)","source":"elibro.net","title":"Finanzas para no financieros","URL":"https://elibro.net/es/ereader/unitechn/41266?page=13","author":[{"family":"Chu Rubio","given":"Manuel"}],"accessed":{"date-parts":[["2024",2,22]]},"issued":{"date-parts":[["2016",6]]}},"locator":"13","label":"page"}],"schema":"https://github.com/citation-style-language/schema/raw/master/csl-citation.json"} </w:instrText>
      </w:r>
      <w:r w:rsidRPr="00CA4287">
        <w:rPr>
          <w:rFonts w:ascii="Times New Roman" w:hAnsi="Times New Roman" w:cs="Times New Roman"/>
          <w:sz w:val="24"/>
          <w:szCs w:val="24"/>
        </w:rPr>
        <w:fldChar w:fldCharType="separate"/>
      </w:r>
      <w:r w:rsidRPr="00CA4287">
        <w:rPr>
          <w:rFonts w:ascii="Times New Roman" w:hAnsi="Times New Roman" w:cs="Times New Roman"/>
          <w:sz w:val="24"/>
          <w:szCs w:val="24"/>
        </w:rPr>
        <w:t>(Chu Rubio, 2016, p. 13)</w:t>
      </w:r>
      <w:r w:rsidRPr="00CA4287">
        <w:rPr>
          <w:rFonts w:ascii="Times New Roman" w:hAnsi="Times New Roman" w:cs="Times New Roman"/>
          <w:sz w:val="24"/>
          <w:szCs w:val="24"/>
        </w:rPr>
        <w:fldChar w:fldCharType="end"/>
      </w:r>
      <w:r w:rsidRPr="00CA4287">
        <w:rPr>
          <w:rFonts w:ascii="Times New Roman" w:hAnsi="Times New Roman" w:cs="Times New Roman"/>
          <w:sz w:val="24"/>
          <w:szCs w:val="24"/>
        </w:rPr>
        <w:t>.</w:t>
      </w:r>
    </w:p>
    <w:p w14:paraId="1C072A28" w14:textId="6F0D2037" w:rsidR="00CA4287" w:rsidRPr="00CA4287" w:rsidRDefault="00CA4287" w:rsidP="00CA4287">
      <w:pPr>
        <w:spacing w:line="360" w:lineRule="auto"/>
        <w:ind w:firstLine="720"/>
        <w:jc w:val="both"/>
        <w:rPr>
          <w:rFonts w:ascii="Times New Roman" w:hAnsi="Times New Roman" w:cs="Times New Roman"/>
          <w:sz w:val="24"/>
          <w:szCs w:val="24"/>
        </w:rPr>
      </w:pPr>
      <w:r w:rsidRPr="00CA4287">
        <w:rPr>
          <w:rFonts w:ascii="Times New Roman" w:hAnsi="Times New Roman" w:cs="Times New Roman"/>
          <w:sz w:val="24"/>
          <w:szCs w:val="24"/>
        </w:rPr>
        <w:t>Además de los conceptos anteriores, el riesgo en una de las actualizaciones de términos se define como</w:t>
      </w:r>
      <w:r>
        <w:rPr>
          <w:rFonts w:ascii="Times New Roman" w:hAnsi="Times New Roman" w:cs="Times New Roman"/>
          <w:sz w:val="24"/>
          <w:szCs w:val="24"/>
        </w:rPr>
        <w:t xml:space="preserve"> </w:t>
      </w:r>
      <w:r w:rsidRPr="00CA4287">
        <w:rPr>
          <w:rFonts w:ascii="Times New Roman" w:hAnsi="Times New Roman" w:cs="Times New Roman"/>
          <w:sz w:val="24"/>
          <w:szCs w:val="24"/>
        </w:rPr>
        <w:tab/>
        <w:t xml:space="preserve">“Situación en la que el responsable de tomar las decisiones es capaz de calcular la probabilidad de que se den ciertos resultados” </w:t>
      </w:r>
      <w:r w:rsidRPr="00CA4287">
        <w:rPr>
          <w:rFonts w:ascii="Times New Roman" w:hAnsi="Times New Roman" w:cs="Times New Roman"/>
          <w:sz w:val="24"/>
          <w:szCs w:val="24"/>
        </w:rPr>
        <w:fldChar w:fldCharType="begin"/>
      </w:r>
      <w:r w:rsidR="00C52841">
        <w:rPr>
          <w:rFonts w:ascii="Times New Roman" w:hAnsi="Times New Roman" w:cs="Times New Roman"/>
          <w:sz w:val="24"/>
          <w:szCs w:val="24"/>
        </w:rPr>
        <w:instrText xml:space="preserve"> ADDIN ZOTERO_ITEM CSL_CITATION {"citationID":"mHR3Efl8","properties":{"formattedCitation":"(Robbins &amp; Coulter, 2018, p. 55)","plainCitation":"(Robbins &amp; Coulter, 2018, p. 55)","noteIndex":0},"citationItems":[{"id":"mhK3fgOx/MDZw6Uwh","uris":["http://zotero.org/users/local/rewjbDUP/items/Y6AH4L7S"],"itemData":{"id":39,"type":"book","edition":"13","event-place":"México","ISBN":"978-607-32-4336-0","language":"Español","license":"Pearson Educación de México, S.A. de C.V.","number-of-pages":"752","publisher":"Pearson Educación","publisher-place":"México","title":"Administración","author":[{"family":"Robbins","given":"Stephen J."},{"family":"Coulter","given":"Mary"}],"issued":{"date-parts":[["2018"]]}},"locator":"55","label":"page"}],"schema":"https://github.com/citation-style-language/schema/raw/master/csl-citation.json"} </w:instrText>
      </w:r>
      <w:r w:rsidRPr="00CA4287">
        <w:rPr>
          <w:rFonts w:ascii="Times New Roman" w:hAnsi="Times New Roman" w:cs="Times New Roman"/>
          <w:sz w:val="24"/>
          <w:szCs w:val="24"/>
        </w:rPr>
        <w:fldChar w:fldCharType="separate"/>
      </w:r>
      <w:r w:rsidRPr="00CA4287">
        <w:rPr>
          <w:rFonts w:ascii="Times New Roman" w:hAnsi="Times New Roman" w:cs="Times New Roman"/>
          <w:sz w:val="24"/>
          <w:szCs w:val="24"/>
        </w:rPr>
        <w:t xml:space="preserve">(Robbins &amp; </w:t>
      </w:r>
      <w:proofErr w:type="spellStart"/>
      <w:r w:rsidRPr="00CA4287">
        <w:rPr>
          <w:rFonts w:ascii="Times New Roman" w:hAnsi="Times New Roman" w:cs="Times New Roman"/>
          <w:sz w:val="24"/>
          <w:szCs w:val="24"/>
        </w:rPr>
        <w:t>Coulter</w:t>
      </w:r>
      <w:proofErr w:type="spellEnd"/>
      <w:r w:rsidRPr="00CA4287">
        <w:rPr>
          <w:rFonts w:ascii="Times New Roman" w:hAnsi="Times New Roman" w:cs="Times New Roman"/>
          <w:sz w:val="24"/>
          <w:szCs w:val="24"/>
        </w:rPr>
        <w:t>, 2018, p. 55)</w:t>
      </w:r>
      <w:r w:rsidRPr="00CA4287">
        <w:rPr>
          <w:rFonts w:ascii="Times New Roman" w:hAnsi="Times New Roman" w:cs="Times New Roman"/>
          <w:sz w:val="24"/>
          <w:szCs w:val="24"/>
        </w:rPr>
        <w:fldChar w:fldCharType="end"/>
      </w:r>
      <w:r w:rsidRPr="00CA4287">
        <w:rPr>
          <w:rFonts w:ascii="Times New Roman" w:hAnsi="Times New Roman" w:cs="Times New Roman"/>
          <w:sz w:val="24"/>
          <w:szCs w:val="24"/>
        </w:rPr>
        <w:t>.</w:t>
      </w:r>
    </w:p>
    <w:p w14:paraId="3010EB42" w14:textId="77777777" w:rsidR="00CA4287" w:rsidRPr="00330743" w:rsidRDefault="00CA4287" w:rsidP="00347CC2">
      <w:pPr>
        <w:ind w:left="708"/>
        <w:jc w:val="both"/>
        <w:rPr>
          <w:rFonts w:ascii="Times New Roman" w:hAnsi="Times New Roman" w:cs="Times New Roman"/>
        </w:rPr>
      </w:pPr>
    </w:p>
    <w:p w14:paraId="227A18E1" w14:textId="644563C6" w:rsidR="00527BDF" w:rsidRPr="00391E99" w:rsidRDefault="005F191B" w:rsidP="00D40FD1">
      <w:pPr>
        <w:pStyle w:val="Ttulo3"/>
        <w:spacing w:line="360" w:lineRule="auto"/>
        <w:ind w:left="0" w:firstLine="720"/>
      </w:pPr>
      <w:bookmarkStart w:id="110" w:name="_Toc166705780"/>
      <w:bookmarkStart w:id="111" w:name="_Toc175171382"/>
      <w:r w:rsidRPr="00391E99">
        <w:t>2.2.14. RIESGO DE CRÉDITO</w:t>
      </w:r>
      <w:bookmarkEnd w:id="110"/>
      <w:bookmarkEnd w:id="111"/>
    </w:p>
    <w:p w14:paraId="5C0261F1" w14:textId="555B6C34" w:rsidR="00CA4287" w:rsidRDefault="00920EB7" w:rsidP="00407DD6">
      <w:pPr>
        <w:ind w:left="708"/>
        <w:jc w:val="both"/>
        <w:rPr>
          <w:rFonts w:ascii="Times New Roman" w:hAnsi="Times New Roman" w:cs="Times New Roman"/>
        </w:rPr>
      </w:pPr>
      <w:r w:rsidRPr="006A59C5">
        <w:rPr>
          <w:rFonts w:ascii="Times New Roman" w:hAnsi="Times New Roman" w:cs="Times New Roman"/>
        </w:rPr>
        <w:t>El riesgo de crédito es considerado el riesgo típico, siendo el causante del mayor número de crisis financieras. Puede definirse como, “la pérdida potencial ocasionada por una variación en las condiciones y características de una contrapartida que altere la capacidad de ésta para cumplir con sus obligaciones contractuales”, riesgo estrechamente relacionado con el concepto de solvencia.</w:t>
      </w:r>
      <w:r w:rsidR="006A59C5" w:rsidRPr="006A59C5">
        <w:rPr>
          <w:rFonts w:ascii="Times New Roman" w:hAnsi="Times New Roman" w:cs="Times New Roman"/>
        </w:rPr>
        <w:t xml:space="preserve"> </w:t>
      </w:r>
      <w:r w:rsidR="006A59C5" w:rsidRPr="006A59C5">
        <w:rPr>
          <w:rFonts w:ascii="Times New Roman" w:hAnsi="Times New Roman" w:cs="Times New Roman"/>
        </w:rPr>
        <w:fldChar w:fldCharType="begin"/>
      </w:r>
      <w:r w:rsidR="000F6563">
        <w:rPr>
          <w:rFonts w:ascii="Times New Roman" w:hAnsi="Times New Roman" w:cs="Times New Roman"/>
        </w:rPr>
        <w:instrText xml:space="preserve"> ADDIN ZOTERO_ITEM CSL_CITATION {"citationID":"jJt8kGmj","properties":{"formattedCitation":"(G\\uc0\\u243{}mez Fern\\uc0\\u225{}ndez-Aguado &amp; Partal Ure\\uc0\\u241{}a, 2010, p. 24)","plainCitation":"(Gómez Fernández-Aguado &amp; Partal Ureña, 2010, p. 24)","noteIndex":0},"citationItems":[{"id":40,"uris":["http://zotero.org/users/13562074/items/IMM9RG2R"],"itemData":{"id":40,"type":"book","ISBN":"978-84-92954-13-1","language":"es","publisher":"Delta Publicaciones","source":"elibro.net","title":"Gestión y control del riesgo de crédito en la banca","URL":"https://elibro.net/es/ereader/unitechn/169698?page=24","author":[{"family":"Gómez Fernández-Aguado","given":"Pilar"},{"family":"Partal Ureña","given":"Antonio"}],"accessed":{"date-parts":[["2024",2,22]]},"issued":{"date-parts":[["2010"]]}},"locator":"24","label":"page"}],"schema":"https://github.com/citation-style-language/schema/raw/master/csl-citation.json"} </w:instrText>
      </w:r>
      <w:r w:rsidR="006A59C5" w:rsidRPr="006A59C5">
        <w:rPr>
          <w:rFonts w:ascii="Times New Roman" w:hAnsi="Times New Roman" w:cs="Times New Roman"/>
        </w:rPr>
        <w:fldChar w:fldCharType="separate"/>
      </w:r>
      <w:r w:rsidR="006A59C5" w:rsidRPr="006A59C5">
        <w:rPr>
          <w:rFonts w:ascii="Times New Roman" w:hAnsi="Times New Roman" w:cs="Times New Roman"/>
        </w:rPr>
        <w:t xml:space="preserve">(Gómez Fernández-Aguado &amp; </w:t>
      </w:r>
      <w:proofErr w:type="spellStart"/>
      <w:r w:rsidR="006A59C5" w:rsidRPr="006A59C5">
        <w:rPr>
          <w:rFonts w:ascii="Times New Roman" w:hAnsi="Times New Roman" w:cs="Times New Roman"/>
        </w:rPr>
        <w:t>Partal</w:t>
      </w:r>
      <w:proofErr w:type="spellEnd"/>
      <w:r w:rsidR="006A59C5" w:rsidRPr="006A59C5">
        <w:rPr>
          <w:rFonts w:ascii="Times New Roman" w:hAnsi="Times New Roman" w:cs="Times New Roman"/>
        </w:rPr>
        <w:t xml:space="preserve"> Ureña, 2010, p. 24)</w:t>
      </w:r>
      <w:r w:rsidR="006A59C5" w:rsidRPr="006A59C5">
        <w:rPr>
          <w:rFonts w:ascii="Times New Roman" w:hAnsi="Times New Roman" w:cs="Times New Roman"/>
        </w:rPr>
        <w:fldChar w:fldCharType="end"/>
      </w:r>
    </w:p>
    <w:p w14:paraId="67A207D5" w14:textId="3177D382" w:rsidR="00CA4287" w:rsidRPr="00CA4287" w:rsidRDefault="00CA4287" w:rsidP="00CA4287">
      <w:pPr>
        <w:spacing w:line="360" w:lineRule="auto"/>
        <w:ind w:firstLine="720"/>
        <w:jc w:val="both"/>
        <w:rPr>
          <w:rFonts w:ascii="Times New Roman" w:hAnsi="Times New Roman" w:cs="Times New Roman"/>
          <w:sz w:val="24"/>
          <w:szCs w:val="24"/>
        </w:rPr>
      </w:pPr>
      <w:r w:rsidRPr="00CA4287">
        <w:rPr>
          <w:rFonts w:ascii="Times New Roman" w:hAnsi="Times New Roman" w:cs="Times New Roman"/>
          <w:sz w:val="24"/>
          <w:szCs w:val="24"/>
        </w:rPr>
        <w:t xml:space="preserve">“Considerado como el riesgo por antonomasia de las entidades bancarias, hace referencia a la probabilidad de impago por parte del prestatario y al incumplimiento de las condiciones pactadas en el contrato (deterioro de su capacidad de pago)” </w:t>
      </w:r>
      <w:r w:rsidRPr="00CA4287">
        <w:rPr>
          <w:rFonts w:ascii="Times New Roman" w:hAnsi="Times New Roman" w:cs="Times New Roman"/>
          <w:sz w:val="24"/>
          <w:szCs w:val="24"/>
        </w:rPr>
        <w:fldChar w:fldCharType="begin"/>
      </w:r>
      <w:r w:rsidR="00C52841">
        <w:rPr>
          <w:rFonts w:ascii="Times New Roman" w:hAnsi="Times New Roman" w:cs="Times New Roman"/>
          <w:sz w:val="24"/>
          <w:szCs w:val="24"/>
        </w:rPr>
        <w:instrText xml:space="preserve"> ADDIN ZOTERO_ITEM CSL_CITATION {"citationID":"outq1QEb","properties":{"formattedCitation":"(Ruza &amp; Curbera, 2013, p. 7)","plainCitation":"(Ruza &amp; Curbera, 2013, p. 7)","noteIndex":0},"citationItems":[{"id":"mhK3fgOx/EMQRziWT","uris":["http://zotero.org/users/local/rewjbDUP/items/CPHHCAA9"],"itemData":{"id":36,"type":"book","edition":"1","event-place":"Madrid","ISBN":"978-84-362-6769-3","language":"Español","license":"Universidad Nacional de Esducación a Distancia","number-of-pages":"104","publisher":"(UNED - Universidad Nacional de Educación a Distancia","publisher-place":"Madrid","title":"El Riesgo de Crédito en Perspectiva","author":[{"family":"Ruza","given":"Cristina"},{"family":"Curbera","given":"Paz"}],"issued":{"date-parts":[["2013",7]]}},"locator":"7","label":"page"}],"schema":"https://github.com/citation-style-language/schema/raw/master/csl-citation.json"} </w:instrText>
      </w:r>
      <w:r w:rsidRPr="00CA4287">
        <w:rPr>
          <w:rFonts w:ascii="Times New Roman" w:hAnsi="Times New Roman" w:cs="Times New Roman"/>
          <w:sz w:val="24"/>
          <w:szCs w:val="24"/>
        </w:rPr>
        <w:fldChar w:fldCharType="separate"/>
      </w:r>
      <w:r w:rsidRPr="00CA4287">
        <w:rPr>
          <w:rFonts w:ascii="Times New Roman" w:hAnsi="Times New Roman" w:cs="Times New Roman"/>
          <w:sz w:val="24"/>
          <w:szCs w:val="24"/>
        </w:rPr>
        <w:t>(</w:t>
      </w:r>
      <w:proofErr w:type="spellStart"/>
      <w:r w:rsidRPr="00CA4287">
        <w:rPr>
          <w:rFonts w:ascii="Times New Roman" w:hAnsi="Times New Roman" w:cs="Times New Roman"/>
          <w:sz w:val="24"/>
          <w:szCs w:val="24"/>
        </w:rPr>
        <w:t>Ruza</w:t>
      </w:r>
      <w:proofErr w:type="spellEnd"/>
      <w:r w:rsidRPr="00CA4287">
        <w:rPr>
          <w:rFonts w:ascii="Times New Roman" w:hAnsi="Times New Roman" w:cs="Times New Roman"/>
          <w:sz w:val="24"/>
          <w:szCs w:val="24"/>
        </w:rPr>
        <w:t xml:space="preserve"> &amp; </w:t>
      </w:r>
      <w:proofErr w:type="spellStart"/>
      <w:r w:rsidRPr="00CA4287">
        <w:rPr>
          <w:rFonts w:ascii="Times New Roman" w:hAnsi="Times New Roman" w:cs="Times New Roman"/>
          <w:sz w:val="24"/>
          <w:szCs w:val="24"/>
        </w:rPr>
        <w:t>Curbera</w:t>
      </w:r>
      <w:proofErr w:type="spellEnd"/>
      <w:r w:rsidRPr="00CA4287">
        <w:rPr>
          <w:rFonts w:ascii="Times New Roman" w:hAnsi="Times New Roman" w:cs="Times New Roman"/>
          <w:sz w:val="24"/>
          <w:szCs w:val="24"/>
        </w:rPr>
        <w:t>, 2013, p. 7)</w:t>
      </w:r>
      <w:r w:rsidRPr="00CA4287">
        <w:rPr>
          <w:rFonts w:ascii="Times New Roman" w:hAnsi="Times New Roman" w:cs="Times New Roman"/>
          <w:sz w:val="24"/>
          <w:szCs w:val="24"/>
        </w:rPr>
        <w:fldChar w:fldCharType="end"/>
      </w:r>
      <w:r w:rsidRPr="00CA4287">
        <w:rPr>
          <w:rFonts w:ascii="Times New Roman" w:hAnsi="Times New Roman" w:cs="Times New Roman"/>
          <w:sz w:val="24"/>
          <w:szCs w:val="24"/>
        </w:rPr>
        <w:t>.</w:t>
      </w:r>
    </w:p>
    <w:p w14:paraId="5AD02E46" w14:textId="51680381" w:rsidR="00CA4287" w:rsidRPr="00CA4287" w:rsidRDefault="00CA4287" w:rsidP="00CA4287">
      <w:pPr>
        <w:spacing w:line="360" w:lineRule="auto"/>
        <w:ind w:firstLine="720"/>
        <w:jc w:val="both"/>
        <w:rPr>
          <w:rFonts w:ascii="Times New Roman" w:hAnsi="Times New Roman" w:cs="Times New Roman"/>
          <w:sz w:val="24"/>
          <w:szCs w:val="24"/>
        </w:rPr>
      </w:pPr>
      <w:r w:rsidRPr="00CA4287">
        <w:rPr>
          <w:rFonts w:ascii="Times New Roman" w:hAnsi="Times New Roman" w:cs="Times New Roman"/>
          <w:sz w:val="24"/>
          <w:szCs w:val="24"/>
        </w:rPr>
        <w:t>En uno de sus significados más recientes, se puede definir que</w:t>
      </w:r>
      <w:r w:rsidR="00407DD6">
        <w:rPr>
          <w:rFonts w:ascii="Times New Roman" w:hAnsi="Times New Roman" w:cs="Times New Roman"/>
          <w:sz w:val="24"/>
          <w:szCs w:val="24"/>
        </w:rPr>
        <w:t xml:space="preserve"> </w:t>
      </w:r>
      <w:r w:rsidRPr="00CA4287">
        <w:rPr>
          <w:rFonts w:ascii="Times New Roman" w:hAnsi="Times New Roman" w:cs="Times New Roman"/>
          <w:sz w:val="24"/>
          <w:szCs w:val="24"/>
        </w:rPr>
        <w:tab/>
        <w:t xml:space="preserve">“El riesgo de crédito no es </w:t>
      </w:r>
      <w:r w:rsidR="00407DD6" w:rsidRPr="00CA4287">
        <w:rPr>
          <w:rFonts w:ascii="Times New Roman" w:hAnsi="Times New Roman" w:cs="Times New Roman"/>
          <w:sz w:val="24"/>
          <w:szCs w:val="24"/>
        </w:rPr>
        <w:t>más</w:t>
      </w:r>
      <w:r w:rsidRPr="00CA4287">
        <w:rPr>
          <w:rFonts w:ascii="Times New Roman" w:hAnsi="Times New Roman" w:cs="Times New Roman"/>
          <w:sz w:val="24"/>
          <w:szCs w:val="24"/>
        </w:rPr>
        <w:t xml:space="preserve"> que la probabilidad de que el emisor no cumpla con sus compromisos de pago de intereses o el principal. También se le llama riesgo de incumplimiento” </w:t>
      </w:r>
      <w:r w:rsidRPr="00CA4287">
        <w:rPr>
          <w:rFonts w:ascii="Times New Roman" w:hAnsi="Times New Roman" w:cs="Times New Roman"/>
          <w:sz w:val="24"/>
          <w:szCs w:val="24"/>
        </w:rPr>
        <w:fldChar w:fldCharType="begin"/>
      </w:r>
      <w:r w:rsidR="00C52841">
        <w:rPr>
          <w:rFonts w:ascii="Times New Roman" w:hAnsi="Times New Roman" w:cs="Times New Roman"/>
          <w:sz w:val="24"/>
          <w:szCs w:val="24"/>
        </w:rPr>
        <w:instrText xml:space="preserve"> ADDIN ZOTERO_ITEM CSL_CITATION {"citationID":"3TVeoayW","properties":{"formattedCitation":"(Garc\\uc0\\u237{}a Padilla, 2015, p. 201)","plainCitation":"(García Padilla, 2015, p. 201)","noteIndex":0},"citationItems":[{"id":"mhK3fgOx/lV0Q32IE","uris":["http://zotero.org/users/local/rewjbDUP/items/W2KXXFA8"],"itemData":{"id":35,"type":"book","edition":"2","event-place":"México","ISBN":"978-607-438-879-4","language":"Español","license":"Grupo Editorial Patria S.A. de C.V. Victor Manuel García Padilla","publisher":"Grupo Editorial Patria","publisher-place":"México","title":"Introducción a las Finanzas","author":[{"family":"García Padilla","given":"Victor Manuel"}],"issued":{"date-parts":[["2015"]]}},"locator":"201","label":"page"}],"schema":"https://github.com/citation-style-language/schema/raw/master/csl-citation.json"} </w:instrText>
      </w:r>
      <w:r w:rsidRPr="00CA4287">
        <w:rPr>
          <w:rFonts w:ascii="Times New Roman" w:hAnsi="Times New Roman" w:cs="Times New Roman"/>
          <w:sz w:val="24"/>
          <w:szCs w:val="24"/>
        </w:rPr>
        <w:fldChar w:fldCharType="separate"/>
      </w:r>
      <w:r w:rsidRPr="00CA4287">
        <w:rPr>
          <w:rFonts w:ascii="Times New Roman" w:hAnsi="Times New Roman" w:cs="Times New Roman"/>
          <w:sz w:val="24"/>
          <w:szCs w:val="24"/>
        </w:rPr>
        <w:t>(García Padilla, 2015, p. 201)</w:t>
      </w:r>
      <w:r w:rsidRPr="00CA4287">
        <w:rPr>
          <w:rFonts w:ascii="Times New Roman" w:hAnsi="Times New Roman" w:cs="Times New Roman"/>
          <w:sz w:val="24"/>
          <w:szCs w:val="24"/>
        </w:rPr>
        <w:fldChar w:fldCharType="end"/>
      </w:r>
      <w:r w:rsidRPr="00CA4287">
        <w:rPr>
          <w:rFonts w:ascii="Times New Roman" w:hAnsi="Times New Roman" w:cs="Times New Roman"/>
          <w:sz w:val="24"/>
          <w:szCs w:val="24"/>
        </w:rPr>
        <w:t>.</w:t>
      </w:r>
    </w:p>
    <w:p w14:paraId="5CC7065E" w14:textId="787E6668" w:rsidR="0065182A" w:rsidRPr="00391E99" w:rsidRDefault="005F191B" w:rsidP="00D40FD1">
      <w:pPr>
        <w:pStyle w:val="Ttulo3"/>
        <w:spacing w:line="360" w:lineRule="auto"/>
        <w:ind w:left="0" w:firstLine="720"/>
        <w:jc w:val="both"/>
      </w:pPr>
      <w:bookmarkStart w:id="112" w:name="_Toc166705781"/>
      <w:bookmarkStart w:id="113" w:name="_Toc175171383"/>
      <w:r w:rsidRPr="00391E99">
        <w:lastRenderedPageBreak/>
        <w:t>2.2.15. TASA DE INTERÉS</w:t>
      </w:r>
      <w:bookmarkEnd w:id="112"/>
      <w:bookmarkEnd w:id="113"/>
    </w:p>
    <w:p w14:paraId="1DBEF838" w14:textId="40F40916" w:rsidR="00407DD6" w:rsidRDefault="00437EB3" w:rsidP="00407DD6">
      <w:pPr>
        <w:ind w:left="709"/>
        <w:jc w:val="both"/>
        <w:rPr>
          <w:rFonts w:ascii="Times New Roman" w:hAnsi="Times New Roman" w:cs="Times New Roman"/>
        </w:rPr>
      </w:pPr>
      <w:r w:rsidRPr="00437EB3">
        <w:rPr>
          <w:rFonts w:ascii="Times New Roman" w:hAnsi="Times New Roman" w:cs="Times New Roman"/>
        </w:rPr>
        <w:t>E</w:t>
      </w:r>
      <w:r w:rsidR="00920EB7" w:rsidRPr="00437EB3">
        <w:rPr>
          <w:rFonts w:ascii="Times New Roman" w:hAnsi="Times New Roman" w:cs="Times New Roman"/>
        </w:rPr>
        <w:t>s un porcentaje que, aplicado al capital invertido, otorga un rendimiento sobre la inversión; o bien, se trata de un porcentaje que, aplicado al capital que se solicita en préstamo, proporciona el precio que se pagará por los recursos. Ya sea que una persona o empresa sea inversionista o deudor es muy útil saber calcular el interés que se obtendrá por una inversión o que tendrá que pagarse por un préstamo.</w:t>
      </w:r>
      <w:r w:rsidRPr="00437EB3">
        <w:rPr>
          <w:rFonts w:ascii="Times New Roman" w:hAnsi="Times New Roman" w:cs="Times New Roman"/>
        </w:rPr>
        <w:t xml:space="preserve"> </w:t>
      </w:r>
      <w:r w:rsidRPr="00437EB3">
        <w:rPr>
          <w:rFonts w:ascii="Times New Roman" w:hAnsi="Times New Roman" w:cs="Times New Roman"/>
        </w:rPr>
        <w:fldChar w:fldCharType="begin"/>
      </w:r>
      <w:r w:rsidR="000F6563">
        <w:rPr>
          <w:rFonts w:ascii="Times New Roman" w:hAnsi="Times New Roman" w:cs="Times New Roman"/>
        </w:rPr>
        <w:instrText xml:space="preserve"> ADDIN ZOTERO_ITEM CSL_CITATION {"citationID":"ECkYrhWj","properties":{"formattedCitation":"(Garc\\uc0\\u237{}a Padilla, 2014, p. 35)","plainCitation":"(García Padilla, 2014, p. 35)","noteIndex":0},"citationItems":[{"id":42,"uris":["http://zotero.org/users/13562074/items/6LWHJGRN"],"itemData":{"id":42,"type":"book","ISBN":"978-607-438-879-4","language":"es","publisher":"Grupo Editorial Patria","source":"elibro.net","title":"Introducción a las finanzas","URL":"https://elibro.net/es/ereader/unitechn/39412?page=12","author":[{"family":"García Padilla","given":"Víctor Manuel"}],"accessed":{"date-parts":[["2024",2,22]]},"issued":{"date-parts":[["2014"]]}},"locator":"35","label":"page"}],"schema":"https://github.com/citation-style-language/schema/raw/master/csl-citation.json"} </w:instrText>
      </w:r>
      <w:r w:rsidRPr="00437EB3">
        <w:rPr>
          <w:rFonts w:ascii="Times New Roman" w:hAnsi="Times New Roman" w:cs="Times New Roman"/>
        </w:rPr>
        <w:fldChar w:fldCharType="separate"/>
      </w:r>
      <w:r w:rsidRPr="00437EB3">
        <w:rPr>
          <w:rFonts w:ascii="Times New Roman" w:hAnsi="Times New Roman" w:cs="Times New Roman"/>
        </w:rPr>
        <w:t>(García Padilla, 2014, p. 35)</w:t>
      </w:r>
      <w:r w:rsidRPr="00437EB3">
        <w:rPr>
          <w:rFonts w:ascii="Times New Roman" w:hAnsi="Times New Roman" w:cs="Times New Roman"/>
        </w:rPr>
        <w:fldChar w:fldCharType="end"/>
      </w:r>
    </w:p>
    <w:p w14:paraId="76CF4A1A" w14:textId="1A518731" w:rsidR="00407DD6" w:rsidRPr="00407DD6" w:rsidRDefault="00407DD6" w:rsidP="00407DD6">
      <w:pPr>
        <w:spacing w:line="360" w:lineRule="auto"/>
        <w:ind w:firstLine="720"/>
        <w:jc w:val="both"/>
        <w:rPr>
          <w:rFonts w:ascii="Times New Roman" w:hAnsi="Times New Roman" w:cs="Times New Roman"/>
          <w:sz w:val="24"/>
          <w:szCs w:val="24"/>
        </w:rPr>
      </w:pPr>
      <w:r w:rsidRPr="00407DD6">
        <w:rPr>
          <w:rFonts w:ascii="Times New Roman" w:hAnsi="Times New Roman" w:cs="Times New Roman"/>
          <w:sz w:val="24"/>
          <w:szCs w:val="24"/>
        </w:rPr>
        <w:t xml:space="preserve">“La tasa de interés es el precio pagado por un prestatario (deudor) a un prestamista (acreedor) por el uso de recursos durante algún tiempo” </w:t>
      </w:r>
      <w:r w:rsidRPr="00407DD6">
        <w:rPr>
          <w:rFonts w:ascii="Times New Roman" w:hAnsi="Times New Roman" w:cs="Times New Roman"/>
          <w:sz w:val="24"/>
          <w:szCs w:val="24"/>
        </w:rPr>
        <w:fldChar w:fldCharType="begin"/>
      </w:r>
      <w:r w:rsidR="00C52841">
        <w:rPr>
          <w:rFonts w:ascii="Times New Roman" w:hAnsi="Times New Roman" w:cs="Times New Roman"/>
          <w:sz w:val="24"/>
          <w:szCs w:val="24"/>
        </w:rPr>
        <w:instrText xml:space="preserve"> ADDIN ZOTERO_ITEM CSL_CITATION {"citationID":"p2fYbAR0","properties":{"formattedCitation":"(Garc\\uc0\\u237{}a Padilla, 2015, p. 30)","plainCitation":"(García Padilla, 2015, p. 30)","noteIndex":0},"citationItems":[{"id":"mhK3fgOx/lV0Q32IE","uris":["http://zotero.org/users/local/rewjbDUP/items/W2KXXFA8"],"itemData":{"id":35,"type":"book","edition":"2","event-place":"México","ISBN":"978-607-438-879-4","language":"Español","license":"Grupo Editorial Patria S.A. de C.V. Victor Manuel García Padilla","publisher":"Grupo Editorial Patria","publisher-place":"México","title":"Introducción a las Finanzas","author":[{"family":"García Padilla","given":"Victor Manuel"}],"issued":{"date-parts":[["2015"]]}},"locator":"30","label":"page"}],"schema":"https://github.com/citation-style-language/schema/raw/master/csl-citation.json"} </w:instrText>
      </w:r>
      <w:r w:rsidRPr="00407DD6">
        <w:rPr>
          <w:rFonts w:ascii="Times New Roman" w:hAnsi="Times New Roman" w:cs="Times New Roman"/>
          <w:sz w:val="24"/>
          <w:szCs w:val="24"/>
        </w:rPr>
        <w:fldChar w:fldCharType="separate"/>
      </w:r>
      <w:r w:rsidRPr="00407DD6">
        <w:rPr>
          <w:rFonts w:ascii="Times New Roman" w:hAnsi="Times New Roman" w:cs="Times New Roman"/>
          <w:sz w:val="24"/>
          <w:szCs w:val="24"/>
        </w:rPr>
        <w:t>(García Padilla, 2015, p. 30)</w:t>
      </w:r>
      <w:r w:rsidRPr="00407DD6">
        <w:rPr>
          <w:rFonts w:ascii="Times New Roman" w:hAnsi="Times New Roman" w:cs="Times New Roman"/>
          <w:sz w:val="24"/>
          <w:szCs w:val="24"/>
        </w:rPr>
        <w:fldChar w:fldCharType="end"/>
      </w:r>
      <w:r w:rsidRPr="00407DD6">
        <w:rPr>
          <w:rFonts w:ascii="Times New Roman" w:hAnsi="Times New Roman" w:cs="Times New Roman"/>
          <w:sz w:val="24"/>
          <w:szCs w:val="24"/>
        </w:rPr>
        <w:t>.</w:t>
      </w:r>
    </w:p>
    <w:p w14:paraId="79F7C511" w14:textId="3CD6ED82" w:rsidR="00407DD6" w:rsidRPr="00407DD6" w:rsidRDefault="00407DD6" w:rsidP="00407DD6">
      <w:pPr>
        <w:spacing w:line="360" w:lineRule="auto"/>
        <w:ind w:firstLine="720"/>
        <w:jc w:val="both"/>
        <w:rPr>
          <w:rFonts w:ascii="Times New Roman" w:hAnsi="Times New Roman" w:cs="Times New Roman"/>
          <w:sz w:val="24"/>
          <w:szCs w:val="24"/>
        </w:rPr>
      </w:pPr>
      <w:r w:rsidRPr="00407DD6">
        <w:rPr>
          <w:rFonts w:ascii="Times New Roman" w:hAnsi="Times New Roman" w:cs="Times New Roman"/>
          <w:sz w:val="24"/>
          <w:szCs w:val="24"/>
        </w:rPr>
        <w:t>En su significado más reciente, podemos definir la tasa de interés como</w:t>
      </w:r>
      <w:r>
        <w:rPr>
          <w:rFonts w:ascii="Times New Roman" w:hAnsi="Times New Roman" w:cs="Times New Roman"/>
          <w:sz w:val="24"/>
          <w:szCs w:val="24"/>
        </w:rPr>
        <w:t xml:space="preserve"> a</w:t>
      </w:r>
      <w:r w:rsidRPr="00407DD6">
        <w:rPr>
          <w:rFonts w:ascii="Times New Roman" w:hAnsi="Times New Roman" w:cs="Times New Roman"/>
          <w:sz w:val="24"/>
          <w:szCs w:val="24"/>
        </w:rPr>
        <w:t xml:space="preserve">quella que se aplica por lo general a instrumentos de deuda como los préstamos bancarios o bonos; es la compensación que paga el prestatario de fondos al prestamista. Desde el punto de vista del prestatario, es el costo de solicitar fondos </w:t>
      </w:r>
      <w:r w:rsidRPr="00407DD6">
        <w:rPr>
          <w:rFonts w:ascii="Times New Roman" w:hAnsi="Times New Roman" w:cs="Times New Roman"/>
          <w:sz w:val="24"/>
          <w:szCs w:val="24"/>
        </w:rPr>
        <w:tab/>
        <w:t xml:space="preserve">en préstamo. </w:t>
      </w:r>
      <w:r w:rsidRPr="00407DD6">
        <w:rPr>
          <w:rFonts w:ascii="Times New Roman" w:hAnsi="Times New Roman" w:cs="Times New Roman"/>
          <w:sz w:val="24"/>
          <w:szCs w:val="24"/>
        </w:rPr>
        <w:fldChar w:fldCharType="begin"/>
      </w:r>
      <w:r w:rsidR="00C52841">
        <w:rPr>
          <w:rFonts w:ascii="Times New Roman" w:hAnsi="Times New Roman" w:cs="Times New Roman"/>
          <w:sz w:val="24"/>
          <w:szCs w:val="24"/>
        </w:rPr>
        <w:instrText xml:space="preserve"> ADDIN ZOTERO_ITEM CSL_CITATION {"citationID":"1CEqO6mh","properties":{"formattedCitation":"(Gitman &amp; Zutter, 2016, p. 276)","plainCitation":"(Gitman &amp; Zutter, 2016, p. 276)","noteIndex":0},"citationItems":[{"id":"mhK3fgOx/7HJPH9By","uris":["http://zotero.org/users/local/rewjbDUP/items/LGD3L9TY"],"itemData":{"id":37,"type":"book","edition":"14","event-place":"México D.F.","ISBN":"978-607-32-3722-2","language":"Español","license":"2016 por Pearson Educación de México, S.A. de C.V.","publisher":"Pearson Educación","publisher-place":"México D.F.","title":"Pricipios de Administración Financiera","author":[{"family":"Gitman","given":"Lawrence J."},{"family":"Zutter","given":"Chad J."}],"issued":{"date-parts":[["2016"]]}},"locator":"276","label":"page"}],"schema":"https://github.com/citation-style-language/schema/raw/master/csl-citation.json"} </w:instrText>
      </w:r>
      <w:r w:rsidRPr="00407DD6">
        <w:rPr>
          <w:rFonts w:ascii="Times New Roman" w:hAnsi="Times New Roman" w:cs="Times New Roman"/>
          <w:sz w:val="24"/>
          <w:szCs w:val="24"/>
        </w:rPr>
        <w:fldChar w:fldCharType="separate"/>
      </w:r>
      <w:r w:rsidRPr="00407DD6">
        <w:rPr>
          <w:rFonts w:ascii="Times New Roman" w:hAnsi="Times New Roman" w:cs="Times New Roman"/>
          <w:sz w:val="24"/>
          <w:szCs w:val="24"/>
        </w:rPr>
        <w:t xml:space="preserve">(Gitman &amp; </w:t>
      </w:r>
      <w:proofErr w:type="spellStart"/>
      <w:r w:rsidRPr="00407DD6">
        <w:rPr>
          <w:rFonts w:ascii="Times New Roman" w:hAnsi="Times New Roman" w:cs="Times New Roman"/>
          <w:sz w:val="24"/>
          <w:szCs w:val="24"/>
        </w:rPr>
        <w:t>Zutter</w:t>
      </w:r>
      <w:proofErr w:type="spellEnd"/>
      <w:r w:rsidRPr="00407DD6">
        <w:rPr>
          <w:rFonts w:ascii="Times New Roman" w:hAnsi="Times New Roman" w:cs="Times New Roman"/>
          <w:sz w:val="24"/>
          <w:szCs w:val="24"/>
        </w:rPr>
        <w:t>, 2016, p. 276)</w:t>
      </w:r>
      <w:r w:rsidRPr="00407DD6">
        <w:rPr>
          <w:rFonts w:ascii="Times New Roman" w:hAnsi="Times New Roman" w:cs="Times New Roman"/>
          <w:sz w:val="24"/>
          <w:szCs w:val="24"/>
        </w:rPr>
        <w:fldChar w:fldCharType="end"/>
      </w:r>
    </w:p>
    <w:p w14:paraId="7481AEDD" w14:textId="77777777" w:rsidR="00407DD6" w:rsidRDefault="00407DD6" w:rsidP="00347CC2">
      <w:pPr>
        <w:ind w:left="709"/>
        <w:jc w:val="both"/>
        <w:rPr>
          <w:rFonts w:ascii="Times New Roman" w:hAnsi="Times New Roman" w:cs="Times New Roman"/>
        </w:rPr>
      </w:pPr>
    </w:p>
    <w:p w14:paraId="63D5D1FA" w14:textId="77777777" w:rsidR="003931D8" w:rsidRPr="003931D8" w:rsidRDefault="003931D8" w:rsidP="003931D8">
      <w:pPr>
        <w:spacing w:line="360" w:lineRule="auto"/>
        <w:jc w:val="both"/>
        <w:rPr>
          <w:rFonts w:ascii="Times New Roman" w:hAnsi="Times New Roman" w:cs="Times New Roman"/>
          <w:sz w:val="24"/>
          <w:szCs w:val="24"/>
        </w:rPr>
      </w:pPr>
    </w:p>
    <w:p w14:paraId="1A90CAFA" w14:textId="625F8280" w:rsidR="003E7358" w:rsidRPr="00891B6C" w:rsidRDefault="009A0A5D" w:rsidP="0018133F">
      <w:pPr>
        <w:pStyle w:val="Ttulo3"/>
        <w:spacing w:before="0" w:line="360" w:lineRule="auto"/>
        <w:ind w:left="0"/>
      </w:pPr>
      <w:bookmarkStart w:id="114" w:name="_Toc474331184"/>
      <w:bookmarkStart w:id="115" w:name="_Toc474331383"/>
      <w:bookmarkStart w:id="116" w:name="_Toc166705782"/>
      <w:bookmarkStart w:id="117" w:name="_Toc175171384"/>
      <w:r>
        <w:t xml:space="preserve">2.3. </w:t>
      </w:r>
      <w:r w:rsidR="00BE6D1A" w:rsidRPr="00891B6C">
        <w:t>TEORÍAS DE SUSTENTO</w:t>
      </w:r>
      <w:bookmarkEnd w:id="114"/>
      <w:bookmarkEnd w:id="115"/>
      <w:bookmarkEnd w:id="116"/>
      <w:bookmarkEnd w:id="117"/>
    </w:p>
    <w:p w14:paraId="2C9E567B" w14:textId="750BEF75" w:rsidR="00E5014D" w:rsidRDefault="00DA00DB" w:rsidP="00473B79">
      <w:pPr>
        <w:pStyle w:val="Ttulo3"/>
        <w:spacing w:before="0" w:line="360" w:lineRule="auto"/>
        <w:ind w:left="0" w:firstLine="708"/>
      </w:pPr>
      <w:bookmarkStart w:id="118" w:name="_Toc166705783"/>
      <w:bookmarkStart w:id="119" w:name="_Toc175171385"/>
      <w:r w:rsidRPr="00891B6C">
        <w:t xml:space="preserve">2.3.1. </w:t>
      </w:r>
      <w:r w:rsidR="00BE6D1A" w:rsidRPr="00891B6C">
        <w:t>BASES TEÓRICAS</w:t>
      </w:r>
      <w:bookmarkEnd w:id="118"/>
      <w:bookmarkEnd w:id="119"/>
    </w:p>
    <w:p w14:paraId="02752804" w14:textId="399E89AD" w:rsidR="00902A52" w:rsidRPr="00902A52" w:rsidRDefault="00902A52" w:rsidP="00902A52">
      <w:pPr>
        <w:pStyle w:val="Ttulo4"/>
        <w:spacing w:line="360" w:lineRule="auto"/>
        <w:ind w:left="0" w:firstLine="1440"/>
        <w:jc w:val="both"/>
      </w:pPr>
      <w:bookmarkStart w:id="120" w:name="_Toc166705784"/>
      <w:bookmarkStart w:id="121" w:name="_Toc175171386"/>
      <w:r>
        <w:t>2.3.1.1. TEORÍA FINANCIERA</w:t>
      </w:r>
      <w:bookmarkEnd w:id="120"/>
      <w:bookmarkEnd w:id="121"/>
    </w:p>
    <w:p w14:paraId="3993A239" w14:textId="5A161074" w:rsidR="00891B6C" w:rsidRPr="00891B6C" w:rsidRDefault="00891B6C" w:rsidP="00D40FD1">
      <w:pPr>
        <w:pStyle w:val="TextoPrincipal"/>
        <w:spacing w:line="360" w:lineRule="auto"/>
      </w:pPr>
      <w:r w:rsidRPr="00891B6C">
        <w:rPr>
          <w:b/>
          <w:bCs/>
          <w:i/>
          <w:iCs/>
        </w:rPr>
        <w:t>Nombre de la teoría:</w:t>
      </w:r>
      <w:r w:rsidRPr="00891B6C">
        <w:t xml:space="preserve"> Teoría </w:t>
      </w:r>
      <w:r w:rsidR="00902A52">
        <w:t>F</w:t>
      </w:r>
      <w:r w:rsidRPr="00891B6C">
        <w:t>inanciera</w:t>
      </w:r>
    </w:p>
    <w:p w14:paraId="7E4FB1F5" w14:textId="2B88C8FF" w:rsidR="001C3A72" w:rsidRDefault="001C3A72" w:rsidP="00D40FD1">
      <w:pPr>
        <w:pStyle w:val="TextoPrincipal"/>
        <w:spacing w:line="360" w:lineRule="auto"/>
      </w:pPr>
      <w:r w:rsidRPr="00891B6C">
        <w:rPr>
          <w:b/>
          <w:bCs/>
          <w:i/>
          <w:iCs/>
        </w:rPr>
        <w:t>Precursor de la teoría:</w:t>
      </w:r>
      <w:r w:rsidRPr="00891B6C">
        <w:t xml:space="preserve"> Arthur Stone </w:t>
      </w:r>
      <w:proofErr w:type="spellStart"/>
      <w:r w:rsidRPr="00891B6C">
        <w:t>Dewing</w:t>
      </w:r>
      <w:proofErr w:type="spellEnd"/>
      <w:r w:rsidRPr="00891B6C">
        <w:t>.</w:t>
      </w:r>
    </w:p>
    <w:p w14:paraId="7C060BEF" w14:textId="44ED0277" w:rsidR="0054640B" w:rsidRPr="0054640B" w:rsidRDefault="0054640B" w:rsidP="00D40FD1">
      <w:pPr>
        <w:pStyle w:val="TextoPrincipal"/>
        <w:spacing w:line="360" w:lineRule="auto"/>
      </w:pPr>
      <w:r w:rsidRPr="0054640B">
        <w:rPr>
          <w:b/>
          <w:bCs/>
          <w:i/>
          <w:iCs/>
        </w:rPr>
        <w:t>Lugar donde se publicó por primera vez:</w:t>
      </w:r>
      <w:r>
        <w:t xml:space="preserve"> U</w:t>
      </w:r>
      <w:r w:rsidRPr="00D73CF7">
        <w:t>niversidad de Harvard en Estados Unidos</w:t>
      </w:r>
      <w:r>
        <w:t>.</w:t>
      </w:r>
    </w:p>
    <w:p w14:paraId="526B0D7F" w14:textId="79D85A1D" w:rsidR="001C3A72" w:rsidRDefault="001C3A72" w:rsidP="00D40FD1">
      <w:pPr>
        <w:pStyle w:val="TextoPrincipal"/>
        <w:spacing w:line="360" w:lineRule="auto"/>
      </w:pPr>
      <w:r w:rsidRPr="0054640B">
        <w:rPr>
          <w:b/>
          <w:bCs/>
          <w:i/>
          <w:iCs/>
        </w:rPr>
        <w:t>Año de publicación:</w:t>
      </w:r>
      <w:r>
        <w:t xml:space="preserve"> </w:t>
      </w:r>
      <w:r w:rsidRPr="00D73CF7">
        <w:t>1920</w:t>
      </w:r>
      <w:r>
        <w:t>.</w:t>
      </w:r>
    </w:p>
    <w:p w14:paraId="7FE54271" w14:textId="77777777" w:rsidR="0054640B" w:rsidRPr="0088489F" w:rsidRDefault="001C3A72" w:rsidP="00D40FD1">
      <w:pPr>
        <w:pStyle w:val="TextoPrincipal"/>
        <w:spacing w:line="360" w:lineRule="auto"/>
      </w:pPr>
      <w:r w:rsidRPr="0088489F">
        <w:rPr>
          <w:b/>
          <w:bCs/>
          <w:i/>
          <w:iCs/>
        </w:rPr>
        <w:t>Evolución Histórica:</w:t>
      </w:r>
    </w:p>
    <w:p w14:paraId="249F25CD" w14:textId="167540BA" w:rsidR="001C3A72" w:rsidRDefault="001C3A72" w:rsidP="00D40FD1">
      <w:pPr>
        <w:pStyle w:val="TextoPrincipal"/>
        <w:spacing w:line="360" w:lineRule="auto"/>
        <w:ind w:left="720" w:firstLine="0"/>
        <w:rPr>
          <w:sz w:val="22"/>
          <w:szCs w:val="22"/>
        </w:rPr>
      </w:pPr>
      <w:r w:rsidRPr="0088489F">
        <w:rPr>
          <w:sz w:val="22"/>
          <w:szCs w:val="22"/>
        </w:rPr>
        <w:t xml:space="preserve">El primer pionero en esta teoría fue Arthur Stone </w:t>
      </w:r>
      <w:proofErr w:type="spellStart"/>
      <w:r w:rsidRPr="0088489F">
        <w:rPr>
          <w:sz w:val="22"/>
          <w:szCs w:val="22"/>
        </w:rPr>
        <w:t>Dewing</w:t>
      </w:r>
      <w:proofErr w:type="spellEnd"/>
      <w:r w:rsidRPr="0088489F">
        <w:rPr>
          <w:sz w:val="22"/>
          <w:szCs w:val="22"/>
        </w:rPr>
        <w:t xml:space="preserve"> de la universidad de Harvard en Estados Unidos en 1920 con su obra repartida en 5 volúmenes en donde habla de acciones y bonos, administración de ingresos, organización, expansión y fracaso de las empresas. Posteriormente tenemos a muchos autores que contribuyeron a esta teoría, por ejemplo, John Burr Williams en 1930 hablaba del problema de la valuación de activos, Schneider, Friedrich y Vera Lutz a mitad del siglo pasado daban grandes pasos para el análisis de inversiones. Harry Markowitz en 1952 propuso la teoría moderna del portafolio, que se basa en la búsqueda de una cartera eficiente. William Sharpe, John </w:t>
      </w:r>
      <w:proofErr w:type="spellStart"/>
      <w:r w:rsidRPr="0088489F">
        <w:rPr>
          <w:sz w:val="22"/>
          <w:szCs w:val="22"/>
        </w:rPr>
        <w:t>Lintner</w:t>
      </w:r>
      <w:proofErr w:type="spellEnd"/>
      <w:r w:rsidRPr="0088489F">
        <w:rPr>
          <w:sz w:val="22"/>
          <w:szCs w:val="22"/>
        </w:rPr>
        <w:t xml:space="preserve"> y </w:t>
      </w:r>
      <w:proofErr w:type="spellStart"/>
      <w:r w:rsidRPr="0088489F">
        <w:rPr>
          <w:sz w:val="22"/>
          <w:szCs w:val="22"/>
        </w:rPr>
        <w:t>Mossin</w:t>
      </w:r>
      <w:proofErr w:type="spellEnd"/>
      <w:r w:rsidRPr="0088489F">
        <w:rPr>
          <w:sz w:val="22"/>
          <w:szCs w:val="22"/>
        </w:rPr>
        <w:t xml:space="preserve"> en 1966 crearon el modelo de valuación de activos. </w:t>
      </w:r>
      <w:r w:rsidR="0054640B" w:rsidRPr="0088489F">
        <w:rPr>
          <w:sz w:val="22"/>
          <w:szCs w:val="22"/>
        </w:rPr>
        <w:fldChar w:fldCharType="begin"/>
      </w:r>
      <w:r w:rsidR="000F6563">
        <w:rPr>
          <w:sz w:val="22"/>
          <w:szCs w:val="22"/>
        </w:rPr>
        <w:instrText xml:space="preserve"> ADDIN ZOTERO_ITEM CSL_CITATION {"citationID":"ALrngE4I","properties":{"formattedCitation":"(Carrasco Herrera &amp; Zepeda Herrera, 2023, p. 45)","plainCitation":"(Carrasco Herrera &amp; Zepeda Herrera, 2023, p. 45)","noteIndex":0},"citationItems":[{"id":44,"uris":["http://zotero.org/users/13562074/items/MEDYFG6U"],"itemData":{"id":44,"type":"document","title":"La Educación Financiera Y El Endeudamiento De Los Empleados De Ashonplafa Honduras.","author":[{"family":"Carrasco Herrera","given":"Charles Yackson"},{"family":"Zepeda Herrera","given":"Daniel Alfredo"}],"issued":{"date-parts":[["2023"]]}},"locator":"45","label":"page"}],"schema":"https://github.com/citation-style-language/schema/raw/master/csl-citation.json"} </w:instrText>
      </w:r>
      <w:r w:rsidR="0054640B" w:rsidRPr="0088489F">
        <w:rPr>
          <w:sz w:val="22"/>
          <w:szCs w:val="22"/>
        </w:rPr>
        <w:fldChar w:fldCharType="separate"/>
      </w:r>
      <w:r w:rsidR="0054640B" w:rsidRPr="0088489F">
        <w:rPr>
          <w:sz w:val="22"/>
          <w:szCs w:val="22"/>
        </w:rPr>
        <w:t>(Carrasco Herrera &amp; Zepeda Herrera, 2023, p. 45)</w:t>
      </w:r>
      <w:r w:rsidR="0054640B" w:rsidRPr="0088489F">
        <w:rPr>
          <w:sz w:val="22"/>
          <w:szCs w:val="22"/>
        </w:rPr>
        <w:fldChar w:fldCharType="end"/>
      </w:r>
    </w:p>
    <w:p w14:paraId="6A1AEFAD" w14:textId="50B6F8D7" w:rsidR="00EC1323" w:rsidRPr="00EC1323" w:rsidRDefault="00EC1323" w:rsidP="00A5156A">
      <w:pPr>
        <w:pStyle w:val="TextoPrincipal"/>
        <w:spacing w:line="360" w:lineRule="auto"/>
      </w:pPr>
      <w:r w:rsidRPr="009F7E95">
        <w:lastRenderedPageBreak/>
        <w:t xml:space="preserve">En la década de 1950 hasta 1973 fue la más floreciente en cambios en la teoría determinada como un enfoque moderno, ya que se apoyaron de teorías y herramientas de las matemáticas y la economía, lo cual permitió la comprobación del comportamiento de las variables financieras que son claves tanto corporativas como de mercado. </w:t>
      </w:r>
      <w:r w:rsidRPr="1C8D6E3A">
        <w:fldChar w:fldCharType="begin"/>
      </w:r>
      <w:r w:rsidR="00C52841">
        <w:instrText xml:space="preserve"> ADDIN ZOTERO_ITEM CSL_CITATION {"citationID":"hCZqol3I","properties":{"formattedCitation":"(Fl\\uc0\\u243{}rez R\\uc0\\u237{}os, 2008)","plainCitation":"(Flórez Ríos, 2008)","noteIndex":0},"citationItems":[{"id":"mhK3fgOx/NviGdpur","uris":["http://zotero.org/users/12108825/items/EVBCX2YN"],"itemData":{"id":193,"type":"article-journal","ISSN":"1657-4206","title":"Evolución de la Teoría Financiera en el Siglo XX","author":[{"family":"Flórez Ríos","given":"Luz Stella"}],"issued":{"date-parts":[["2008"]]}}}],"schema":"https://github.com/citation-style-language/schema/raw/master/csl-citation.json"} </w:instrText>
      </w:r>
      <w:r w:rsidRPr="1C8D6E3A">
        <w:fldChar w:fldCharType="separate"/>
      </w:r>
      <w:r w:rsidRPr="009F7E95">
        <w:t>(Flórez Ríos, 2008)</w:t>
      </w:r>
      <w:r w:rsidRPr="1C8D6E3A">
        <w:fldChar w:fldCharType="end"/>
      </w:r>
    </w:p>
    <w:p w14:paraId="0879FBD3" w14:textId="08C76483" w:rsidR="001C3A72" w:rsidRPr="0054640B" w:rsidRDefault="001C3A72" w:rsidP="00D40FD1">
      <w:pPr>
        <w:pStyle w:val="TextoPrincipal"/>
        <w:spacing w:line="360" w:lineRule="auto"/>
        <w:ind w:left="720" w:firstLine="0"/>
        <w:rPr>
          <w:sz w:val="22"/>
          <w:szCs w:val="22"/>
        </w:rPr>
      </w:pPr>
      <w:r w:rsidRPr="0054640B">
        <w:rPr>
          <w:sz w:val="22"/>
          <w:szCs w:val="22"/>
        </w:rPr>
        <w:t xml:space="preserve">En cuanto a su historia, podemos mencionar sus orígenes provienen de la economía, pero aplicado al manejo del riesgo y a la maximización del valor de la empresa. La teoría financiera ha podido evolucionar a grandes pasos debido a la diversidad de puntos de vista que los autores tienen, facilitando la propuesta de nuevas técnicas o teorías que la enriquecen. Se paso de una teoría con inconsistencias, de carácter normativo hasta tener una teoría con un marco teórico muy sólido y construido científicamente. Las finanzas originalmente en el siglo XIX eran aplicadas a instituciones, mercado de capitales y sus instrumentos. Sin embargo, la evolución de los mercados provocó un crecimiento en las empresas y por ende la necesidad de ser administradas bajo ciertos estándares, ampliando las finanzas a nuevas áreas, como el manejo del riesgo, financiamiento, organización, quiebra y expansión, siendo </w:t>
      </w:r>
      <w:proofErr w:type="spellStart"/>
      <w:r w:rsidRPr="0054640B">
        <w:rPr>
          <w:sz w:val="22"/>
          <w:szCs w:val="22"/>
        </w:rPr>
        <w:t>Dewing</w:t>
      </w:r>
      <w:proofErr w:type="spellEnd"/>
      <w:r w:rsidRPr="0054640B">
        <w:rPr>
          <w:sz w:val="22"/>
          <w:szCs w:val="22"/>
        </w:rPr>
        <w:t xml:space="preserve"> la referencia en estas épocas. </w:t>
      </w:r>
      <w:r w:rsidR="0054640B" w:rsidRPr="0054640B">
        <w:rPr>
          <w:sz w:val="22"/>
          <w:szCs w:val="22"/>
        </w:rPr>
        <w:fldChar w:fldCharType="begin"/>
      </w:r>
      <w:r w:rsidR="000F6563">
        <w:rPr>
          <w:sz w:val="22"/>
          <w:szCs w:val="22"/>
        </w:rPr>
        <w:instrText xml:space="preserve"> ADDIN ZOTERO_ITEM CSL_CITATION {"citationID":"Vnvpyazq","properties":{"formattedCitation":"(Carrasco Herrera &amp; Zepeda Herrera, 2023, p. 45)","plainCitation":"(Carrasco Herrera &amp; Zepeda Herrera, 2023, p. 45)","noteIndex":0},"citationItems":[{"id":44,"uris":["http://zotero.org/users/13562074/items/MEDYFG6U"],"itemData":{"id":44,"type":"document","title":"La Educación Financiera Y El Endeudamiento De Los Empleados De Ashonplafa Honduras.","author":[{"family":"Carrasco Herrera","given":"Charles Yackson"},{"family":"Zepeda Herrera","given":"Daniel Alfredo"}],"issued":{"date-parts":[["2023"]]}},"locator":"45","label":"page"}],"schema":"https://github.com/citation-style-language/schema/raw/master/csl-citation.json"} </w:instrText>
      </w:r>
      <w:r w:rsidR="0054640B" w:rsidRPr="0054640B">
        <w:rPr>
          <w:sz w:val="22"/>
          <w:szCs w:val="22"/>
        </w:rPr>
        <w:fldChar w:fldCharType="separate"/>
      </w:r>
      <w:r w:rsidR="0054640B" w:rsidRPr="0054640B">
        <w:rPr>
          <w:sz w:val="22"/>
          <w:szCs w:val="22"/>
        </w:rPr>
        <w:t>(Carrasco Herrera &amp; Zepeda Herrera, 2023, p. 45)</w:t>
      </w:r>
      <w:r w:rsidR="0054640B" w:rsidRPr="0054640B">
        <w:rPr>
          <w:sz w:val="22"/>
          <w:szCs w:val="22"/>
        </w:rPr>
        <w:fldChar w:fldCharType="end"/>
      </w:r>
    </w:p>
    <w:p w14:paraId="0741D9A0" w14:textId="59191C38" w:rsidR="001C3A72" w:rsidRDefault="001C3A72" w:rsidP="001C3A72">
      <w:pPr>
        <w:pStyle w:val="TextoPrincipal"/>
        <w:spacing w:line="360" w:lineRule="auto"/>
      </w:pPr>
      <w:r w:rsidRPr="0054640B">
        <w:rPr>
          <w:b/>
          <w:bCs/>
          <w:i/>
          <w:iCs/>
        </w:rPr>
        <w:t>Postulados:</w:t>
      </w:r>
      <w:r>
        <w:t xml:space="preserve"> </w:t>
      </w:r>
      <w:r w:rsidR="00095E34" w:rsidRPr="00095E34">
        <w:t>La teoría financiera proporciona herramientas para evaluar el riesgo crediticio y financiero, lo cual es crucial para entender las causas subyacentes de la morosidad en microfinancieras. Se pueden aplicar modelos de riesgo y técnicas de evaluación crediticia para identificar los factores que contribuyen a la morosidad, como la capacidad de pago de los prestatarios, la calidad de la cartera de préstamos, y la gestión del riesgo por parte de la institución financiera.</w:t>
      </w:r>
    </w:p>
    <w:p w14:paraId="044677E4" w14:textId="2B04DE37" w:rsidR="001C3A72" w:rsidRDefault="001C3A72" w:rsidP="001C3A72">
      <w:pPr>
        <w:pStyle w:val="TextoPrincipal"/>
        <w:spacing w:line="360" w:lineRule="auto"/>
      </w:pPr>
      <w:r w:rsidRPr="0054640B">
        <w:rPr>
          <w:b/>
          <w:bCs/>
          <w:i/>
          <w:iCs/>
        </w:rPr>
        <w:t>Críticos a la teoría:</w:t>
      </w:r>
      <w:r>
        <w:t xml:space="preserve"> James H. </w:t>
      </w:r>
      <w:proofErr w:type="spellStart"/>
      <w:r>
        <w:t>Lorie</w:t>
      </w:r>
      <w:proofErr w:type="spellEnd"/>
      <w:r>
        <w:t xml:space="preserve"> y Leonard </w:t>
      </w:r>
      <w:proofErr w:type="spellStart"/>
      <w:r>
        <w:t>Savage</w:t>
      </w:r>
      <w:proofErr w:type="spellEnd"/>
      <w:r>
        <w:t xml:space="preserve"> que criticaban la validez de la tasa interna de retorno frente al valor actual neto. También están Franco Modigliani y Merton Miller que consideran que el nivel de endeudamiento de la empresa-persona no influye en el valor de las acciones. Black y Scholes en 1974 y Miller y Scholes en 1978 afirmaban que la política de dividendos era irrelevante incluso considerando los impuestos. Miller en 1977 consideraba que la estructura financiera era irrelevante en el riesgo de la empresa.</w:t>
      </w:r>
    </w:p>
    <w:p w14:paraId="520DD776" w14:textId="294E8C17" w:rsidR="00902A52" w:rsidRPr="00902400" w:rsidRDefault="00095E34" w:rsidP="00902400">
      <w:pPr>
        <w:pStyle w:val="TextoPrincipal"/>
        <w:spacing w:line="360" w:lineRule="auto"/>
      </w:pPr>
      <w:r>
        <w:t>La teoría financiera ofrece principios y prácticas para la gestión eficiente de los recursos financieros, incluyendo la formulación de políticas crediticias adecuadas. Una tesis sobre morosidad en microfinancieras puede examinar cómo las decisiones de financiamiento y la estructura de capital de estas instituciones impactan en su capacidad para mitigar la morosidad.</w:t>
      </w:r>
      <w:r w:rsidR="00D40FD1">
        <w:t xml:space="preserve"> </w:t>
      </w:r>
      <w:r>
        <w:lastRenderedPageBreak/>
        <w:t>Asimismo, se pueden analizar las estrategias de cobranza y refinanciamiento de deudas como herramientas para reducir la morosidad.</w:t>
      </w:r>
    </w:p>
    <w:p w14:paraId="1DC7E7A8" w14:textId="77777777" w:rsidR="00EC1323" w:rsidRDefault="00EC1323" w:rsidP="00902A52">
      <w:pPr>
        <w:spacing w:line="360" w:lineRule="auto"/>
        <w:jc w:val="both"/>
        <w:rPr>
          <w:rFonts w:ascii="Times New Roman" w:hAnsi="Times New Roman" w:cs="Times New Roman"/>
          <w:b/>
          <w:bCs/>
          <w:i/>
          <w:iCs/>
        </w:rPr>
      </w:pPr>
    </w:p>
    <w:p w14:paraId="780FB922" w14:textId="6A1A8AEF" w:rsidR="00902A52" w:rsidRDefault="00902A52" w:rsidP="00902A52">
      <w:pPr>
        <w:pStyle w:val="Ttulo4"/>
        <w:spacing w:line="360" w:lineRule="auto"/>
        <w:ind w:left="0" w:firstLine="1440"/>
        <w:rPr>
          <w:rFonts w:cs="Times New Roman"/>
          <w:b w:val="0"/>
          <w:bCs w:val="0"/>
          <w:i/>
          <w:iCs/>
        </w:rPr>
      </w:pPr>
      <w:bookmarkStart w:id="122" w:name="_Toc166705785"/>
      <w:bookmarkStart w:id="123" w:name="_Toc175171387"/>
      <w:r w:rsidRPr="00CF3771">
        <w:rPr>
          <w:rFonts w:cs="Times New Roman"/>
        </w:rPr>
        <w:t>2.3.1.</w:t>
      </w:r>
      <w:r>
        <w:rPr>
          <w:rFonts w:cs="Times New Roman"/>
        </w:rPr>
        <w:t>2</w:t>
      </w:r>
      <w:r w:rsidRPr="00CF3771">
        <w:rPr>
          <w:rFonts w:cs="Times New Roman"/>
        </w:rPr>
        <w:t xml:space="preserve"> TEORÍA CONTABLE</w:t>
      </w:r>
      <w:bookmarkEnd w:id="122"/>
      <w:bookmarkEnd w:id="123"/>
    </w:p>
    <w:p w14:paraId="0E3E4371" w14:textId="77777777" w:rsidR="00902A52" w:rsidRDefault="00902A52" w:rsidP="00902A52">
      <w:pPr>
        <w:pStyle w:val="TextoPrincipal"/>
        <w:spacing w:line="360" w:lineRule="auto"/>
        <w:rPr>
          <w:b/>
        </w:rPr>
      </w:pPr>
      <w:r w:rsidRPr="00891B6C">
        <w:rPr>
          <w:b/>
          <w:bCs/>
          <w:i/>
          <w:iCs/>
        </w:rPr>
        <w:t>Nombre de la teoría:</w:t>
      </w:r>
      <w:r w:rsidRPr="00891B6C">
        <w:t xml:space="preserve"> </w:t>
      </w:r>
      <w:r>
        <w:t>Teoría Contable</w:t>
      </w:r>
    </w:p>
    <w:p w14:paraId="05AE03B8" w14:textId="77777777" w:rsidR="00902A52" w:rsidRDefault="00902A52" w:rsidP="00902A52">
      <w:pPr>
        <w:pStyle w:val="TextoPrincipal"/>
        <w:spacing w:line="360" w:lineRule="auto"/>
        <w:rPr>
          <w:b/>
        </w:rPr>
      </w:pPr>
      <w:r>
        <w:rPr>
          <w:b/>
          <w:bCs/>
          <w:i/>
          <w:iCs/>
        </w:rPr>
        <w:t xml:space="preserve">Autor (es) </w:t>
      </w:r>
      <w:r w:rsidRPr="00891B6C">
        <w:rPr>
          <w:b/>
          <w:bCs/>
          <w:i/>
          <w:iCs/>
        </w:rPr>
        <w:t>de la teoría:</w:t>
      </w:r>
      <w:r w:rsidRPr="00891B6C">
        <w:t xml:space="preserve"> </w:t>
      </w:r>
      <w:r w:rsidRPr="00CF3771">
        <w:t>Fray Luca Pacioli</w:t>
      </w:r>
    </w:p>
    <w:p w14:paraId="7FD1701F" w14:textId="77777777" w:rsidR="00902A52" w:rsidRDefault="00902A52" w:rsidP="00902A52">
      <w:pPr>
        <w:pStyle w:val="TextoPrincipal"/>
        <w:spacing w:line="360" w:lineRule="auto"/>
        <w:rPr>
          <w:b/>
        </w:rPr>
      </w:pPr>
      <w:r w:rsidRPr="0054640B">
        <w:rPr>
          <w:b/>
          <w:bCs/>
          <w:i/>
          <w:iCs/>
        </w:rPr>
        <w:t>Año de publicación:</w:t>
      </w:r>
      <w:r>
        <w:t xml:space="preserve"> 1,494</w:t>
      </w:r>
    </w:p>
    <w:p w14:paraId="20C76401" w14:textId="77777777" w:rsidR="00902A52" w:rsidRPr="00303F3E" w:rsidRDefault="00902A52" w:rsidP="00902A52">
      <w:pPr>
        <w:pStyle w:val="TextoPrincipal"/>
        <w:spacing w:line="360" w:lineRule="auto"/>
        <w:rPr>
          <w:b/>
        </w:rPr>
      </w:pPr>
      <w:r w:rsidRPr="0054640B">
        <w:rPr>
          <w:b/>
          <w:bCs/>
          <w:i/>
          <w:iCs/>
        </w:rPr>
        <w:t>Lugar donde se publicó por primera vez:</w:t>
      </w:r>
      <w:r>
        <w:t xml:space="preserve"> </w:t>
      </w:r>
      <w:r w:rsidRPr="00CF3771">
        <w:t>Venecia</w:t>
      </w:r>
      <w:r>
        <w:t>,</w:t>
      </w:r>
      <w:r w:rsidRPr="00CF3771">
        <w:t xml:space="preserve"> Italia</w:t>
      </w:r>
    </w:p>
    <w:p w14:paraId="1C542EE4" w14:textId="41FBE108" w:rsidR="00902A52" w:rsidRDefault="00902A52" w:rsidP="00902A52">
      <w:pPr>
        <w:pStyle w:val="TextoPrincipal"/>
        <w:spacing w:line="240" w:lineRule="auto"/>
      </w:pPr>
      <w:r>
        <w:t xml:space="preserve">Según </w:t>
      </w:r>
      <w:r>
        <w:fldChar w:fldCharType="begin"/>
      </w:r>
      <w:r w:rsidR="00C52841">
        <w:instrText xml:space="preserve"> ADDIN ZOTERO_ITEM CSL_CITATION {"citationID":"40sFpoYy","properties":{"formattedCitation":"(Mart\\uc0\\u237{}nez Contreras, 1969)","plainCitation":"(Martínez Contreras, 1969)","dontUpdate":true,"noteIndex":0},"citationItems":[{"id":"mhK3fgOx/yQhqls0R","uris":["http://zotero.org/users/local/rewjbDUP/items/63UNIXYG"],"itemData":{"id":33,"type":"book","event-place":"Mexico, City","ISBN":"HF5625-43","language":"Español","license":"Universidad de Nuevo León","publisher-place":"Mexico, City","title":"Teoría Contable","author":[{"family":"Martínez Contreras","given":"Luis"}],"issued":{"date-parts":[["1969",9]]}}}],"schema":"https://github.com/citation-style-language/schema/raw/master/csl-citation.json"} </w:instrText>
      </w:r>
      <w:r>
        <w:fldChar w:fldCharType="separate"/>
      </w:r>
      <w:r w:rsidRPr="0015722F">
        <w:t xml:space="preserve">Martínez Contreras, </w:t>
      </w:r>
      <w:r>
        <w:t>(</w:t>
      </w:r>
      <w:r w:rsidRPr="0015722F">
        <w:t>1969)</w:t>
      </w:r>
      <w:r>
        <w:fldChar w:fldCharType="end"/>
      </w:r>
      <w:r>
        <w:t xml:space="preserve">, </w:t>
      </w:r>
      <w:r>
        <w:fldChar w:fldCharType="begin"/>
      </w:r>
      <w:r w:rsidR="00C52841">
        <w:instrText xml:space="preserve"> ADDIN ZOTERO_ITEM CSL_CITATION {"citationID":"aCgOPN2F","properties":{"formattedCitation":"(Martinez Contreras, s.\\uc0\\u160{}f.)","plainCitation":"(Martinez Contreras, s. f.)","dontUpdate":true,"noteIndex":0},"citationItems":[{"id":"mhK3fgOx/yQhqls0R","uris":["http://zotero.org/users/local/rewjbDUP/items/63UNIXYG"],"itemData":{"id":33,"type":"book","event-place":"Mexico, City","ISBN":"HF5625-43","language":"Español","license":"Universidad de Nuevo León","publisher-place":"Mexico, City","title":"Teoría Contable","author":[{"family":"Martínez Contreras","given":"Luis"}],"issued":{"date-parts":[["1969",9]]}}}],"schema":"https://github.com/citation-style-language/schema/raw/master/csl-citation.json"} </w:instrText>
      </w:r>
      <w:r w:rsidR="00000000">
        <w:fldChar w:fldCharType="separate"/>
      </w:r>
      <w:r>
        <w:fldChar w:fldCharType="end"/>
      </w:r>
      <w:r w:rsidRPr="00CF3771">
        <w:t xml:space="preserve">La Contabilidad es la técnica científica que </w:t>
      </w:r>
      <w:r>
        <w:tab/>
      </w:r>
      <w:r w:rsidRPr="00CF3771">
        <w:t>tien</w:t>
      </w:r>
      <w:r>
        <w:t>e</w:t>
      </w:r>
      <w:r w:rsidRPr="00CF3771">
        <w:t xml:space="preserve"> por objeto registrar en forma ordenada y </w:t>
      </w:r>
      <w:r>
        <w:t>c</w:t>
      </w:r>
      <w:r w:rsidRPr="00CF3771">
        <w:t xml:space="preserve">ronológica las operaciones que </w:t>
      </w:r>
      <w:r>
        <w:tab/>
      </w:r>
      <w:r w:rsidRPr="00CF3771">
        <w:t xml:space="preserve">realiza una empresa (persona física o moral) para conocer las variaciones de lo </w:t>
      </w:r>
      <w:r>
        <w:tab/>
      </w:r>
      <w:r w:rsidRPr="00CF3771">
        <w:t xml:space="preserve">que tiene, lo que debe y </w:t>
      </w:r>
      <w:r>
        <w:t xml:space="preserve">lo que le pertenece y saber en un momento dado su </w:t>
      </w:r>
      <w:r>
        <w:tab/>
        <w:t>situación financiera para su buena administración y progreso.</w:t>
      </w:r>
      <w:r w:rsidRPr="00CF3771">
        <w:t xml:space="preserve"> </w:t>
      </w:r>
    </w:p>
    <w:p w14:paraId="6497A0F7" w14:textId="77777777" w:rsidR="00902A52" w:rsidRDefault="00902A52" w:rsidP="00902A52">
      <w:pPr>
        <w:pStyle w:val="TextoPrincipal"/>
        <w:spacing w:line="240" w:lineRule="auto"/>
      </w:pPr>
      <w:r>
        <w:t xml:space="preserve">Es una técnica porque es un conjunto de reglas para hacer bien una cosa (registrar) </w:t>
      </w:r>
      <w:r>
        <w:tab/>
        <w:t>con un mínimo esfuerzo y un máximo provecho.</w:t>
      </w:r>
    </w:p>
    <w:p w14:paraId="28071027" w14:textId="77777777" w:rsidR="00902A52" w:rsidRDefault="00902A52" w:rsidP="00902A52">
      <w:pPr>
        <w:pStyle w:val="TextoPrincipal"/>
        <w:spacing w:line="240" w:lineRule="auto"/>
      </w:pPr>
      <w:r>
        <w:t xml:space="preserve">Es científica porque se apoya en otras ciencias para perfeccionarse, tales como las </w:t>
      </w:r>
      <w:r>
        <w:tab/>
        <w:t>matemáticas, el derecho, la economía y la estadística.</w:t>
      </w:r>
    </w:p>
    <w:p w14:paraId="32037BA4" w14:textId="77777777" w:rsidR="00902A52" w:rsidRPr="00E77088" w:rsidRDefault="00902A52" w:rsidP="00902A52">
      <w:pPr>
        <w:pStyle w:val="TextoPrincipal"/>
        <w:spacing w:line="360" w:lineRule="auto"/>
        <w:rPr>
          <w:color w:val="202122"/>
          <w:shd w:val="clear" w:color="auto" w:fill="FFFFFF"/>
        </w:rPr>
      </w:pPr>
      <w:r>
        <w:rPr>
          <w:color w:val="202122"/>
          <w:shd w:val="clear" w:color="auto" w:fill="FFFFFF"/>
        </w:rPr>
        <w:t xml:space="preserve">Como parte de la historia de la contabilidad, </w:t>
      </w:r>
      <w:r w:rsidRPr="00E77088">
        <w:rPr>
          <w:color w:val="202122"/>
          <w:shd w:val="clear" w:color="auto" w:fill="FFFFFF"/>
        </w:rPr>
        <w:t>hacia el año 6000 a.C., ya se contaba con los elementos esenciales para llevar a cabo actividades contables. Entre estos elementos se incluyen la escritura y los números, el concepto de propiedad, un volumen significativo de transacciones comerciales, la existencia de monedas y posiblemente el uso de crédito en los mercados. En este contexto, se hace referencia a una tablilla de barro de origen sumerio, que algunos investigadores han interpretado como registros de ingresos y egresos, utilizando el método de partida simple, mientras que otros más atrevidos sugieren que podría tratarse de registros contables utilizando el método de partida doble.</w:t>
      </w:r>
    </w:p>
    <w:p w14:paraId="4AAB0364" w14:textId="77777777" w:rsidR="00902A52" w:rsidRDefault="00902A52" w:rsidP="00902A52">
      <w:pPr>
        <w:pStyle w:val="TextoPrincipal"/>
        <w:spacing w:line="360" w:lineRule="auto"/>
        <w:rPr>
          <w:color w:val="202122"/>
          <w:shd w:val="clear" w:color="auto" w:fill="FFFFFF"/>
        </w:rPr>
      </w:pPr>
      <w:r w:rsidRPr="00E77088">
        <w:rPr>
          <w:color w:val="202122"/>
          <w:shd w:val="clear" w:color="auto" w:fill="FFFFFF"/>
        </w:rPr>
        <w:t xml:space="preserve">Además, existen evidencias de prácticas contables tanto en Egipto como en Mesopotamia. Pagani, en su obra "I </w:t>
      </w:r>
      <w:proofErr w:type="spellStart"/>
      <w:r w:rsidRPr="00E77088">
        <w:rPr>
          <w:color w:val="202122"/>
          <w:shd w:val="clear" w:color="auto" w:fill="FFFFFF"/>
        </w:rPr>
        <w:t>Libri</w:t>
      </w:r>
      <w:proofErr w:type="spellEnd"/>
      <w:r w:rsidRPr="00E77088">
        <w:rPr>
          <w:color w:val="202122"/>
          <w:shd w:val="clear" w:color="auto" w:fill="FFFFFF"/>
        </w:rPr>
        <w:t xml:space="preserve"> </w:t>
      </w:r>
      <w:proofErr w:type="spellStart"/>
      <w:r w:rsidRPr="00E77088">
        <w:rPr>
          <w:color w:val="202122"/>
          <w:shd w:val="clear" w:color="auto" w:fill="FFFFFF"/>
        </w:rPr>
        <w:t>Comerciali</w:t>
      </w:r>
      <w:proofErr w:type="spellEnd"/>
      <w:r w:rsidRPr="00E77088">
        <w:rPr>
          <w:color w:val="202122"/>
          <w:shd w:val="clear" w:color="auto" w:fill="FFFFFF"/>
        </w:rPr>
        <w:t xml:space="preserve">" (citado por </w:t>
      </w:r>
      <w:proofErr w:type="spellStart"/>
      <w:r w:rsidRPr="00E77088">
        <w:rPr>
          <w:color w:val="202122"/>
          <w:shd w:val="clear" w:color="auto" w:fill="FFFFFF"/>
        </w:rPr>
        <w:t>Gertz</w:t>
      </w:r>
      <w:proofErr w:type="spellEnd"/>
      <w:r w:rsidRPr="00E77088">
        <w:rPr>
          <w:color w:val="202122"/>
          <w:shd w:val="clear" w:color="auto" w:fill="FFFFFF"/>
        </w:rPr>
        <w:t>, 1996:26), menciona que en Atenas del siglo V a.C. había requisitos impuestos por los reyes para que los comerciantes llevaran ciertos libros contables para registrar sus transacciones.</w:t>
      </w:r>
    </w:p>
    <w:p w14:paraId="1DADF1BD" w14:textId="77777777" w:rsidR="00902A52" w:rsidRPr="00265947" w:rsidRDefault="00902A52" w:rsidP="00902A52">
      <w:pPr>
        <w:pStyle w:val="TextoPrincipal"/>
        <w:spacing w:line="360" w:lineRule="auto"/>
        <w:ind w:firstLine="708"/>
        <w:rPr>
          <w:color w:val="202122"/>
          <w:shd w:val="clear" w:color="auto" w:fill="FFFFFF"/>
        </w:rPr>
      </w:pPr>
      <w:r w:rsidRPr="00265947">
        <w:rPr>
          <w:color w:val="202122"/>
          <w:shd w:val="clear" w:color="auto" w:fill="FFFFFF"/>
        </w:rPr>
        <w:t>Los principales postulados de la teoría son:</w:t>
      </w:r>
    </w:p>
    <w:p w14:paraId="351FB468" w14:textId="77777777" w:rsidR="00902A52" w:rsidRPr="00265947" w:rsidRDefault="00902A52" w:rsidP="00D40FD1">
      <w:pPr>
        <w:pStyle w:val="TextoPrincipal"/>
        <w:spacing w:line="360" w:lineRule="auto"/>
        <w:rPr>
          <w:color w:val="202122"/>
          <w:shd w:val="clear" w:color="auto" w:fill="FFFFFF"/>
        </w:rPr>
      </w:pPr>
      <w:r w:rsidRPr="00E77088">
        <w:rPr>
          <w:color w:val="202122"/>
          <w:shd w:val="clear" w:color="auto" w:fill="FFFFFF"/>
        </w:rPr>
        <w:t xml:space="preserve">Entidad Contable: Este postulado establece que la entidad económica y sus transacciones </w:t>
      </w:r>
      <w:r w:rsidRPr="00E77088">
        <w:rPr>
          <w:color w:val="202122"/>
          <w:shd w:val="clear" w:color="auto" w:fill="FFFFFF"/>
        </w:rPr>
        <w:lastRenderedPageBreak/>
        <w:t>deben ser consideradas como distintas de las de sus propietarios u otras entidades. En otras palabras, la contabilidad debe tratar a la empresa como una entidad separada de sus dueños, clientes, proveedores, etc.</w:t>
      </w:r>
    </w:p>
    <w:p w14:paraId="1C58BDF8" w14:textId="77777777" w:rsidR="00902A52" w:rsidRPr="00265947" w:rsidRDefault="00902A52" w:rsidP="00D40FD1">
      <w:pPr>
        <w:pStyle w:val="TextoPrincipal"/>
        <w:spacing w:line="360" w:lineRule="auto"/>
        <w:rPr>
          <w:color w:val="202122"/>
          <w:shd w:val="clear" w:color="auto" w:fill="FFFFFF"/>
        </w:rPr>
      </w:pPr>
      <w:r w:rsidRPr="00E77088">
        <w:rPr>
          <w:color w:val="202122"/>
          <w:shd w:val="clear" w:color="auto" w:fill="FFFFFF"/>
        </w:rPr>
        <w:t>Devengo: El principio de devengo establece que los ingresos y gastos deben ser reconocidos en el momento en que se generan, independientemente de cuándo se reciban o paguen en efectivo. Esto asegura que los estados financieros reflejen con precisión la situación financiera de la entidad en un período determinado.</w:t>
      </w:r>
    </w:p>
    <w:p w14:paraId="137C91D0" w14:textId="77777777" w:rsidR="00902A52" w:rsidRPr="00265947" w:rsidRDefault="00902A52" w:rsidP="00D40FD1">
      <w:pPr>
        <w:pStyle w:val="TextoPrincipal"/>
        <w:spacing w:line="360" w:lineRule="auto"/>
        <w:rPr>
          <w:color w:val="202122"/>
          <w:shd w:val="clear" w:color="auto" w:fill="FFFFFF"/>
        </w:rPr>
      </w:pPr>
      <w:r w:rsidRPr="00E77088">
        <w:rPr>
          <w:color w:val="202122"/>
          <w:shd w:val="clear" w:color="auto" w:fill="FFFFFF"/>
        </w:rPr>
        <w:t>Consistencia: Este postulado sostiene que una empresa debe utilizar métodos contables consistentes a lo largo del tiempo, a menos que exista una razón válida para el cambio. Esto garantiza la comparabilidad de los estados financieros a lo largo de diferentes períodos contables.</w:t>
      </w:r>
    </w:p>
    <w:p w14:paraId="2CF28D50" w14:textId="77777777" w:rsidR="00902A52" w:rsidRPr="00265947" w:rsidRDefault="00902A52" w:rsidP="00D40FD1">
      <w:pPr>
        <w:pStyle w:val="TextoPrincipal"/>
        <w:spacing w:line="360" w:lineRule="auto"/>
        <w:rPr>
          <w:color w:val="202122"/>
          <w:shd w:val="clear" w:color="auto" w:fill="FFFFFF"/>
        </w:rPr>
      </w:pPr>
      <w:r w:rsidRPr="00E77088">
        <w:rPr>
          <w:color w:val="202122"/>
          <w:shd w:val="clear" w:color="auto" w:fill="FFFFFF"/>
        </w:rPr>
        <w:t>Prudencia: El principio de prudencia indica que se deben registrar todas las pérdidas potenciales cuando se conocen, pero solo se deben reconocer los ingresos cuando se han generado de manera segura. Esto ayuda a evitar la sobrevaloración de los activos y la subestimación de las pérdidas potenciales.</w:t>
      </w:r>
    </w:p>
    <w:p w14:paraId="70240B1A" w14:textId="77777777" w:rsidR="00902A52" w:rsidRPr="00265947" w:rsidRDefault="00902A52" w:rsidP="00D40FD1">
      <w:pPr>
        <w:pStyle w:val="TextoPrincipal"/>
        <w:spacing w:line="360" w:lineRule="auto"/>
        <w:rPr>
          <w:color w:val="202122"/>
          <w:shd w:val="clear" w:color="auto" w:fill="FFFFFF"/>
        </w:rPr>
      </w:pPr>
      <w:r w:rsidRPr="00E77088">
        <w:rPr>
          <w:color w:val="202122"/>
          <w:shd w:val="clear" w:color="auto" w:fill="FFFFFF"/>
        </w:rPr>
        <w:t>Uniformidad Monetaria: Este postulado establece que la contabilidad debe realizarse en una unidad monetaria estable, lo que facilita la comparación y la agregación de datos financieros.</w:t>
      </w:r>
    </w:p>
    <w:p w14:paraId="31CAEADE" w14:textId="77777777" w:rsidR="00902A52" w:rsidRPr="00E77088" w:rsidRDefault="00902A52" w:rsidP="00D40FD1">
      <w:pPr>
        <w:pStyle w:val="TextoPrincipal"/>
        <w:spacing w:line="360" w:lineRule="auto"/>
        <w:rPr>
          <w:color w:val="202122"/>
          <w:shd w:val="clear" w:color="auto" w:fill="FFFFFF"/>
        </w:rPr>
      </w:pPr>
      <w:r w:rsidRPr="00E77088">
        <w:rPr>
          <w:color w:val="202122"/>
          <w:shd w:val="clear" w:color="auto" w:fill="FFFFFF"/>
        </w:rPr>
        <w:t>Materialidad: Este principio sostiene que los errores o irregularidades en los estados financieros deben ser considerados significativos si pueden influir en las decisiones económicas de los usuarios de los estados financieros.</w:t>
      </w:r>
    </w:p>
    <w:p w14:paraId="50A11B64" w14:textId="7A6A7EF5" w:rsidR="00902A52" w:rsidRDefault="00902A52" w:rsidP="00D40FD1">
      <w:pPr>
        <w:pStyle w:val="TextoPrincipal"/>
        <w:spacing w:line="360" w:lineRule="auto"/>
        <w:rPr>
          <w:color w:val="202122"/>
          <w:shd w:val="clear" w:color="auto" w:fill="FFFFFF"/>
        </w:rPr>
      </w:pPr>
      <w:r>
        <w:rPr>
          <w:color w:val="202122"/>
          <w:shd w:val="clear" w:color="auto" w:fill="FFFFFF"/>
        </w:rPr>
        <w:t xml:space="preserve">Según </w:t>
      </w:r>
      <w:r>
        <w:rPr>
          <w:color w:val="202122"/>
          <w:shd w:val="clear" w:color="auto" w:fill="FFFFFF"/>
        </w:rPr>
        <w:fldChar w:fldCharType="begin"/>
      </w:r>
      <w:r w:rsidR="00C52841">
        <w:rPr>
          <w:color w:val="202122"/>
          <w:shd w:val="clear" w:color="auto" w:fill="FFFFFF"/>
        </w:rPr>
        <w:instrText xml:space="preserve"> ADDIN ZOTERO_ITEM CSL_CITATION {"citationID":"bKvAho4w","properties":{"unsorted":true,"formattedCitation":"(Ferrera &amp; Alvarenga, 2023)","plainCitation":"(Ferrera &amp; Alvarenga, 2023)","dontUpdate":true,"noteIndex":0},"citationItems":[{"id":"mhK3fgOx/wQzVJDEm","uris":["http://zotero.org/users/local/rewjbDUP/items/MM2NGSWJ"],"itemData":{"id":29,"type":"thesis","event-place":"Tegucigalpa, Honduras","language":"Español","license":"Ana Dolores Ferrera Velásquez Fredy Edgardo Alvarenga","publisher":"UNIVERSIDAD TECNOLÓGICA CENTROAMERICANA (UNITec)","publisher-place":"Tegucigalpa, Honduras","title":"CONTROL Y SEGUIMIENTO DE LA CARTERA DE CRÉDITOS DE BAT HONDURAS DEL PERIODO 2018-2022","author":[{"family":"Ferrera","given":"Ana"},{"family":"Alvarenga","given":"Fredy"}],"issued":{"date-parts":[["2023",7]]}}}],"schema":"https://github.com/citation-style-language/schema/raw/master/csl-citation.json"} </w:instrText>
      </w:r>
      <w:r>
        <w:rPr>
          <w:color w:val="202122"/>
          <w:shd w:val="clear" w:color="auto" w:fill="FFFFFF"/>
        </w:rPr>
        <w:fldChar w:fldCharType="separate"/>
      </w:r>
      <w:r w:rsidRPr="00303F3E">
        <w:t xml:space="preserve">Ferrera &amp; Alvarenga, </w:t>
      </w:r>
      <w:r>
        <w:t>(</w:t>
      </w:r>
      <w:r w:rsidRPr="00303F3E">
        <w:t>2023)</w:t>
      </w:r>
      <w:r>
        <w:rPr>
          <w:color w:val="202122"/>
          <w:shd w:val="clear" w:color="auto" w:fill="FFFFFF"/>
        </w:rPr>
        <w:fldChar w:fldCharType="end"/>
      </w:r>
      <w:r>
        <w:rPr>
          <w:color w:val="202122"/>
          <w:shd w:val="clear" w:color="auto" w:fill="FFFFFF"/>
        </w:rPr>
        <w:t xml:space="preserve">, </w:t>
      </w:r>
      <w:r w:rsidRPr="00E77088">
        <w:rPr>
          <w:color w:val="202122"/>
          <w:shd w:val="clear" w:color="auto" w:fill="FFFFFF"/>
        </w:rPr>
        <w:t xml:space="preserve">Abraham Brilife (1964): Es conocido por sus críticas a la contabilidad y la presentación de informes financieros. Argumentaba que la contabilidad tradicional no era suficientemente transparente y no reflejaba fielmente la realidad económica de las empresas. Además “la economía estadounidense durante la primera mitad del siglo XX pasó de ser una “democracia” a una “república”, en la que el poder y la responsabilidad son delegados por los accionistas a los administradores profesionales” (p.134) Yuju </w:t>
      </w:r>
      <w:proofErr w:type="spellStart"/>
      <w:r w:rsidRPr="00E77088">
        <w:rPr>
          <w:color w:val="202122"/>
          <w:shd w:val="clear" w:color="auto" w:fill="FFFFFF"/>
        </w:rPr>
        <w:t>Ijiri</w:t>
      </w:r>
      <w:proofErr w:type="spellEnd"/>
      <w:r w:rsidRPr="00E77088">
        <w:rPr>
          <w:color w:val="202122"/>
          <w:shd w:val="clear" w:color="auto" w:fill="FFFFFF"/>
        </w:rPr>
        <w:t xml:space="preserve"> (1967): </w:t>
      </w:r>
      <w:proofErr w:type="spellStart"/>
      <w:r w:rsidRPr="00E77088">
        <w:rPr>
          <w:color w:val="202122"/>
          <w:shd w:val="clear" w:color="auto" w:fill="FFFFFF"/>
        </w:rPr>
        <w:t>Ijiri</w:t>
      </w:r>
      <w:proofErr w:type="spellEnd"/>
      <w:r w:rsidRPr="00E77088">
        <w:rPr>
          <w:color w:val="202122"/>
          <w:shd w:val="clear" w:color="auto" w:fill="FFFFFF"/>
        </w:rPr>
        <w:t xml:space="preserve"> es conocido por su crítica a la teoría contable tradicional y su enfoque en el desarrollo de una teoría basada en la contabilidad de recursos. Su obra más conocida es "Teoría de la Medición Contable” “El interés por desarrollar en unidades distintas de la moneda está provocando, fundamentalmente por la necesidad de información interna y para registros extracontables</w:t>
      </w:r>
      <w:r>
        <w:rPr>
          <w:color w:val="202122"/>
          <w:shd w:val="clear" w:color="auto" w:fill="FFFFFF"/>
        </w:rPr>
        <w:t>.</w:t>
      </w:r>
      <w:r w:rsidRPr="00E77088">
        <w:rPr>
          <w:color w:val="202122"/>
          <w:shd w:val="clear" w:color="auto" w:fill="FFFFFF"/>
        </w:rPr>
        <w:t xml:space="preserve"> </w:t>
      </w:r>
    </w:p>
    <w:p w14:paraId="4FA4B5E0" w14:textId="77777777" w:rsidR="00902A52" w:rsidRDefault="00902A52" w:rsidP="00D40FD1">
      <w:pPr>
        <w:pStyle w:val="TextoPrincipal"/>
        <w:spacing w:line="360" w:lineRule="auto"/>
        <w:rPr>
          <w:color w:val="202122"/>
          <w:shd w:val="clear" w:color="auto" w:fill="FFFFFF"/>
        </w:rPr>
      </w:pPr>
      <w:r w:rsidRPr="00E77088">
        <w:rPr>
          <w:color w:val="202122"/>
          <w:shd w:val="clear" w:color="auto" w:fill="FFFFFF"/>
        </w:rPr>
        <w:lastRenderedPageBreak/>
        <w:t xml:space="preserve">Los autores que apoyaron la teoría de la contabilidad Fabio </w:t>
      </w:r>
      <w:proofErr w:type="spellStart"/>
      <w:r>
        <w:rPr>
          <w:color w:val="202122"/>
          <w:shd w:val="clear" w:color="auto" w:fill="FFFFFF"/>
        </w:rPr>
        <w:t>B</w:t>
      </w:r>
      <w:r w:rsidRPr="00E77088">
        <w:rPr>
          <w:color w:val="202122"/>
          <w:shd w:val="clear" w:color="auto" w:fill="FFFFFF"/>
        </w:rPr>
        <w:t>esta</w:t>
      </w:r>
      <w:proofErr w:type="spellEnd"/>
      <w:r w:rsidRPr="00E77088">
        <w:rPr>
          <w:color w:val="202122"/>
          <w:shd w:val="clear" w:color="auto" w:fill="FFFFFF"/>
        </w:rPr>
        <w:t xml:space="preserve">: Quien se centra en la noción del valor, “captada y expresada a través de cuentas y balances, donde la cuenta aparece como un conjunto de valores”. </w:t>
      </w:r>
      <w:proofErr w:type="spellStart"/>
      <w:r w:rsidRPr="00E77088">
        <w:rPr>
          <w:color w:val="202122"/>
          <w:shd w:val="clear" w:color="auto" w:fill="FFFFFF"/>
        </w:rPr>
        <w:t>Besta</w:t>
      </w:r>
      <w:proofErr w:type="spellEnd"/>
      <w:r w:rsidRPr="00E77088">
        <w:rPr>
          <w:color w:val="202122"/>
          <w:shd w:val="clear" w:color="auto" w:fill="FFFFFF"/>
        </w:rPr>
        <w:t xml:space="preserve"> asienta las bases económicas de la contabilidad, otro autor reconocido W. Masi, no aparece un deudor, sin que lo haga al mismo tiempo un acreedor o viceversa (Vásquez, et, al. 2</w:t>
      </w:r>
      <w:r w:rsidRPr="00303F3E">
        <w:rPr>
          <w:color w:val="202122"/>
          <w:shd w:val="clear" w:color="auto" w:fill="FFFFFF"/>
        </w:rPr>
        <w:t>008).</w:t>
      </w:r>
    </w:p>
    <w:p w14:paraId="0D763842" w14:textId="456118FC" w:rsidR="00902A52" w:rsidRDefault="00902A52" w:rsidP="00902400">
      <w:pPr>
        <w:pStyle w:val="TextoPrincipal"/>
        <w:spacing w:line="360" w:lineRule="auto"/>
        <w:rPr>
          <w:color w:val="202122"/>
          <w:shd w:val="clear" w:color="auto" w:fill="FFFFFF"/>
        </w:rPr>
      </w:pPr>
      <w:r w:rsidRPr="00AF206D">
        <w:rPr>
          <w:color w:val="0D0D0D"/>
          <w:shd w:val="clear" w:color="auto" w:fill="FFFFFF"/>
        </w:rPr>
        <w:t>La teoría contable proporciona un marco conceptual y principios fundamentales que son relevantes para la investigación y el análisis de morosidad en instituciones financieras. Su aplicación adecuada garantiza que la información financiera relacionada con la morosidad se presente de manera precisa, transparente y útil para la toma de decisiones.</w:t>
      </w:r>
    </w:p>
    <w:p w14:paraId="0F420E55" w14:textId="77777777" w:rsidR="00902400" w:rsidRDefault="00902400" w:rsidP="00902400">
      <w:pPr>
        <w:pStyle w:val="TextoPrincipal"/>
        <w:spacing w:line="360" w:lineRule="auto"/>
        <w:rPr>
          <w:color w:val="202122"/>
          <w:shd w:val="clear" w:color="auto" w:fill="FFFFFF"/>
        </w:rPr>
      </w:pPr>
    </w:p>
    <w:p w14:paraId="0B58EAA9" w14:textId="3EC0F866" w:rsidR="00902A52" w:rsidRPr="00902A52" w:rsidRDefault="00902A52" w:rsidP="00902A52">
      <w:pPr>
        <w:pStyle w:val="Ttulo4"/>
        <w:spacing w:line="360" w:lineRule="auto"/>
        <w:ind w:left="0" w:firstLine="1440"/>
        <w:rPr>
          <w:color w:val="202122"/>
          <w:shd w:val="clear" w:color="auto" w:fill="FFFFFF"/>
        </w:rPr>
      </w:pPr>
      <w:bookmarkStart w:id="124" w:name="_Toc166705786"/>
      <w:bookmarkStart w:id="125" w:name="_Toc175171388"/>
      <w:r w:rsidRPr="00902A52">
        <w:t>2.3.1.</w:t>
      </w:r>
      <w:r w:rsidR="00623E2C">
        <w:t>3</w:t>
      </w:r>
      <w:r w:rsidRPr="00902A52">
        <w:t xml:space="preserve"> TEORIA DEL CICLO DEL CR</w:t>
      </w:r>
      <w:r>
        <w:t>É</w:t>
      </w:r>
      <w:r w:rsidRPr="00902A52">
        <w:t>DITO</w:t>
      </w:r>
      <w:bookmarkEnd w:id="124"/>
      <w:bookmarkEnd w:id="125"/>
    </w:p>
    <w:p w14:paraId="6D2F0F16" w14:textId="77777777" w:rsidR="00902A52" w:rsidRPr="004927EB" w:rsidRDefault="00902A52" w:rsidP="00902A52">
      <w:pPr>
        <w:pStyle w:val="TextoPrincipal"/>
        <w:spacing w:line="360" w:lineRule="auto"/>
        <w:rPr>
          <w:b/>
        </w:rPr>
      </w:pPr>
      <w:r w:rsidRPr="00891B6C">
        <w:rPr>
          <w:b/>
          <w:bCs/>
          <w:i/>
          <w:iCs/>
        </w:rPr>
        <w:t>Nombre de la teoría:</w:t>
      </w:r>
      <w:r w:rsidRPr="00891B6C">
        <w:t xml:space="preserve"> </w:t>
      </w:r>
      <w:r>
        <w:t>Teoría del Ciclo del Crédito</w:t>
      </w:r>
    </w:p>
    <w:p w14:paraId="4162B9F3" w14:textId="77777777" w:rsidR="00902A52" w:rsidRDefault="00902A52" w:rsidP="00902A52">
      <w:pPr>
        <w:pStyle w:val="TextoPrincipal"/>
        <w:spacing w:line="360" w:lineRule="auto"/>
      </w:pPr>
      <w:r>
        <w:rPr>
          <w:b/>
          <w:bCs/>
          <w:i/>
          <w:iCs/>
        </w:rPr>
        <w:t xml:space="preserve">Autor (es) </w:t>
      </w:r>
      <w:r w:rsidRPr="00891B6C">
        <w:rPr>
          <w:b/>
          <w:bCs/>
          <w:i/>
          <w:iCs/>
        </w:rPr>
        <w:t>de la teoría:</w:t>
      </w:r>
      <w:r w:rsidRPr="00891B6C">
        <w:t xml:space="preserve"> </w:t>
      </w:r>
      <w:r>
        <w:t>Joseph Schumpeter</w:t>
      </w:r>
    </w:p>
    <w:p w14:paraId="03847BF8" w14:textId="77777777" w:rsidR="00902A52" w:rsidRDefault="00902A52" w:rsidP="00902A52">
      <w:pPr>
        <w:pStyle w:val="TextoPrincipal"/>
        <w:spacing w:line="360" w:lineRule="auto"/>
        <w:rPr>
          <w:rFonts w:ascii="Arial" w:hAnsi="Arial" w:cs="Arial"/>
          <w:color w:val="202122"/>
          <w:sz w:val="21"/>
          <w:szCs w:val="21"/>
          <w:shd w:val="clear" w:color="auto" w:fill="FFFFFF"/>
        </w:rPr>
      </w:pPr>
      <w:r w:rsidRPr="0054640B">
        <w:rPr>
          <w:b/>
          <w:bCs/>
          <w:i/>
          <w:iCs/>
        </w:rPr>
        <w:t>Año de publicación:</w:t>
      </w:r>
      <w:r>
        <w:t xml:space="preserve"> 1930</w:t>
      </w:r>
    </w:p>
    <w:p w14:paraId="0C9480A9" w14:textId="77777777" w:rsidR="00902A52" w:rsidRDefault="00902A52" w:rsidP="00902A52">
      <w:pPr>
        <w:pStyle w:val="TextoPrincipal"/>
        <w:spacing w:line="360" w:lineRule="auto"/>
      </w:pPr>
      <w:r w:rsidRPr="0054640B">
        <w:rPr>
          <w:b/>
          <w:bCs/>
          <w:i/>
          <w:iCs/>
        </w:rPr>
        <w:t>Lugar donde se publicó por primera vez:</w:t>
      </w:r>
      <w:r>
        <w:t xml:space="preserve"> Europa</w:t>
      </w:r>
    </w:p>
    <w:p w14:paraId="38188346" w14:textId="77777777" w:rsidR="00902A52" w:rsidRDefault="00902A52" w:rsidP="00D40FD1">
      <w:pPr>
        <w:pStyle w:val="TextoPrincipal"/>
        <w:spacing w:line="360" w:lineRule="auto"/>
        <w:rPr>
          <w:color w:val="202122"/>
          <w:shd w:val="clear" w:color="auto" w:fill="FFFFFF"/>
        </w:rPr>
      </w:pPr>
      <w:r w:rsidRPr="0046527D">
        <w:rPr>
          <w:color w:val="202122"/>
          <w:shd w:val="clear" w:color="auto" w:fill="FFFFFF"/>
        </w:rPr>
        <w:t>Historia de la teoría:</w:t>
      </w:r>
      <w:r w:rsidRPr="003439BE">
        <w:rPr>
          <w:rFonts w:asciiTheme="minorHAnsi" w:hAnsiTheme="minorHAnsi" w:cstheme="minorBidi"/>
          <w:kern w:val="2"/>
        </w:rPr>
        <w:t xml:space="preserve"> </w:t>
      </w:r>
      <w:r w:rsidRPr="0046527D">
        <w:rPr>
          <w:color w:val="202122"/>
          <w:shd w:val="clear" w:color="auto" w:fill="FFFFFF"/>
        </w:rPr>
        <w:t xml:space="preserve">Las ideas relacionadas con el ciclo crediticio tienen sus raíces en la obra de economistas y teóricos financieros del siglo XIX. Por ejemplo, el economista británico Walter </w:t>
      </w:r>
      <w:proofErr w:type="spellStart"/>
      <w:r w:rsidRPr="0046527D">
        <w:rPr>
          <w:color w:val="202122"/>
          <w:shd w:val="clear" w:color="auto" w:fill="FFFFFF"/>
        </w:rPr>
        <w:t>Bagehot</w:t>
      </w:r>
      <w:proofErr w:type="spellEnd"/>
      <w:r w:rsidRPr="0046527D">
        <w:rPr>
          <w:color w:val="202122"/>
          <w:shd w:val="clear" w:color="auto" w:fill="FFFFFF"/>
        </w:rPr>
        <w:t xml:space="preserve"> escribió en 1873 sobre el papel del crédito en las crisis financieras, argumentando que los períodos de expansión crediticia llevaban a la sobreinversión y a una posterior contracción.</w:t>
      </w:r>
    </w:p>
    <w:p w14:paraId="1F70F0E5" w14:textId="77777777" w:rsidR="00902A52" w:rsidRDefault="00902A52" w:rsidP="00D40FD1">
      <w:pPr>
        <w:pStyle w:val="TextoPrincipal"/>
        <w:spacing w:line="360" w:lineRule="auto"/>
        <w:rPr>
          <w:color w:val="202122"/>
          <w:shd w:val="clear" w:color="auto" w:fill="FFFFFF"/>
        </w:rPr>
      </w:pPr>
      <w:r w:rsidRPr="0046527D">
        <w:rPr>
          <w:color w:val="202122"/>
          <w:shd w:val="clear" w:color="auto" w:fill="FFFFFF"/>
        </w:rPr>
        <w:t xml:space="preserve"> Teoría austriaca del ciclo económico: A principios del siglo XX, la teoría austriaca del ciclo económico, desarrollada por economistas como Ludwig </w:t>
      </w:r>
      <w:proofErr w:type="spellStart"/>
      <w:r w:rsidRPr="0046527D">
        <w:rPr>
          <w:color w:val="202122"/>
          <w:shd w:val="clear" w:color="auto" w:fill="FFFFFF"/>
        </w:rPr>
        <w:t>von</w:t>
      </w:r>
      <w:proofErr w:type="spellEnd"/>
      <w:r w:rsidRPr="0046527D">
        <w:rPr>
          <w:color w:val="202122"/>
          <w:shd w:val="clear" w:color="auto" w:fill="FFFFFF"/>
        </w:rPr>
        <w:t xml:space="preserve"> Mises y Friedrich Hayek, proporcionó una explicación detallada de los ciclos económicos y su relación con el crédito. Esta teoría sostiene que los bancos centrales y la expansión crediticia artificial generan desequilibrios y distorsiones en la estructura productiva de la economía, lo que finalmente conduce a una recesión o depresión. </w:t>
      </w:r>
    </w:p>
    <w:p w14:paraId="4AD63A36" w14:textId="77777777" w:rsidR="00902A52" w:rsidRPr="0046527D" w:rsidRDefault="00902A52" w:rsidP="00D40FD1">
      <w:pPr>
        <w:pStyle w:val="TextoPrincipal"/>
        <w:spacing w:line="360" w:lineRule="auto"/>
        <w:rPr>
          <w:color w:val="202122"/>
          <w:shd w:val="clear" w:color="auto" w:fill="FFFFFF"/>
        </w:rPr>
      </w:pPr>
      <w:r w:rsidRPr="0046527D">
        <w:rPr>
          <w:color w:val="202122"/>
          <w:shd w:val="clear" w:color="auto" w:fill="FFFFFF"/>
        </w:rPr>
        <w:t xml:space="preserve">Keynesianismo y la teoría monetaria moderna: Durante la Gran Depresión de la década de 1930, las ideas keynesianas sobre la demanda agregada y el papel del gobierno en la estabilización económica ganaron prominencia. El enfoque keynesiano no se centró tanto en los ciclos </w:t>
      </w:r>
      <w:r w:rsidRPr="0046527D">
        <w:rPr>
          <w:color w:val="202122"/>
          <w:shd w:val="clear" w:color="auto" w:fill="FFFFFF"/>
        </w:rPr>
        <w:lastRenderedPageBreak/>
        <w:t>crediticios, sino en el papel de la demanda agregada y la política fiscal para combatir las recesiones. Posteriormente, la teoría monetaria moderna ha abordado los efectos del crédito y la política monetaria en los ciclos económicos.</w:t>
      </w:r>
    </w:p>
    <w:p w14:paraId="17840C3A" w14:textId="77777777" w:rsidR="00902A52" w:rsidRDefault="00902A52" w:rsidP="00D40FD1">
      <w:pPr>
        <w:pStyle w:val="TextoPrincipal"/>
        <w:spacing w:line="360" w:lineRule="auto"/>
        <w:rPr>
          <w:color w:val="202122"/>
          <w:shd w:val="clear" w:color="auto" w:fill="FFFFFF"/>
        </w:rPr>
      </w:pPr>
      <w:r w:rsidRPr="0046527D">
        <w:rPr>
          <w:color w:val="202122"/>
          <w:shd w:val="clear" w:color="auto" w:fill="FFFFFF"/>
        </w:rPr>
        <w:t>Postulados de la teoría:</w:t>
      </w:r>
      <w:r w:rsidRPr="003439BE">
        <w:rPr>
          <w:kern w:val="2"/>
        </w:rPr>
        <w:t xml:space="preserve"> </w:t>
      </w:r>
      <w:r w:rsidRPr="0046527D">
        <w:rPr>
          <w:color w:val="202122"/>
          <w:shd w:val="clear" w:color="auto" w:fill="FFFFFF"/>
        </w:rPr>
        <w:t xml:space="preserve">El sobreendeudamiento es un factor clave en los ciclos crediticios: Según esta teoría, el aumento excesivo de la deuda es uno de los principales desencadenantes de los ciclos crediticios. Durante los períodos de expansión crediticia, los agentes económicos tienden a acumular deudas en exceso, lo que lleva a una sobreinversión ya una sobrevaloración de los activos. A medida que las deudas se vuelven insostenibles, se produce una contracción crediticia y una caída en los precios de los activos, lo que desencadena una recesión (Reinhart, et, al. 2012). </w:t>
      </w:r>
    </w:p>
    <w:p w14:paraId="3FD5C20C" w14:textId="77777777" w:rsidR="00902A52" w:rsidRPr="0046527D" w:rsidRDefault="00902A52" w:rsidP="00D40FD1">
      <w:pPr>
        <w:pStyle w:val="TextoPrincipal"/>
        <w:spacing w:line="360" w:lineRule="auto"/>
        <w:rPr>
          <w:color w:val="202122"/>
          <w:shd w:val="clear" w:color="auto" w:fill="FFFFFF"/>
        </w:rPr>
      </w:pPr>
      <w:r w:rsidRPr="0046527D">
        <w:rPr>
          <w:color w:val="202122"/>
          <w:shd w:val="clear" w:color="auto" w:fill="FFFFFF"/>
        </w:rPr>
        <w:t>Ciclo crediticio está relacionado con el ciclo económico: La teoría del ciclo crediticio sostiene que los ciclos de expansión y contracción del crédito están estrechamente vinculados con los ciclos económicos. Durante los períodos de expansión crediticia, la economía experimenta un crecimiento acelerado, mientras que, en los períodos de contracción crediticia, se produce una desaceleración económica (Diaz, 2022)</w:t>
      </w:r>
    </w:p>
    <w:p w14:paraId="068209F3" w14:textId="77777777" w:rsidR="00902A52" w:rsidRPr="0046527D" w:rsidRDefault="00902A52" w:rsidP="00D40FD1">
      <w:pPr>
        <w:pStyle w:val="TextoPrincipal"/>
        <w:spacing w:line="360" w:lineRule="auto"/>
        <w:rPr>
          <w:color w:val="202122"/>
          <w:shd w:val="clear" w:color="auto" w:fill="FFFFFF"/>
        </w:rPr>
      </w:pPr>
      <w:r w:rsidRPr="0046527D">
        <w:rPr>
          <w:color w:val="202122"/>
          <w:shd w:val="clear" w:color="auto" w:fill="FFFFFF"/>
        </w:rPr>
        <w:t>Criticas de la teoría:</w:t>
      </w:r>
      <w:r w:rsidRPr="003439BE">
        <w:rPr>
          <w:rFonts w:asciiTheme="minorHAnsi" w:hAnsiTheme="minorHAnsi" w:cstheme="minorBidi"/>
          <w:kern w:val="2"/>
        </w:rPr>
        <w:t xml:space="preserve"> </w:t>
      </w:r>
      <w:proofErr w:type="spellStart"/>
      <w:r w:rsidRPr="0046527D">
        <w:rPr>
          <w:color w:val="202122"/>
          <w:shd w:val="clear" w:color="auto" w:fill="FFFFFF"/>
        </w:rPr>
        <w:t>Hyman</w:t>
      </w:r>
      <w:proofErr w:type="spellEnd"/>
      <w:r w:rsidRPr="0046527D">
        <w:rPr>
          <w:color w:val="202122"/>
          <w:shd w:val="clear" w:color="auto" w:fill="FFFFFF"/>
        </w:rPr>
        <w:t xml:space="preserve"> Minsky: Economista estadounidense conocido por su investigación sobre las crisis financieras y sus contribuciones a la teoría del ciclo crediticio. Minsky argumentó que la hipótesis de estabilidad financiera de los enfoques neoclásicos y monetaristas no refleja la realidad de los mercados financieros. Estos enfoques asumen que los agentes económicos son racionales y que los mercados financieros son eficientes y estables. Sin embargo, Minsky sostuvo que los mercados financieros son inherentemente inestables y propensos a crisis periódicas (Diaz, 2022)</w:t>
      </w:r>
    </w:p>
    <w:p w14:paraId="45C45C9C" w14:textId="77777777" w:rsidR="00902A52" w:rsidRDefault="00902A52" w:rsidP="00D40FD1">
      <w:pPr>
        <w:pStyle w:val="TextoPrincipal"/>
        <w:spacing w:line="360" w:lineRule="auto"/>
      </w:pPr>
      <w:r w:rsidRPr="0046527D">
        <w:t>Joseph Schumpeter: Economista austríaco, cuestionó la teoría del ciclo crediticio al argumentar que se centra demasiado en los aspectos monetarios y descuida el papel del emprendimiento y la innovación en el desarrollo económico y los ciclos</w:t>
      </w:r>
      <w:r>
        <w:t>.</w:t>
      </w:r>
    </w:p>
    <w:p w14:paraId="1921A264" w14:textId="77777777" w:rsidR="00902A52" w:rsidRDefault="00902A52" w:rsidP="00D40FD1">
      <w:pPr>
        <w:pStyle w:val="TextoPrincipal"/>
        <w:spacing w:line="360" w:lineRule="auto"/>
      </w:pPr>
      <w:r>
        <w:t xml:space="preserve">Axel </w:t>
      </w:r>
      <w:proofErr w:type="spellStart"/>
      <w:r>
        <w:t>Leijonhufvud</w:t>
      </w:r>
      <w:proofErr w:type="spellEnd"/>
      <w:r>
        <w:t>: Criticó la teoría del ciclo crediticio al argumentar que se basa en supuestos simplificados y no tiene en cuenta la complejidad y la incertidumbre.</w:t>
      </w:r>
    </w:p>
    <w:p w14:paraId="3A5FA860" w14:textId="77777777" w:rsidR="00902A52" w:rsidRDefault="00902A52" w:rsidP="00D40FD1">
      <w:pPr>
        <w:pStyle w:val="TextoPrincipal"/>
        <w:spacing w:line="360" w:lineRule="auto"/>
      </w:pPr>
      <w:r w:rsidRPr="00E477E3">
        <w:rPr>
          <w:color w:val="202122"/>
          <w:shd w:val="clear" w:color="auto" w:fill="FFFFFF"/>
        </w:rPr>
        <w:t xml:space="preserve">Autores que apoyan la teoría: Clive W.J. </w:t>
      </w:r>
      <w:proofErr w:type="spellStart"/>
      <w:r w:rsidRPr="00E477E3">
        <w:rPr>
          <w:color w:val="202122"/>
          <w:shd w:val="clear" w:color="auto" w:fill="FFFFFF"/>
        </w:rPr>
        <w:t>Granger</w:t>
      </w:r>
      <w:proofErr w:type="spellEnd"/>
      <w:r w:rsidRPr="00E477E3">
        <w:rPr>
          <w:color w:val="202122"/>
          <w:shd w:val="clear" w:color="auto" w:fill="FFFFFF"/>
        </w:rPr>
        <w:t xml:space="preserve">: Este economista británico recibió el Premio Nobel de Economía en 2003 por su trabajo sobre el análisis de series temporales. </w:t>
      </w:r>
      <w:proofErr w:type="spellStart"/>
      <w:r w:rsidRPr="00E477E3">
        <w:rPr>
          <w:color w:val="202122"/>
          <w:shd w:val="clear" w:color="auto" w:fill="FFFFFF"/>
        </w:rPr>
        <w:t>Granger</w:t>
      </w:r>
      <w:proofErr w:type="spellEnd"/>
      <w:r w:rsidRPr="00E477E3">
        <w:rPr>
          <w:color w:val="202122"/>
          <w:shd w:val="clear" w:color="auto" w:fill="FFFFFF"/>
        </w:rPr>
        <w:t xml:space="preserve"> y su colega Robert F. </w:t>
      </w:r>
      <w:proofErr w:type="spellStart"/>
      <w:r w:rsidRPr="00E477E3">
        <w:rPr>
          <w:color w:val="202122"/>
          <w:shd w:val="clear" w:color="auto" w:fill="FFFFFF"/>
        </w:rPr>
        <w:t>Engle</w:t>
      </w:r>
      <w:proofErr w:type="spellEnd"/>
      <w:r w:rsidRPr="00E477E3">
        <w:rPr>
          <w:color w:val="202122"/>
          <w:shd w:val="clear" w:color="auto" w:fill="FFFFFF"/>
        </w:rPr>
        <w:t xml:space="preserve"> desarrollaron modelos econométricos para estudiar la relación entre </w:t>
      </w:r>
      <w:r w:rsidRPr="00E477E3">
        <w:rPr>
          <w:color w:val="202122"/>
          <w:shd w:val="clear" w:color="auto" w:fill="FFFFFF"/>
        </w:rPr>
        <w:lastRenderedPageBreak/>
        <w:t>el crédito y el ciclo económico, mostrando cómo los cambios en el crédito pueden afectar la actividad económica.</w:t>
      </w:r>
    </w:p>
    <w:p w14:paraId="02CB40BF" w14:textId="77777777" w:rsidR="00902A52" w:rsidRDefault="00902A52" w:rsidP="00D40FD1">
      <w:pPr>
        <w:pStyle w:val="TextoPrincipal"/>
        <w:spacing w:line="360" w:lineRule="auto"/>
      </w:pPr>
      <w:r w:rsidRPr="00E477E3">
        <w:rPr>
          <w:color w:val="202122"/>
          <w:shd w:val="clear" w:color="auto" w:fill="FFFFFF"/>
        </w:rPr>
        <w:t>John Kenneth Galbraith: Este economista canadiense-estadounidense es conocido por su obra "La Gran Crisis de 1929", donde explora las causas y consecuencias de la Gran Depresión. Galbraith argumenta que los ciclos crediticios desempeñaron un papel crucial en la crisis económica, con un exceso de endeudamiento que llevó al colapso del mercado bursátil y al inicio de la recesión.</w:t>
      </w:r>
    </w:p>
    <w:p w14:paraId="65ABBD03" w14:textId="037E35C7" w:rsidR="00902A52" w:rsidRDefault="00902A52" w:rsidP="00902400">
      <w:pPr>
        <w:pStyle w:val="TextoPrincipal"/>
        <w:spacing w:line="360" w:lineRule="auto"/>
        <w:rPr>
          <w:color w:val="202122"/>
          <w:shd w:val="clear" w:color="auto" w:fill="FFFFFF"/>
        </w:rPr>
      </w:pPr>
      <w:r>
        <w:rPr>
          <w:color w:val="202122"/>
          <w:shd w:val="clear" w:color="auto" w:fill="FFFFFF"/>
        </w:rPr>
        <w:t>La</w:t>
      </w:r>
      <w:r w:rsidRPr="00146DA5">
        <w:rPr>
          <w:color w:val="202122"/>
          <w:shd w:val="clear" w:color="auto" w:fill="FFFFFF"/>
        </w:rPr>
        <w:t xml:space="preserve"> teoría del ciclo crediticio proporciona un marco conceptual para comprender los factores que influyen en los niveles de morosidad en las instituciones financieras, y su aplicación puede ser fundamental en la investigación y el análisis de morosidad en diversos contextos financieros.</w:t>
      </w:r>
    </w:p>
    <w:p w14:paraId="3FC702E9" w14:textId="77777777" w:rsidR="00902400" w:rsidRPr="00902400" w:rsidRDefault="00902400" w:rsidP="00902400">
      <w:pPr>
        <w:pStyle w:val="TextoPrincipal"/>
        <w:spacing w:line="360" w:lineRule="auto"/>
        <w:rPr>
          <w:color w:val="202122"/>
          <w:shd w:val="clear" w:color="auto" w:fill="FFFFFF"/>
        </w:rPr>
      </w:pPr>
    </w:p>
    <w:p w14:paraId="48BFC51C" w14:textId="069907E2" w:rsidR="005148DA" w:rsidRPr="009435F4" w:rsidRDefault="005148DA" w:rsidP="005148DA">
      <w:pPr>
        <w:keepNext/>
        <w:keepLines/>
        <w:spacing w:before="80" w:after="40" w:line="360" w:lineRule="auto"/>
        <w:ind w:firstLine="1440"/>
        <w:outlineLvl w:val="3"/>
        <w:rPr>
          <w:rFonts w:ascii="Times New Roman" w:eastAsia="Times New Roman" w:hAnsi="Times New Roman" w:cs="Times New Roman"/>
          <w:b/>
          <w:iCs/>
          <w:sz w:val="24"/>
          <w:szCs w:val="24"/>
        </w:rPr>
      </w:pPr>
      <w:bookmarkStart w:id="126" w:name="_Toc166705787"/>
      <w:bookmarkStart w:id="127" w:name="_Toc175171389"/>
      <w:r w:rsidRPr="009435F4">
        <w:rPr>
          <w:rFonts w:ascii="Times New Roman" w:eastAsia="Times New Roman" w:hAnsi="Times New Roman" w:cs="Times New Roman"/>
          <w:b/>
          <w:iCs/>
          <w:sz w:val="24"/>
          <w:szCs w:val="24"/>
        </w:rPr>
        <w:t>2.3.1.4 TEORÍA DE LA TASA DE INTER</w:t>
      </w:r>
      <w:r w:rsidR="005F56ED" w:rsidRPr="009435F4">
        <w:rPr>
          <w:rFonts w:ascii="Times New Roman" w:eastAsia="Times New Roman" w:hAnsi="Times New Roman" w:cs="Times New Roman"/>
          <w:b/>
          <w:iCs/>
          <w:sz w:val="24"/>
          <w:szCs w:val="24"/>
        </w:rPr>
        <w:t>É</w:t>
      </w:r>
      <w:r w:rsidRPr="009435F4">
        <w:rPr>
          <w:rFonts w:ascii="Times New Roman" w:eastAsia="Times New Roman" w:hAnsi="Times New Roman" w:cs="Times New Roman"/>
          <w:b/>
          <w:iCs/>
          <w:sz w:val="24"/>
          <w:szCs w:val="24"/>
        </w:rPr>
        <w:t>S</w:t>
      </w:r>
      <w:bookmarkEnd w:id="126"/>
      <w:bookmarkEnd w:id="127"/>
    </w:p>
    <w:p w14:paraId="7FF99E22" w14:textId="77777777" w:rsidR="005148DA" w:rsidRPr="009435F4" w:rsidRDefault="005148DA" w:rsidP="005148DA">
      <w:pPr>
        <w:spacing w:line="360" w:lineRule="auto"/>
        <w:ind w:firstLine="720"/>
        <w:jc w:val="both"/>
        <w:rPr>
          <w:rFonts w:ascii="Times New Roman" w:hAnsi="Times New Roman" w:cs="Times New Roman"/>
          <w:b/>
          <w:sz w:val="24"/>
          <w:szCs w:val="24"/>
        </w:rPr>
      </w:pPr>
      <w:r w:rsidRPr="009435F4">
        <w:rPr>
          <w:rFonts w:ascii="Times New Roman" w:hAnsi="Times New Roman" w:cs="Times New Roman"/>
          <w:b/>
          <w:bCs/>
          <w:i/>
          <w:iCs/>
          <w:sz w:val="24"/>
          <w:szCs w:val="24"/>
        </w:rPr>
        <w:t>Nombre de la teoría:</w:t>
      </w:r>
      <w:r w:rsidRPr="009435F4">
        <w:rPr>
          <w:rFonts w:ascii="Times New Roman" w:hAnsi="Times New Roman" w:cs="Times New Roman"/>
          <w:sz w:val="24"/>
          <w:szCs w:val="24"/>
        </w:rPr>
        <w:t xml:space="preserve"> </w:t>
      </w:r>
      <w:r w:rsidRPr="009435F4">
        <w:rPr>
          <w:rFonts w:ascii="Times New Roman" w:hAnsi="Times New Roman" w:cs="Times New Roman"/>
          <w:bCs/>
          <w:sz w:val="24"/>
          <w:szCs w:val="24"/>
        </w:rPr>
        <w:t>La Teoría de la Tasa de Interés y la Preferencia por la Liquidez</w:t>
      </w:r>
    </w:p>
    <w:p w14:paraId="26346BD3" w14:textId="77777777" w:rsidR="005148DA" w:rsidRPr="009435F4" w:rsidRDefault="005148DA" w:rsidP="005148DA">
      <w:pPr>
        <w:spacing w:line="360" w:lineRule="auto"/>
        <w:ind w:firstLine="720"/>
        <w:jc w:val="both"/>
        <w:rPr>
          <w:rFonts w:ascii="Times New Roman" w:hAnsi="Times New Roman" w:cs="Times New Roman"/>
          <w:color w:val="000000" w:themeColor="text1"/>
          <w:sz w:val="24"/>
          <w:szCs w:val="24"/>
        </w:rPr>
      </w:pPr>
      <w:r w:rsidRPr="009435F4">
        <w:rPr>
          <w:rFonts w:ascii="Times New Roman" w:hAnsi="Times New Roman" w:cs="Times New Roman"/>
          <w:b/>
          <w:bCs/>
          <w:i/>
          <w:iCs/>
          <w:sz w:val="24"/>
          <w:szCs w:val="24"/>
        </w:rPr>
        <w:t>Autor (es) de la teoría:</w:t>
      </w:r>
      <w:r w:rsidRPr="009435F4">
        <w:rPr>
          <w:rFonts w:ascii="Times New Roman" w:hAnsi="Times New Roman" w:cs="Times New Roman"/>
          <w:sz w:val="24"/>
          <w:szCs w:val="24"/>
        </w:rPr>
        <w:t xml:space="preserve"> </w:t>
      </w:r>
      <w:hyperlink r:id="rId15" w:tooltip="John Maynard Keynes" w:history="1">
        <w:r w:rsidRPr="009435F4">
          <w:rPr>
            <w:rStyle w:val="Hipervnculo"/>
            <w:rFonts w:ascii="Times New Roman" w:hAnsi="Times New Roman" w:cs="Times New Roman"/>
            <w:color w:val="000000" w:themeColor="text1"/>
            <w:sz w:val="24"/>
            <w:szCs w:val="24"/>
            <w:u w:val="none"/>
          </w:rPr>
          <w:t>John Maynard Keynes</w:t>
        </w:r>
      </w:hyperlink>
      <w:r w:rsidRPr="009435F4">
        <w:rPr>
          <w:rFonts w:ascii="Times New Roman" w:hAnsi="Times New Roman" w:cs="Times New Roman"/>
          <w:color w:val="000000" w:themeColor="text1"/>
          <w:sz w:val="24"/>
          <w:szCs w:val="24"/>
        </w:rPr>
        <w:t> </w:t>
      </w:r>
    </w:p>
    <w:p w14:paraId="44193FAA" w14:textId="77777777" w:rsidR="005148DA" w:rsidRPr="009435F4" w:rsidRDefault="005148DA" w:rsidP="005148DA">
      <w:pPr>
        <w:spacing w:line="360" w:lineRule="auto"/>
        <w:ind w:firstLine="720"/>
        <w:jc w:val="both"/>
        <w:rPr>
          <w:rFonts w:ascii="Times New Roman" w:hAnsi="Times New Roman" w:cs="Times New Roman"/>
          <w:color w:val="000000" w:themeColor="text1"/>
          <w:sz w:val="24"/>
          <w:szCs w:val="24"/>
        </w:rPr>
      </w:pPr>
      <w:r w:rsidRPr="009435F4">
        <w:rPr>
          <w:rFonts w:ascii="Times New Roman" w:hAnsi="Times New Roman" w:cs="Times New Roman"/>
          <w:b/>
          <w:bCs/>
          <w:i/>
          <w:iCs/>
          <w:color w:val="000000" w:themeColor="text1"/>
          <w:sz w:val="24"/>
          <w:szCs w:val="24"/>
        </w:rPr>
        <w:t>Año de publicación:</w:t>
      </w:r>
      <w:r w:rsidRPr="009435F4">
        <w:rPr>
          <w:rFonts w:ascii="Times New Roman" w:hAnsi="Times New Roman" w:cs="Times New Roman"/>
          <w:b/>
          <w:bCs/>
          <w:color w:val="000000" w:themeColor="text1"/>
          <w:sz w:val="24"/>
          <w:szCs w:val="24"/>
        </w:rPr>
        <w:t xml:space="preserve"> </w:t>
      </w:r>
      <w:r w:rsidRPr="009435F4">
        <w:rPr>
          <w:rFonts w:ascii="Times New Roman" w:hAnsi="Times New Roman" w:cs="Times New Roman"/>
          <w:color w:val="000000" w:themeColor="text1"/>
          <w:sz w:val="24"/>
          <w:szCs w:val="24"/>
        </w:rPr>
        <w:t>1936</w:t>
      </w:r>
    </w:p>
    <w:p w14:paraId="17AC3793" w14:textId="77777777" w:rsidR="005148DA" w:rsidRPr="009435F4" w:rsidRDefault="005148DA" w:rsidP="005148DA">
      <w:pPr>
        <w:spacing w:line="360" w:lineRule="auto"/>
        <w:ind w:firstLine="720"/>
        <w:jc w:val="both"/>
        <w:rPr>
          <w:rFonts w:ascii="Times New Roman" w:hAnsi="Times New Roman" w:cs="Times New Roman"/>
          <w:color w:val="000000" w:themeColor="text1"/>
          <w:sz w:val="24"/>
          <w:szCs w:val="24"/>
        </w:rPr>
      </w:pPr>
      <w:r w:rsidRPr="009435F4">
        <w:rPr>
          <w:rFonts w:ascii="Times New Roman" w:hAnsi="Times New Roman" w:cs="Times New Roman"/>
          <w:b/>
          <w:bCs/>
          <w:i/>
          <w:iCs/>
          <w:color w:val="000000" w:themeColor="text1"/>
          <w:sz w:val="24"/>
          <w:szCs w:val="24"/>
        </w:rPr>
        <w:t>Lugar donde se publicó por primera vez:</w:t>
      </w:r>
      <w:r w:rsidRPr="009435F4">
        <w:rPr>
          <w:rFonts w:ascii="Times New Roman" w:hAnsi="Times New Roman" w:cs="Times New Roman"/>
          <w:color w:val="000000" w:themeColor="text1"/>
          <w:sz w:val="24"/>
          <w:szCs w:val="24"/>
        </w:rPr>
        <w:t xml:space="preserve"> Reino Unido, en su libro </w:t>
      </w:r>
      <w:hyperlink r:id="rId16" w:tooltip="Teoría general del empleo, el interés y el dinero" w:history="1">
        <w:r w:rsidRPr="009435F4">
          <w:rPr>
            <w:rStyle w:val="Hipervnculo"/>
            <w:rFonts w:ascii="Times New Roman" w:hAnsi="Times New Roman" w:cs="Times New Roman"/>
            <w:i/>
            <w:iCs/>
            <w:color w:val="000000" w:themeColor="text1"/>
            <w:sz w:val="24"/>
            <w:szCs w:val="24"/>
            <w:u w:val="none"/>
          </w:rPr>
          <w:t>Teoría general del empleo, el interés y el dinero</w:t>
        </w:r>
      </w:hyperlink>
      <w:r w:rsidRPr="009435F4">
        <w:rPr>
          <w:rFonts w:ascii="Times New Roman" w:hAnsi="Times New Roman" w:cs="Times New Roman"/>
          <w:b/>
          <w:bCs/>
          <w:color w:val="000000" w:themeColor="text1"/>
          <w:sz w:val="24"/>
          <w:szCs w:val="24"/>
        </w:rPr>
        <w:t>.</w:t>
      </w:r>
    </w:p>
    <w:p w14:paraId="44DCBB93" w14:textId="77777777" w:rsidR="005148DA" w:rsidRPr="009435F4" w:rsidRDefault="005148DA" w:rsidP="005148DA">
      <w:pPr>
        <w:spacing w:line="360" w:lineRule="auto"/>
        <w:ind w:firstLine="720"/>
        <w:jc w:val="both"/>
        <w:rPr>
          <w:rFonts w:ascii="Times New Roman" w:hAnsi="Times New Roman" w:cs="Times New Roman"/>
          <w:sz w:val="24"/>
          <w:szCs w:val="24"/>
        </w:rPr>
      </w:pPr>
      <w:r w:rsidRPr="009435F4">
        <w:rPr>
          <w:rFonts w:ascii="Times New Roman" w:hAnsi="Times New Roman" w:cs="Times New Roman"/>
          <w:b/>
          <w:bCs/>
          <w:i/>
          <w:iCs/>
          <w:sz w:val="24"/>
          <w:szCs w:val="24"/>
        </w:rPr>
        <w:t>Historia de la teoría:</w:t>
      </w:r>
      <w:r w:rsidRPr="009435F4">
        <w:rPr>
          <w:rFonts w:ascii="Times New Roman" w:hAnsi="Times New Roman" w:cs="Times New Roman"/>
          <w:sz w:val="24"/>
          <w:szCs w:val="24"/>
        </w:rPr>
        <w:t xml:space="preserve"> Durante el siglo XVII y buena parte del XVIII predominó la teoría esencialmente monetaria del interés, es decir, la idea de que la tasa de interés se relaciona sólo con la cantidad de dinero. William Petty y John </w:t>
      </w:r>
      <w:proofErr w:type="spellStart"/>
      <w:r w:rsidRPr="009435F4">
        <w:rPr>
          <w:rFonts w:ascii="Times New Roman" w:hAnsi="Times New Roman" w:cs="Times New Roman"/>
          <w:sz w:val="24"/>
          <w:szCs w:val="24"/>
        </w:rPr>
        <w:t>Law</w:t>
      </w:r>
      <w:proofErr w:type="spellEnd"/>
      <w:r w:rsidRPr="009435F4">
        <w:rPr>
          <w:rFonts w:ascii="Times New Roman" w:hAnsi="Times New Roman" w:cs="Times New Roman"/>
          <w:sz w:val="24"/>
          <w:szCs w:val="24"/>
        </w:rPr>
        <w:t>, son autores de los más destacados que difundieron la idea de que el interés es el precio pagado por el alquiler del dinero, análogamente al precio de un bien que baja cuando se vuelve menos escaso, es decir, definieron una relación inversa entre la tasa de interés y la cantidad de dinero.</w:t>
      </w:r>
    </w:p>
    <w:p w14:paraId="6314C094" w14:textId="77777777" w:rsidR="005148DA" w:rsidRPr="009435F4" w:rsidRDefault="005148DA" w:rsidP="005148DA">
      <w:pPr>
        <w:spacing w:line="360" w:lineRule="auto"/>
        <w:ind w:firstLine="720"/>
        <w:jc w:val="both"/>
        <w:rPr>
          <w:rFonts w:ascii="Times New Roman" w:hAnsi="Times New Roman" w:cs="Times New Roman"/>
          <w:sz w:val="24"/>
          <w:szCs w:val="24"/>
        </w:rPr>
      </w:pPr>
      <w:r w:rsidRPr="009435F4">
        <w:rPr>
          <w:rFonts w:ascii="Times New Roman" w:hAnsi="Times New Roman" w:cs="Times New Roman"/>
          <w:sz w:val="24"/>
          <w:szCs w:val="24"/>
        </w:rPr>
        <w:t>El surgimiento gradual del análisis real en el siglo XVIII y su triunfo sobre el análisis monetario de los primeros mercantilistas transformó radicalmente la teoría del interés hasta entonces aceptada. Las teorías reales del interés pasaron al primer plano y en ello influyeron en forma determinante.</w:t>
      </w:r>
    </w:p>
    <w:p w14:paraId="2E2CE73A" w14:textId="77777777" w:rsidR="005148DA" w:rsidRPr="009435F4" w:rsidRDefault="005148DA" w:rsidP="005148DA">
      <w:pPr>
        <w:spacing w:line="360" w:lineRule="auto"/>
        <w:ind w:firstLine="720"/>
        <w:jc w:val="both"/>
        <w:rPr>
          <w:rFonts w:ascii="Times New Roman" w:hAnsi="Times New Roman" w:cs="Times New Roman"/>
          <w:sz w:val="24"/>
          <w:szCs w:val="24"/>
        </w:rPr>
      </w:pPr>
      <w:r w:rsidRPr="009435F4">
        <w:rPr>
          <w:rFonts w:ascii="Times New Roman" w:hAnsi="Times New Roman" w:cs="Times New Roman"/>
          <w:sz w:val="24"/>
          <w:szCs w:val="24"/>
        </w:rPr>
        <w:t>Postulados de la teoría:</w:t>
      </w:r>
    </w:p>
    <w:p w14:paraId="0BAF6069" w14:textId="77777777" w:rsidR="005148DA" w:rsidRPr="009435F4" w:rsidRDefault="005148DA" w:rsidP="005148DA">
      <w:pPr>
        <w:spacing w:line="360" w:lineRule="auto"/>
        <w:ind w:firstLine="720"/>
        <w:jc w:val="both"/>
        <w:rPr>
          <w:rFonts w:ascii="Times New Roman" w:hAnsi="Times New Roman" w:cs="Times New Roman"/>
          <w:sz w:val="24"/>
          <w:szCs w:val="24"/>
        </w:rPr>
      </w:pPr>
      <w:r w:rsidRPr="009435F4">
        <w:rPr>
          <w:rFonts w:ascii="Times New Roman" w:hAnsi="Times New Roman" w:cs="Times New Roman"/>
          <w:sz w:val="24"/>
          <w:szCs w:val="24"/>
        </w:rPr>
        <w:t xml:space="preserve">La preferencia por la liquidez: Los individuos tienen una preferencia por la liquidez, lo que </w:t>
      </w:r>
      <w:r w:rsidRPr="009435F4">
        <w:rPr>
          <w:rFonts w:ascii="Times New Roman" w:hAnsi="Times New Roman" w:cs="Times New Roman"/>
          <w:sz w:val="24"/>
          <w:szCs w:val="24"/>
        </w:rPr>
        <w:lastRenderedPageBreak/>
        <w:t>significa que valoran los activos líquidos (dinero en efectivo) más que los activos no líquidos (como bonos o bienes raíces). Esta preferencia por la liquidez influye en la demanda de dinero y, por lo tanto, en la tasa de interés.</w:t>
      </w:r>
    </w:p>
    <w:p w14:paraId="6212426E" w14:textId="77777777" w:rsidR="005148DA" w:rsidRPr="009435F4" w:rsidRDefault="005148DA" w:rsidP="005148DA">
      <w:pPr>
        <w:spacing w:line="360" w:lineRule="auto"/>
        <w:ind w:firstLine="720"/>
        <w:jc w:val="both"/>
        <w:rPr>
          <w:rFonts w:ascii="Times New Roman" w:hAnsi="Times New Roman" w:cs="Times New Roman"/>
          <w:sz w:val="24"/>
          <w:szCs w:val="24"/>
        </w:rPr>
      </w:pPr>
      <w:r w:rsidRPr="009435F4">
        <w:rPr>
          <w:rFonts w:ascii="Times New Roman" w:hAnsi="Times New Roman" w:cs="Times New Roman"/>
          <w:sz w:val="24"/>
          <w:szCs w:val="24"/>
        </w:rPr>
        <w:t>La inversión y el ahorro: La tasa de interés juega un papel crucial en la determinación de la inversión y el ahorro. Una tasa de interés más baja tiende a estimular la inversión al reducir el costo de pedir prestado, mientras que una tasa de interés más alta tiende a fomentar el ahorro al aumentar la recompensa por posponer el consumo.</w:t>
      </w:r>
    </w:p>
    <w:p w14:paraId="718B6F31" w14:textId="77777777" w:rsidR="005148DA" w:rsidRPr="009435F4" w:rsidRDefault="005148DA" w:rsidP="005148DA">
      <w:pPr>
        <w:spacing w:line="360" w:lineRule="auto"/>
        <w:ind w:firstLine="720"/>
        <w:jc w:val="both"/>
        <w:rPr>
          <w:rFonts w:ascii="Times New Roman" w:hAnsi="Times New Roman" w:cs="Times New Roman"/>
          <w:sz w:val="24"/>
          <w:szCs w:val="24"/>
        </w:rPr>
      </w:pPr>
      <w:r w:rsidRPr="009435F4">
        <w:rPr>
          <w:rFonts w:ascii="Times New Roman" w:hAnsi="Times New Roman" w:cs="Times New Roman"/>
          <w:sz w:val="24"/>
          <w:szCs w:val="24"/>
        </w:rPr>
        <w:t>Equilibrio entre oferta y demanda de dinero: La tasa de interés se ajusta para equilibrar la oferta y la demanda de dinero en la economía. Si la tasa de interés es demasiado baja, la demanda de dinero excederá la oferta, lo que puede llevar a presiones inflacionarias. Por el contrario, si la tasa de interés es demasiado alta, la oferta de dinero excederá la demanda, lo que puede conducir a una recesión.</w:t>
      </w:r>
    </w:p>
    <w:p w14:paraId="0D35A6F6" w14:textId="77777777" w:rsidR="005148DA" w:rsidRPr="009435F4" w:rsidRDefault="005148DA" w:rsidP="005148DA">
      <w:pPr>
        <w:spacing w:line="360" w:lineRule="auto"/>
        <w:ind w:firstLine="720"/>
        <w:jc w:val="both"/>
        <w:rPr>
          <w:rFonts w:ascii="Times New Roman" w:hAnsi="Times New Roman" w:cs="Times New Roman"/>
          <w:sz w:val="24"/>
          <w:szCs w:val="24"/>
        </w:rPr>
      </w:pPr>
      <w:r w:rsidRPr="009435F4">
        <w:rPr>
          <w:rFonts w:ascii="Times New Roman" w:hAnsi="Times New Roman" w:cs="Times New Roman"/>
          <w:sz w:val="24"/>
          <w:szCs w:val="24"/>
        </w:rPr>
        <w:t xml:space="preserve">Criticas de la teoría: Richard Cantillon, David Hume y Jacques </w:t>
      </w:r>
      <w:proofErr w:type="spellStart"/>
      <w:r w:rsidRPr="009435F4">
        <w:rPr>
          <w:rFonts w:ascii="Times New Roman" w:hAnsi="Times New Roman" w:cs="Times New Roman"/>
          <w:sz w:val="24"/>
          <w:szCs w:val="24"/>
        </w:rPr>
        <w:t>Turgol</w:t>
      </w:r>
      <w:proofErr w:type="spellEnd"/>
      <w:r w:rsidRPr="009435F4">
        <w:rPr>
          <w:rFonts w:ascii="Times New Roman" w:hAnsi="Times New Roman" w:cs="Times New Roman"/>
          <w:sz w:val="24"/>
          <w:szCs w:val="24"/>
        </w:rPr>
        <w:t>, criticaron las teorías monetarias de sus predecesores. pero también admitieron que un aumento de la oferta de dinero podría reducir temporalmente la tasa de interés. Si los precios aumentaban en proporción al aumento de la cantidad de dinero, el equilibrio resultaba imposible a menos que la tasa de interés volviera a su nivel anterior; a precios mayores tendría que pedirse prestado más dinero para financiar cualquier proyecto; por lo tanto, aumentaría la demanda de préstamos de dinero, y el equilibrio implicaba que ésta aumentara en la misma proporción que la oferta de préstamos de dinero. En general, sin embargo, no se pensaba que la tasa de interés estuviese relacionada, solo con la oferta de dinero</w:t>
      </w:r>
    </w:p>
    <w:p w14:paraId="5E52DE18" w14:textId="77777777" w:rsidR="005148DA" w:rsidRPr="009435F4" w:rsidRDefault="005148DA" w:rsidP="005148DA">
      <w:pPr>
        <w:spacing w:line="360" w:lineRule="auto"/>
        <w:ind w:firstLine="720"/>
        <w:jc w:val="both"/>
        <w:rPr>
          <w:rFonts w:ascii="Times New Roman" w:eastAsia="Times New Roman" w:hAnsi="Times New Roman" w:cs="Times New Roman"/>
          <w:color w:val="0D0D0D"/>
          <w:sz w:val="24"/>
          <w:szCs w:val="24"/>
          <w:bdr w:val="single" w:sz="2" w:space="0" w:color="E3E3E3" w:frame="1"/>
          <w:lang w:eastAsia="es-HN"/>
        </w:rPr>
      </w:pPr>
      <w:r w:rsidRPr="009435F4">
        <w:rPr>
          <w:rFonts w:ascii="Times New Roman" w:hAnsi="Times New Roman" w:cs="Times New Roman"/>
          <w:sz w:val="24"/>
          <w:szCs w:val="24"/>
        </w:rPr>
        <w:t>Autores que apoyan la teoría:</w:t>
      </w:r>
    </w:p>
    <w:p w14:paraId="2C1F176F" w14:textId="77777777" w:rsidR="005148DA" w:rsidRPr="009435F4" w:rsidRDefault="005148DA" w:rsidP="005148DA">
      <w:pPr>
        <w:spacing w:line="360" w:lineRule="auto"/>
        <w:ind w:firstLine="720"/>
        <w:jc w:val="both"/>
        <w:rPr>
          <w:rFonts w:ascii="Times New Roman" w:hAnsi="Times New Roman" w:cs="Times New Roman"/>
          <w:sz w:val="24"/>
          <w:szCs w:val="24"/>
        </w:rPr>
      </w:pPr>
      <w:r w:rsidRPr="009435F4">
        <w:rPr>
          <w:rFonts w:ascii="Times New Roman" w:hAnsi="Times New Roman" w:cs="Times New Roman"/>
          <w:sz w:val="24"/>
          <w:szCs w:val="24"/>
        </w:rPr>
        <w:t>Irving Fisher: Este economista estadounidense es conocido por su teoría de la tasa de interés y su relación con el nivel de precios. Fisher desarrolló la ecuación de intercambio, que establece una relación entre la cantidad de dinero en circulación, la velocidad del dinero, el nivel de precios y el nivel de actividad económica. Su análisis de la tasa de interés real y nominal es fundamental en la teoría monetaria.</w:t>
      </w:r>
    </w:p>
    <w:p w14:paraId="3FD2D990" w14:textId="77777777" w:rsidR="005148DA" w:rsidRPr="009435F4" w:rsidRDefault="005148DA" w:rsidP="005148DA">
      <w:pPr>
        <w:spacing w:line="360" w:lineRule="auto"/>
        <w:ind w:firstLine="720"/>
        <w:jc w:val="both"/>
        <w:rPr>
          <w:rFonts w:ascii="Times New Roman" w:hAnsi="Times New Roman" w:cs="Times New Roman"/>
          <w:sz w:val="24"/>
          <w:szCs w:val="24"/>
        </w:rPr>
      </w:pPr>
      <w:proofErr w:type="spellStart"/>
      <w:r w:rsidRPr="009435F4">
        <w:rPr>
          <w:rFonts w:ascii="Times New Roman" w:hAnsi="Times New Roman" w:cs="Times New Roman"/>
          <w:sz w:val="24"/>
          <w:szCs w:val="24"/>
        </w:rPr>
        <w:t>Knute</w:t>
      </w:r>
      <w:proofErr w:type="spellEnd"/>
      <w:r w:rsidRPr="009435F4">
        <w:rPr>
          <w:rFonts w:ascii="Times New Roman" w:hAnsi="Times New Roman" w:cs="Times New Roman"/>
          <w:sz w:val="24"/>
          <w:szCs w:val="24"/>
        </w:rPr>
        <w:t xml:space="preserve"> </w:t>
      </w:r>
      <w:proofErr w:type="spellStart"/>
      <w:r w:rsidRPr="009435F4">
        <w:rPr>
          <w:rFonts w:ascii="Times New Roman" w:hAnsi="Times New Roman" w:cs="Times New Roman"/>
          <w:sz w:val="24"/>
          <w:szCs w:val="24"/>
        </w:rPr>
        <w:t>Wicksell</w:t>
      </w:r>
      <w:proofErr w:type="spellEnd"/>
      <w:r w:rsidRPr="009435F4">
        <w:rPr>
          <w:rFonts w:ascii="Times New Roman" w:hAnsi="Times New Roman" w:cs="Times New Roman"/>
          <w:sz w:val="24"/>
          <w:szCs w:val="24"/>
        </w:rPr>
        <w:t xml:space="preserve">: Este economista sueco es conocido por su teoría del interés natural y la tasa de interés de equilibrio. </w:t>
      </w:r>
      <w:proofErr w:type="spellStart"/>
      <w:r w:rsidRPr="009435F4">
        <w:rPr>
          <w:rFonts w:ascii="Times New Roman" w:hAnsi="Times New Roman" w:cs="Times New Roman"/>
          <w:sz w:val="24"/>
          <w:szCs w:val="24"/>
        </w:rPr>
        <w:t>Wicksell</w:t>
      </w:r>
      <w:proofErr w:type="spellEnd"/>
      <w:r w:rsidRPr="009435F4">
        <w:rPr>
          <w:rFonts w:ascii="Times New Roman" w:hAnsi="Times New Roman" w:cs="Times New Roman"/>
          <w:sz w:val="24"/>
          <w:szCs w:val="24"/>
        </w:rPr>
        <w:t xml:space="preserve"> argumentó que la tasa de interés de mercado tiende a igualar la tasa de interés natural, que es la tasa que iguala el ahorro y la inversión en una economía. Su trabajo ha influido en la teoría monetaria y la política económica.</w:t>
      </w:r>
    </w:p>
    <w:p w14:paraId="16F133CB" w14:textId="77777777" w:rsidR="005148DA" w:rsidRPr="009435F4" w:rsidRDefault="005148DA" w:rsidP="005148DA">
      <w:pPr>
        <w:spacing w:line="360" w:lineRule="auto"/>
        <w:ind w:firstLine="720"/>
        <w:jc w:val="both"/>
        <w:rPr>
          <w:rFonts w:ascii="Times New Roman" w:hAnsi="Times New Roman" w:cs="Times New Roman"/>
          <w:sz w:val="24"/>
          <w:szCs w:val="24"/>
        </w:rPr>
      </w:pPr>
      <w:r w:rsidRPr="009435F4">
        <w:rPr>
          <w:rFonts w:ascii="Times New Roman" w:hAnsi="Times New Roman" w:cs="Times New Roman"/>
          <w:sz w:val="24"/>
          <w:szCs w:val="24"/>
        </w:rPr>
        <w:lastRenderedPageBreak/>
        <w:t>La teoría de la tasa de interés proporciona un marco conceptual para comprender cómo las tasas de interés afectan el comportamiento de los prestatarios y los niveles de morosidad en instituciones financieras.</w:t>
      </w:r>
    </w:p>
    <w:p w14:paraId="6EE4F301" w14:textId="77777777" w:rsidR="005148DA" w:rsidRPr="009435F4" w:rsidRDefault="005148DA" w:rsidP="00902A52">
      <w:pPr>
        <w:pStyle w:val="TextoPrincipal"/>
        <w:spacing w:line="360" w:lineRule="auto"/>
        <w:ind w:firstLine="708"/>
      </w:pPr>
    </w:p>
    <w:p w14:paraId="01C84916" w14:textId="77777777" w:rsidR="00902A52" w:rsidRPr="009435F4" w:rsidRDefault="00902A52" w:rsidP="00D40FD1">
      <w:pPr>
        <w:pStyle w:val="TextoPrincipal"/>
        <w:spacing w:line="360" w:lineRule="auto"/>
      </w:pPr>
      <w:r w:rsidRPr="009435F4">
        <w:rPr>
          <w:lang w:val="es-ES"/>
        </w:rPr>
        <w:t>La Teoría Financiera es fundamental ya que proporciona las herramientas necesarias para comprender las causas y consecuencias de la morosidad en el contexto de las finanzas. Esta teoría abarca diversos aspectos, como la gestión de riesgos financieros, el análisis de estados financieros, la evaluación de crédito y la toma de decisiones financieras estratégicas.</w:t>
      </w:r>
    </w:p>
    <w:p w14:paraId="236E105A" w14:textId="4A79B85B" w:rsidR="00902A52" w:rsidRPr="009435F4" w:rsidRDefault="00902A52" w:rsidP="00D40FD1">
      <w:pPr>
        <w:pStyle w:val="TextoPrincipal"/>
        <w:spacing w:line="360" w:lineRule="auto"/>
      </w:pPr>
      <w:r w:rsidRPr="009435F4">
        <w:rPr>
          <w:lang w:val="es-ES"/>
        </w:rPr>
        <w:t>Al aplicar la Teoría Financiera al estudio de la morosidad, se pueden identificar los factores clave que contribuyen a la falta de pago de deudas, como la capacidad financiera de los deudores, los riesgos asociados a los préstamos y las políticas de cobro y recuperación de créditos.</w:t>
      </w:r>
    </w:p>
    <w:p w14:paraId="033AAF3A" w14:textId="77777777" w:rsidR="00902A52" w:rsidRPr="00902A52" w:rsidRDefault="00902A52" w:rsidP="00902A52">
      <w:pPr>
        <w:pStyle w:val="TextoPrincipal"/>
        <w:spacing w:line="360" w:lineRule="auto"/>
        <w:ind w:firstLine="708"/>
      </w:pPr>
    </w:p>
    <w:p w14:paraId="6F477A60" w14:textId="3BA65F0A" w:rsidR="00195E89" w:rsidRPr="00DA00DB" w:rsidRDefault="009A0A5D" w:rsidP="0018133F">
      <w:pPr>
        <w:pStyle w:val="Ttulo3"/>
        <w:spacing w:before="0" w:line="360" w:lineRule="auto"/>
        <w:ind w:left="0" w:firstLine="720"/>
      </w:pPr>
      <w:bookmarkStart w:id="128" w:name="_Toc166705788"/>
      <w:bookmarkStart w:id="129" w:name="_Toc175171390"/>
      <w:r w:rsidRPr="0088489F">
        <w:t>2</w:t>
      </w:r>
      <w:r w:rsidR="00DA00DB" w:rsidRPr="0088489F">
        <w:t xml:space="preserve">.3.2. </w:t>
      </w:r>
      <w:r w:rsidR="00BE6D1A" w:rsidRPr="0088489F">
        <w:t>METODOLOGÍAS DESARROLLADAS</w:t>
      </w:r>
      <w:bookmarkEnd w:id="128"/>
      <w:bookmarkEnd w:id="129"/>
    </w:p>
    <w:p w14:paraId="721583A4" w14:textId="77777777" w:rsidR="00AC20D6" w:rsidRPr="00AC20D6" w:rsidRDefault="00AC20D6" w:rsidP="00AC20D6">
      <w:pPr>
        <w:pStyle w:val="Ttulo4"/>
        <w:ind w:left="0" w:firstLine="1440"/>
      </w:pPr>
      <w:bookmarkStart w:id="130" w:name="_Toc166705789"/>
      <w:bookmarkStart w:id="131" w:name="_Toc175171391"/>
      <w:r w:rsidRPr="00AC20D6">
        <w:rPr>
          <w:color w:val="000000" w:themeColor="text1"/>
        </w:rPr>
        <w:t xml:space="preserve">2.3.2.1 </w:t>
      </w:r>
      <w:r w:rsidRPr="00AC20D6">
        <w:t>CONTROL Y SEGUIMIENTO DE LA CARTERA DE CRÉDITOS DE BAT HONDURAS DEL PERIODO 2018-2022</w:t>
      </w:r>
      <w:bookmarkEnd w:id="130"/>
      <w:bookmarkEnd w:id="131"/>
    </w:p>
    <w:p w14:paraId="3E682FF3" w14:textId="3EA8C3FD" w:rsidR="00AC20D6" w:rsidRPr="00AC20D6" w:rsidRDefault="00AC20D6" w:rsidP="00AC20D6">
      <w:pPr>
        <w:tabs>
          <w:tab w:val="left" w:pos="2955"/>
        </w:tabs>
        <w:spacing w:line="360" w:lineRule="auto"/>
        <w:ind w:firstLine="720"/>
        <w:jc w:val="both"/>
        <w:rPr>
          <w:rFonts w:ascii="Times New Roman" w:hAnsi="Times New Roman" w:cs="Times New Roman"/>
          <w:sz w:val="24"/>
          <w:szCs w:val="24"/>
        </w:rPr>
      </w:pPr>
      <w:r w:rsidRPr="00AC20D6">
        <w:rPr>
          <w:rFonts w:ascii="Times New Roman" w:hAnsi="Times New Roman" w:cs="Times New Roman"/>
          <w:sz w:val="24"/>
          <w:szCs w:val="24"/>
        </w:rPr>
        <w:t xml:space="preserve">La investigación de tesis desarrollada por </w:t>
      </w:r>
      <w:r w:rsidRPr="00AC20D6">
        <w:rPr>
          <w:rFonts w:ascii="Times New Roman" w:hAnsi="Times New Roman" w:cs="Times New Roman"/>
          <w:sz w:val="24"/>
          <w:szCs w:val="24"/>
        </w:rPr>
        <w:fldChar w:fldCharType="begin"/>
      </w:r>
      <w:r w:rsidR="00C52841">
        <w:rPr>
          <w:rFonts w:ascii="Times New Roman" w:hAnsi="Times New Roman" w:cs="Times New Roman"/>
          <w:sz w:val="24"/>
          <w:szCs w:val="24"/>
        </w:rPr>
        <w:instrText xml:space="preserve"> ADDIN ZOTERO_ITEM CSL_CITATION {"citationID":"HMw2qvrB","properties":{"formattedCitation":"(Ferrera &amp; Alvarenga, 2023)","plainCitation":"(Ferrera &amp; Alvarenga, 2023)","dontUpdate":true,"noteIndex":0},"citationItems":[{"id":"mhK3fgOx/wQzVJDEm","uris":["http://zotero.org/users/local/rewjbDUP/items/MM2NGSWJ"],"itemData":{"id":29,"type":"thesis","event-place":"Tegucigalpa, Honduras","language":"Español","license":"Ana Dolores Ferrera Velásquez Fredy Edgardo Alvarenga","publisher":"UNIVERSIDAD TECNOLÓGICA CENTROAMERICANA (UNITec)","publisher-place":"Tegucigalpa, Honduras","title":"CONTROL Y SEGUIMIENTO DE LA CARTERA DE CRÉDITOS DE BAT HONDURAS DEL PERIODO 2018-2022","author":[{"family":"Ferrera","given":"Ana"},{"family":"Alvarenga","given":"Fredy"}],"issued":{"date-parts":[["2023",7]]}}}],"schema":"https://github.com/citation-style-language/schema/raw/master/csl-citation.json"} </w:instrText>
      </w:r>
      <w:r w:rsidRPr="00AC20D6">
        <w:rPr>
          <w:rFonts w:ascii="Times New Roman" w:hAnsi="Times New Roman" w:cs="Times New Roman"/>
          <w:sz w:val="24"/>
          <w:szCs w:val="24"/>
        </w:rPr>
        <w:fldChar w:fldCharType="separate"/>
      </w:r>
      <w:r w:rsidRPr="00AC20D6">
        <w:rPr>
          <w:rFonts w:ascii="Times New Roman" w:hAnsi="Times New Roman" w:cs="Times New Roman"/>
          <w:sz w:val="24"/>
          <w:szCs w:val="24"/>
        </w:rPr>
        <w:t>Ferrera &amp; Alvarenga, (2023)</w:t>
      </w:r>
      <w:r w:rsidRPr="00AC20D6">
        <w:rPr>
          <w:rFonts w:ascii="Times New Roman" w:hAnsi="Times New Roman" w:cs="Times New Roman"/>
          <w:sz w:val="24"/>
          <w:szCs w:val="24"/>
        </w:rPr>
        <w:fldChar w:fldCharType="end"/>
      </w:r>
      <w:r w:rsidRPr="00AC20D6">
        <w:rPr>
          <w:rFonts w:ascii="Times New Roman" w:hAnsi="Times New Roman" w:cs="Times New Roman"/>
          <w:sz w:val="24"/>
          <w:szCs w:val="24"/>
        </w:rPr>
        <w:t xml:space="preserve"> en la ciudad de San Pedro Sula, Honduras, tiene como objetivo principal conocer si la política de cobranza que históricamente ha asumido la empresa BAT Honduras, impactó en la evolución de la cartera de cuentas incobrables de la organización durante el periodo 2018-2022, para ello establece tres teorías que sustentan su estudio: teoría contable, teoría clásica de la administración y la teoría del ciclo crediticio.</w:t>
      </w:r>
    </w:p>
    <w:p w14:paraId="3E046368" w14:textId="77777777" w:rsidR="00AC20D6" w:rsidRPr="00AC20D6" w:rsidRDefault="00AC20D6" w:rsidP="00AC20D6">
      <w:pPr>
        <w:tabs>
          <w:tab w:val="left" w:pos="2955"/>
        </w:tabs>
        <w:spacing w:line="360" w:lineRule="auto"/>
        <w:ind w:firstLine="720"/>
        <w:jc w:val="both"/>
        <w:rPr>
          <w:rFonts w:ascii="Times New Roman" w:hAnsi="Times New Roman" w:cs="Times New Roman"/>
          <w:sz w:val="24"/>
          <w:szCs w:val="24"/>
        </w:rPr>
      </w:pPr>
      <w:r w:rsidRPr="00AC20D6">
        <w:rPr>
          <w:rFonts w:ascii="Times New Roman" w:hAnsi="Times New Roman" w:cs="Times New Roman"/>
          <w:sz w:val="24"/>
          <w:szCs w:val="24"/>
        </w:rPr>
        <w:t xml:space="preserve">Esta investigación se desarrolló desde un enfoque mixto, con alcance descriptivo, mediante la técnica análisis de bases de datos y entrevista a expertos, con la finalidad de examinar a detalle las causas de la evolución histórica de las cuentas por cobrar de la empresa BAT Honduras durante el periodo 2018-2022, asimismo, se llevó a cabo bajo el esquema de investigación no experimental con corte longitudinal y transversal. </w:t>
      </w:r>
    </w:p>
    <w:p w14:paraId="4966565C" w14:textId="77777777" w:rsidR="00AC20D6" w:rsidRPr="00AC20D6" w:rsidRDefault="00AC20D6" w:rsidP="00AC20D6">
      <w:pPr>
        <w:tabs>
          <w:tab w:val="left" w:pos="2955"/>
        </w:tabs>
        <w:spacing w:line="360" w:lineRule="auto"/>
        <w:ind w:firstLine="720"/>
        <w:jc w:val="both"/>
        <w:rPr>
          <w:rFonts w:ascii="Times New Roman" w:hAnsi="Times New Roman" w:cs="Times New Roman"/>
          <w:sz w:val="24"/>
          <w:szCs w:val="24"/>
        </w:rPr>
      </w:pPr>
      <w:r w:rsidRPr="00AC20D6">
        <w:rPr>
          <w:rFonts w:ascii="Times New Roman" w:hAnsi="Times New Roman" w:cs="Times New Roman"/>
          <w:sz w:val="24"/>
          <w:szCs w:val="24"/>
        </w:rPr>
        <w:t xml:space="preserve">Como parte de los resultados obtenidos, se determinó que el total días promedio de crédito es 25 días en los cuales la empresa está recuperando su dinero a través de las ventas al crédito distribuidas por los cuatro canales que se manejan en la operación del negocio. También se determinó que para los años 2021 y 2022 los porcentajes de morosidad incrementaron quedando </w:t>
      </w:r>
      <w:r w:rsidRPr="00AC20D6">
        <w:rPr>
          <w:rFonts w:ascii="Times New Roman" w:hAnsi="Times New Roman" w:cs="Times New Roman"/>
          <w:sz w:val="24"/>
          <w:szCs w:val="24"/>
        </w:rPr>
        <w:lastRenderedPageBreak/>
        <w:t>en 5.57% y 7.05% respectivamente. Sin embargo, se determina que existe un crecimiento en las ventas las cuales tienen una dependencia de las ventas al crédito en un 78% y 77% para cada año. Y que las cuentas incobrables incrementaron de L 2,358,182.37 en 2018, a L 4, 688,371.49 para el 2021.</w:t>
      </w:r>
      <w:r w:rsidRPr="00AC20D6">
        <w:rPr>
          <w:sz w:val="24"/>
          <w:szCs w:val="24"/>
        </w:rPr>
        <w:t xml:space="preserve"> </w:t>
      </w:r>
      <w:r w:rsidRPr="00AC20D6">
        <w:rPr>
          <w:rFonts w:ascii="Times New Roman" w:hAnsi="Times New Roman" w:cs="Times New Roman"/>
          <w:sz w:val="24"/>
          <w:szCs w:val="24"/>
        </w:rPr>
        <w:t>La investigación evidencio que las perdidas monetarias totales durante el periodo 2018-2022 de la empresa BAT Honduras fueron de L.10,273,424.16, lo cual indica que numerosos clientes no están cumpliendo con sus compromisos u obligaciones de pago hacia la empresa y que estas pérdidas monetarias representan un gasto significativo que impacta anualmente, generando pérdidas para la empresa.</w:t>
      </w:r>
    </w:p>
    <w:p w14:paraId="760BEF7F" w14:textId="77777777" w:rsidR="00AC20D6" w:rsidRPr="00AC20D6" w:rsidRDefault="00AC20D6" w:rsidP="00AC20D6">
      <w:pPr>
        <w:tabs>
          <w:tab w:val="left" w:pos="2955"/>
        </w:tabs>
        <w:spacing w:line="360" w:lineRule="auto"/>
        <w:ind w:firstLine="720"/>
        <w:jc w:val="both"/>
        <w:rPr>
          <w:rFonts w:ascii="Times New Roman" w:hAnsi="Times New Roman" w:cs="Times New Roman"/>
          <w:sz w:val="24"/>
          <w:szCs w:val="24"/>
        </w:rPr>
      </w:pPr>
      <w:r w:rsidRPr="00AC20D6">
        <w:rPr>
          <w:rFonts w:ascii="Times New Roman" w:hAnsi="Times New Roman" w:cs="Times New Roman"/>
          <w:sz w:val="24"/>
          <w:szCs w:val="24"/>
        </w:rPr>
        <w:t>Finalmente concluyen que la política pasiva de cobranzas influencio en la cartera de cuentas incobrables, esto debido a la falta de un proceso para la gestión de una cobranza efectiva, en vista que no se ejecutan estrategias de recuperación de la mora, si bien se realiza una gestión para recopilar la documentación necesaria y se firma un contrato como respaldo del crédito, se carece de una gestión en la cartera extrajudicial, en vista que no se ejecutan algunas de las garantías(fiduciarias), además no se reporta al buro de créditos los saldos de los clientes en mora.</w:t>
      </w:r>
    </w:p>
    <w:p w14:paraId="42EFC071" w14:textId="77777777" w:rsidR="00AC20D6" w:rsidRPr="00AC20D6" w:rsidRDefault="00AC20D6" w:rsidP="00AC20D6">
      <w:pPr>
        <w:tabs>
          <w:tab w:val="left" w:pos="2955"/>
        </w:tabs>
        <w:spacing w:line="360" w:lineRule="auto"/>
        <w:ind w:firstLine="720"/>
        <w:rPr>
          <w:rFonts w:ascii="Times New Roman" w:hAnsi="Times New Roman" w:cs="Times New Roman"/>
          <w:sz w:val="24"/>
          <w:szCs w:val="24"/>
        </w:rPr>
      </w:pPr>
    </w:p>
    <w:p w14:paraId="02B678B6" w14:textId="77777777" w:rsidR="00AC20D6" w:rsidRPr="00AC20D6" w:rsidRDefault="00AC20D6" w:rsidP="00AC20D6">
      <w:pPr>
        <w:pStyle w:val="Ttulo4"/>
        <w:ind w:left="0" w:firstLine="1440"/>
      </w:pPr>
      <w:bookmarkStart w:id="132" w:name="_Toc166705790"/>
      <w:bookmarkStart w:id="133" w:name="_Toc175171392"/>
      <w:r w:rsidRPr="00AC20D6">
        <w:rPr>
          <w:color w:val="000000" w:themeColor="text1"/>
        </w:rPr>
        <w:t xml:space="preserve">2.3.2.2 </w:t>
      </w:r>
      <w:r w:rsidRPr="00AC20D6">
        <w:t>DETERMINANTES DE LA MOROSIDAD EN LAS MICROEMPRESAS EN ECUADOR: ANÁLISIS Y ESTUDIO BANCO CENTRAL</w:t>
      </w:r>
      <w:bookmarkEnd w:id="132"/>
      <w:bookmarkEnd w:id="133"/>
    </w:p>
    <w:p w14:paraId="2D418070" w14:textId="0B973C40" w:rsidR="00AC20D6" w:rsidRPr="00AC20D6" w:rsidRDefault="00AC20D6" w:rsidP="00AC20D6">
      <w:pPr>
        <w:tabs>
          <w:tab w:val="left" w:pos="2955"/>
        </w:tabs>
        <w:spacing w:line="360" w:lineRule="auto"/>
        <w:ind w:firstLine="720"/>
        <w:jc w:val="both"/>
        <w:rPr>
          <w:rFonts w:ascii="Times New Roman" w:hAnsi="Times New Roman" w:cs="Times New Roman"/>
          <w:b/>
          <w:bCs/>
          <w:sz w:val="24"/>
          <w:szCs w:val="24"/>
        </w:rPr>
      </w:pPr>
      <w:r w:rsidRPr="00AC20D6">
        <w:rPr>
          <w:rFonts w:ascii="Times New Roman" w:hAnsi="Times New Roman" w:cs="Times New Roman"/>
          <w:sz w:val="24"/>
          <w:szCs w:val="24"/>
        </w:rPr>
        <w:t xml:space="preserve">En investigación realizada en Ecuador por </w:t>
      </w:r>
      <w:r w:rsidRPr="00AC20D6">
        <w:rPr>
          <w:rFonts w:ascii="Times New Roman" w:hAnsi="Times New Roman" w:cs="Times New Roman"/>
          <w:sz w:val="24"/>
          <w:szCs w:val="24"/>
        </w:rPr>
        <w:fldChar w:fldCharType="begin"/>
      </w:r>
      <w:r w:rsidR="00C52841">
        <w:rPr>
          <w:rFonts w:ascii="Times New Roman" w:hAnsi="Times New Roman" w:cs="Times New Roman"/>
          <w:sz w:val="24"/>
          <w:szCs w:val="24"/>
        </w:rPr>
        <w:instrText xml:space="preserve"> ADDIN ZOTERO_ITEM CSL_CITATION {"citationID":"GjN9NErX","properties":{"formattedCitation":"(Soria, 2021)","plainCitation":"(Soria, 2021)","dontUpdate":true,"noteIndex":0},"citationItems":[{"id":"mhK3fgOx/j3W2NuNN","uris":["http://zotero.org/users/local/rewjbDUP/items/U2QY8TR6"],"itemData":{"id":28,"type":"article-journal","DOI":"https://doi.org/10.23857/fipcaec.v6i3.397","ISSN":"2588-090X","journalAbbreviation":"FIPCAEC","title":"Determinantes de la morosidad en las microempresas en Ecuador: Análisis y estudio Banco Central","volume":"6","author":[{"family":"Soria","given":"Nohely"}],"issued":{"date-parts":[["2021"]]}}}],"schema":"https://github.com/citation-style-language/schema/raw/master/csl-citation.json"} </w:instrText>
      </w:r>
      <w:r w:rsidRPr="00AC20D6">
        <w:rPr>
          <w:rFonts w:ascii="Times New Roman" w:hAnsi="Times New Roman" w:cs="Times New Roman"/>
          <w:sz w:val="24"/>
          <w:szCs w:val="24"/>
        </w:rPr>
        <w:fldChar w:fldCharType="separate"/>
      </w:r>
      <w:r w:rsidRPr="00AC20D6">
        <w:rPr>
          <w:rFonts w:ascii="Times New Roman" w:hAnsi="Times New Roman" w:cs="Times New Roman"/>
          <w:sz w:val="24"/>
          <w:szCs w:val="24"/>
        </w:rPr>
        <w:t>Soria, (2021)</w:t>
      </w:r>
      <w:r w:rsidRPr="00AC20D6">
        <w:rPr>
          <w:rFonts w:ascii="Times New Roman" w:hAnsi="Times New Roman" w:cs="Times New Roman"/>
          <w:sz w:val="24"/>
          <w:szCs w:val="24"/>
        </w:rPr>
        <w:fldChar w:fldCharType="end"/>
      </w:r>
      <w:r w:rsidRPr="00AC20D6">
        <w:rPr>
          <w:rFonts w:ascii="Times New Roman" w:hAnsi="Times New Roman" w:cs="Times New Roman"/>
          <w:sz w:val="24"/>
          <w:szCs w:val="24"/>
        </w:rPr>
        <w:t xml:space="preserve">, esta tiene como objetivo identificar las determinantes que causan morosidad en las entidades financieras, esencialmente aquellos sectores financieros que han sido afectados de manera drástica. Además, para respaldar esta investigación la sustenta bajo la teoría financiera. </w:t>
      </w:r>
    </w:p>
    <w:p w14:paraId="44E90382" w14:textId="77777777" w:rsidR="00AC20D6" w:rsidRPr="00AC20D6" w:rsidRDefault="00AC20D6" w:rsidP="00AC20D6">
      <w:pPr>
        <w:tabs>
          <w:tab w:val="left" w:pos="2955"/>
        </w:tabs>
        <w:spacing w:line="360" w:lineRule="auto"/>
        <w:ind w:firstLine="720"/>
        <w:jc w:val="both"/>
        <w:rPr>
          <w:rFonts w:ascii="Times New Roman" w:hAnsi="Times New Roman" w:cs="Times New Roman"/>
          <w:sz w:val="24"/>
          <w:szCs w:val="24"/>
        </w:rPr>
      </w:pPr>
      <w:r w:rsidRPr="00AC20D6">
        <w:rPr>
          <w:rFonts w:ascii="Times New Roman" w:hAnsi="Times New Roman" w:cs="Times New Roman"/>
          <w:sz w:val="24"/>
          <w:szCs w:val="24"/>
        </w:rPr>
        <w:t>Asimismo, utilizó una metodología cuantitativa desde un enfoque correlacional donde se buscó la diferencia de cartera vencida entre los diferentes años para posterior a ello identificar los fragmentos financieros, bajo la modalidad de comparación de base datos de los diferentes organismos localizados en el país, la información tomada fue validada por el Banco Central del Ecuador cuya entidad garantiza el funcionamiento del régimen económico en el país. El alcance al comparar estos datos permitió conocer donde existió mayor índice de morosidad en las entidades financieras y cuáles fueron las principales determinantes que causaron dicho efecto.</w:t>
      </w:r>
    </w:p>
    <w:p w14:paraId="3A387342" w14:textId="77777777" w:rsidR="00AC20D6" w:rsidRPr="00AC20D6" w:rsidRDefault="00AC20D6" w:rsidP="00AC20D6">
      <w:pPr>
        <w:tabs>
          <w:tab w:val="left" w:pos="2955"/>
        </w:tabs>
        <w:spacing w:line="360" w:lineRule="auto"/>
        <w:ind w:firstLine="720"/>
        <w:jc w:val="both"/>
        <w:rPr>
          <w:rFonts w:ascii="Times New Roman" w:hAnsi="Times New Roman" w:cs="Times New Roman"/>
          <w:sz w:val="24"/>
          <w:szCs w:val="24"/>
        </w:rPr>
      </w:pPr>
      <w:r w:rsidRPr="00AC20D6">
        <w:rPr>
          <w:rFonts w:ascii="Times New Roman" w:hAnsi="Times New Roman" w:cs="Times New Roman"/>
          <w:sz w:val="24"/>
          <w:szCs w:val="24"/>
        </w:rPr>
        <w:t xml:space="preserve">Como parte de los resultados obtenidos y tomando en cuenta que la  información fue proporcionada por Banco Central del Ecuador durante Julio 2019 y Julio 2020, mediante el componente Cartera vencida se obtuvo que el Crédito en el Panorama Financiero mostró un decremento en la cartera vencida de 25.10 millones de dólares, por su parte el Crédito en Bancos </w:t>
      </w:r>
      <w:r w:rsidRPr="00AC20D6">
        <w:rPr>
          <w:rFonts w:ascii="Times New Roman" w:hAnsi="Times New Roman" w:cs="Times New Roman"/>
          <w:sz w:val="24"/>
          <w:szCs w:val="24"/>
        </w:rPr>
        <w:lastRenderedPageBreak/>
        <w:t>Privados expuso una baja de cartera vencida de 87.9 millones de dólares, los créditos dentro de Ban Ecuador (Banca Pública) revelaron un incremento de la tasa de morosidad de 107.8 millones de dólares, el crédito en sociedad Financieras disminuyó en 0.69 millones de dólares, en cambio dentro de Mutualistas esta cifra disminuyó en 2.5 millones de dólares, para el caso de las Cooperativas el índice de morosidad acrecentó en 42. 2 millones de dólares y finalmente en el segmento de Banca pública el crédito expuesto por la Corporación Financiera Nacional tuvo una baja notable de 83.8 millones de dólares.</w:t>
      </w:r>
    </w:p>
    <w:p w14:paraId="22AA8D6F" w14:textId="761BFCD3" w:rsidR="00AC20D6" w:rsidRPr="00AC20D6" w:rsidRDefault="00AC20D6" w:rsidP="00AC20D6">
      <w:pPr>
        <w:tabs>
          <w:tab w:val="left" w:pos="2955"/>
        </w:tabs>
        <w:spacing w:line="360" w:lineRule="auto"/>
        <w:ind w:firstLine="720"/>
        <w:jc w:val="both"/>
        <w:rPr>
          <w:rFonts w:ascii="Times New Roman" w:hAnsi="Times New Roman" w:cs="Times New Roman"/>
          <w:sz w:val="24"/>
          <w:szCs w:val="24"/>
        </w:rPr>
      </w:pPr>
      <w:r w:rsidRPr="00AC20D6">
        <w:rPr>
          <w:rFonts w:ascii="Times New Roman" w:hAnsi="Times New Roman" w:cs="Times New Roman"/>
          <w:sz w:val="24"/>
          <w:szCs w:val="24"/>
        </w:rPr>
        <w:t xml:space="preserve">Concluye </w:t>
      </w:r>
      <w:r w:rsidRPr="00AC20D6">
        <w:rPr>
          <w:rFonts w:ascii="Times New Roman" w:hAnsi="Times New Roman" w:cs="Times New Roman"/>
          <w:sz w:val="24"/>
          <w:szCs w:val="24"/>
        </w:rPr>
        <w:fldChar w:fldCharType="begin"/>
      </w:r>
      <w:r w:rsidR="00C52841">
        <w:rPr>
          <w:rFonts w:ascii="Times New Roman" w:hAnsi="Times New Roman" w:cs="Times New Roman"/>
          <w:sz w:val="24"/>
          <w:szCs w:val="24"/>
        </w:rPr>
        <w:instrText xml:space="preserve"> ADDIN ZOTERO_ITEM CSL_CITATION {"citationID":"HmwaHPHa","properties":{"formattedCitation":"(Soria, 2021)","plainCitation":"(Soria, 2021)","dontUpdate":true,"noteIndex":0},"citationItems":[{"id":"mhK3fgOx/j3W2NuNN","uris":["http://zotero.org/users/local/rewjbDUP/items/U2QY8TR6"],"itemData":{"id":28,"type":"article-journal","DOI":"https://doi.org/10.23857/fipcaec.v6i3.397","ISSN":"2588-090X","journalAbbreviation":"FIPCAEC","title":"Determinantes de la morosidad en las microempresas en Ecuador: Análisis y estudio Banco Central","volume":"6","author":[{"family":"Soria","given":"Nohely"}],"issued":{"date-parts":[["2021"]]}}}],"schema":"https://github.com/citation-style-language/schema/raw/master/csl-citation.json"} </w:instrText>
      </w:r>
      <w:r w:rsidRPr="00AC20D6">
        <w:rPr>
          <w:rFonts w:ascii="Times New Roman" w:hAnsi="Times New Roman" w:cs="Times New Roman"/>
          <w:sz w:val="24"/>
          <w:szCs w:val="24"/>
        </w:rPr>
        <w:fldChar w:fldCharType="separate"/>
      </w:r>
      <w:r w:rsidRPr="00AC20D6">
        <w:rPr>
          <w:rFonts w:ascii="Times New Roman" w:hAnsi="Times New Roman" w:cs="Times New Roman"/>
          <w:sz w:val="24"/>
          <w:szCs w:val="24"/>
        </w:rPr>
        <w:t>Soria, (2021)</w:t>
      </w:r>
      <w:r w:rsidRPr="00AC20D6">
        <w:rPr>
          <w:rFonts w:ascii="Times New Roman" w:hAnsi="Times New Roman" w:cs="Times New Roman"/>
          <w:sz w:val="24"/>
          <w:szCs w:val="24"/>
        </w:rPr>
        <w:fldChar w:fldCharType="end"/>
      </w:r>
      <w:r w:rsidRPr="00AC20D6">
        <w:rPr>
          <w:rFonts w:ascii="Times New Roman" w:hAnsi="Times New Roman" w:cs="Times New Roman"/>
          <w:sz w:val="24"/>
          <w:szCs w:val="24"/>
        </w:rPr>
        <w:t>, que con base a los resultados expuestos las entidades financieras deben prestar atención a este sector que impulsa la economía, por otro lado siempre existirá factores micro o macro económicos que afecten de manera relativa la morosidad en las microempresas y con ello perturbando la salud financiera de las entidades financieras cuya cartera vencida influye directamente en el otorgamiento de créditos a demás actores de la sociedad.</w:t>
      </w:r>
    </w:p>
    <w:p w14:paraId="4A8AD207" w14:textId="77777777" w:rsidR="00AC20D6" w:rsidRPr="00AC20D6" w:rsidRDefault="00AC20D6" w:rsidP="00AC20D6">
      <w:pPr>
        <w:tabs>
          <w:tab w:val="left" w:pos="2955"/>
        </w:tabs>
        <w:spacing w:line="360" w:lineRule="auto"/>
        <w:ind w:firstLine="720"/>
        <w:jc w:val="both"/>
        <w:rPr>
          <w:rFonts w:ascii="Times New Roman" w:hAnsi="Times New Roman" w:cs="Times New Roman"/>
          <w:sz w:val="24"/>
          <w:szCs w:val="24"/>
        </w:rPr>
      </w:pPr>
    </w:p>
    <w:p w14:paraId="0400A8BB" w14:textId="77777777" w:rsidR="00AC20D6" w:rsidRPr="00AC20D6" w:rsidRDefault="00AC20D6" w:rsidP="00AC20D6">
      <w:pPr>
        <w:pStyle w:val="Ttulo4"/>
        <w:ind w:left="0" w:firstLine="1440"/>
      </w:pPr>
      <w:bookmarkStart w:id="134" w:name="_Toc166705791"/>
      <w:bookmarkStart w:id="135" w:name="_Toc175171393"/>
      <w:r w:rsidRPr="00AC20D6">
        <w:rPr>
          <w:color w:val="000000" w:themeColor="text1"/>
        </w:rPr>
        <w:t xml:space="preserve">2.3.2.3 </w:t>
      </w:r>
      <w:r w:rsidRPr="00AC20D6">
        <w:t>ANÁLISIS DE LA MOROSIDAD DE LOS INQUILINOS DE LA INMOBILIARIA SANTA FÉ S. A. DE C.V. DURANTE EL PERIODO 2019-2022</w:t>
      </w:r>
      <w:bookmarkEnd w:id="134"/>
      <w:bookmarkEnd w:id="135"/>
    </w:p>
    <w:p w14:paraId="2855B366" w14:textId="0356B7C3" w:rsidR="00AC20D6" w:rsidRPr="00AC20D6" w:rsidRDefault="00AC20D6" w:rsidP="00AC20D6">
      <w:pPr>
        <w:tabs>
          <w:tab w:val="left" w:pos="2955"/>
        </w:tabs>
        <w:spacing w:line="360" w:lineRule="auto"/>
        <w:ind w:firstLine="720"/>
        <w:jc w:val="both"/>
        <w:rPr>
          <w:rFonts w:ascii="Times New Roman" w:hAnsi="Times New Roman" w:cs="Times New Roman"/>
          <w:sz w:val="24"/>
          <w:szCs w:val="24"/>
        </w:rPr>
      </w:pPr>
      <w:r w:rsidRPr="00AC20D6">
        <w:rPr>
          <w:rFonts w:ascii="Times New Roman" w:hAnsi="Times New Roman" w:cs="Times New Roman"/>
          <w:sz w:val="24"/>
          <w:szCs w:val="24"/>
        </w:rPr>
        <w:t xml:space="preserve">En tesis de investigación desarrollada por </w:t>
      </w:r>
      <w:r w:rsidRPr="00AC20D6">
        <w:rPr>
          <w:rFonts w:ascii="Times New Roman" w:hAnsi="Times New Roman" w:cs="Times New Roman"/>
          <w:sz w:val="24"/>
          <w:szCs w:val="24"/>
        </w:rPr>
        <w:fldChar w:fldCharType="begin"/>
      </w:r>
      <w:r w:rsidR="00C52841">
        <w:rPr>
          <w:rFonts w:ascii="Times New Roman" w:hAnsi="Times New Roman" w:cs="Times New Roman"/>
          <w:sz w:val="24"/>
          <w:szCs w:val="24"/>
        </w:rPr>
        <w:instrText xml:space="preserve"> ADDIN ZOTERO_ITEM CSL_CITATION {"citationID":"ZADIIQJO","properties":{"formattedCitation":"(Garc\\uc0\\u237{}a &amp; Lagos, 2023)","plainCitation":"(García &amp; Lagos, 2023)","dontUpdate":true,"noteIndex":0},"citationItems":[{"id":"mhK3fgOx/0RQRGY6k","uris":["http://zotero.org/users/local/rewjbDUP/items/355B3N3D"],"itemData":{"id":30,"type":"thesis","language":"Español","license":"Hengel Nahaman Garcia Ramos Reyna Margarita Lagos Portillo","publisher":"UNIVERSIDAD TECNOLÓGICA CENTROAMERICANA UNITEC","title":"ANÁLISIS DE LA MOROSIDAD DE LOS INQUILINOS DE LA INMOBILIARIA SANTAFÉ S. A. DE C.V. DURANTE EL PERIODO 2019-2022","author":[{"family":"García","given":"Hengel"},{"family":"Lagos","given":"Reyna"}],"issued":{"date-parts":[["2023",6]]}}}],"schema":"https://github.com/citation-style-language/schema/raw/master/csl-citation.json"} </w:instrText>
      </w:r>
      <w:r w:rsidRPr="00AC20D6">
        <w:rPr>
          <w:rFonts w:ascii="Times New Roman" w:hAnsi="Times New Roman" w:cs="Times New Roman"/>
          <w:sz w:val="24"/>
          <w:szCs w:val="24"/>
        </w:rPr>
        <w:fldChar w:fldCharType="separate"/>
      </w:r>
      <w:r w:rsidRPr="00AC20D6">
        <w:rPr>
          <w:rFonts w:ascii="Times New Roman" w:hAnsi="Times New Roman" w:cs="Times New Roman"/>
          <w:sz w:val="24"/>
          <w:szCs w:val="24"/>
        </w:rPr>
        <w:t>García &amp; Lagos, (2023)</w:t>
      </w:r>
      <w:r w:rsidRPr="00AC20D6">
        <w:rPr>
          <w:rFonts w:ascii="Times New Roman" w:hAnsi="Times New Roman" w:cs="Times New Roman"/>
          <w:sz w:val="24"/>
          <w:szCs w:val="24"/>
        </w:rPr>
        <w:fldChar w:fldCharType="end"/>
      </w:r>
      <w:r w:rsidRPr="00AC20D6">
        <w:rPr>
          <w:rFonts w:ascii="Times New Roman" w:hAnsi="Times New Roman" w:cs="Times New Roman"/>
          <w:sz w:val="24"/>
          <w:szCs w:val="24"/>
        </w:rPr>
        <w:t>, en la ciudad de Comayagua, Honduras, el objetivo principal es determinar el nivel de morosidad de los inquilinos de la inmobiliaria Santafé S. A. de C.V. durante el periodo comprendido entre 2019 – 2022, asimismo, para sustentar la investigación se consideró la teoría de la Administración.</w:t>
      </w:r>
    </w:p>
    <w:p w14:paraId="7AD022FF" w14:textId="77777777" w:rsidR="00AC20D6" w:rsidRPr="00AC20D6" w:rsidRDefault="00AC20D6" w:rsidP="00AC20D6">
      <w:pPr>
        <w:tabs>
          <w:tab w:val="left" w:pos="2955"/>
        </w:tabs>
        <w:spacing w:line="360" w:lineRule="auto"/>
        <w:ind w:firstLine="720"/>
        <w:jc w:val="both"/>
        <w:rPr>
          <w:rFonts w:ascii="Times New Roman" w:hAnsi="Times New Roman" w:cs="Times New Roman"/>
          <w:sz w:val="24"/>
          <w:szCs w:val="24"/>
        </w:rPr>
      </w:pPr>
      <w:r w:rsidRPr="00AC20D6">
        <w:rPr>
          <w:rFonts w:ascii="Times New Roman" w:hAnsi="Times New Roman" w:cs="Times New Roman"/>
          <w:sz w:val="24"/>
          <w:szCs w:val="24"/>
        </w:rPr>
        <w:t>Además, la investigación se elaboró bajo un enfoque mixto con un alcance descriptivo, diseño no experimental con corte longitudinal y transversal, con método deductivo y se utilizó como técnicas, entrevistas estructuradas y análisis de bases de datos de la inmobiliaria antes mencionada.</w:t>
      </w:r>
    </w:p>
    <w:p w14:paraId="1DDB93C3" w14:textId="77777777" w:rsidR="00AC20D6" w:rsidRPr="00AC20D6" w:rsidRDefault="00AC20D6" w:rsidP="00AC20D6">
      <w:pPr>
        <w:tabs>
          <w:tab w:val="left" w:pos="2955"/>
        </w:tabs>
        <w:spacing w:line="360" w:lineRule="auto"/>
        <w:ind w:firstLine="720"/>
        <w:jc w:val="both"/>
        <w:rPr>
          <w:sz w:val="24"/>
          <w:szCs w:val="24"/>
        </w:rPr>
      </w:pPr>
      <w:r w:rsidRPr="00AC20D6">
        <w:rPr>
          <w:rFonts w:ascii="Times New Roman" w:hAnsi="Times New Roman" w:cs="Times New Roman"/>
          <w:sz w:val="24"/>
          <w:szCs w:val="24"/>
        </w:rPr>
        <w:t>En esta investigación se determinó que, del total de la cartera de crédito de la inmobiliaria Santafé S. A. de C.V., al cierre de los años 2019, 2020, 2021 y 2022 el crédito moroso es de L5,323,772.32, L10,334,790.89, L7,863,693.41 y L11,290,334.46 respectivamente, en términos porcentuales dichas cantidades representan el 4%, 12%, 6% y 7% del total de las cuentas por cobrar a los arrendatarios de la inmobiliaria para los años en mención.</w:t>
      </w:r>
      <w:r w:rsidRPr="00AC20D6">
        <w:rPr>
          <w:sz w:val="24"/>
          <w:szCs w:val="24"/>
        </w:rPr>
        <w:t xml:space="preserve"> </w:t>
      </w:r>
      <w:r w:rsidRPr="00AC20D6">
        <w:rPr>
          <w:rFonts w:ascii="Times New Roman" w:hAnsi="Times New Roman" w:cs="Times New Roman"/>
          <w:sz w:val="24"/>
          <w:szCs w:val="24"/>
        </w:rPr>
        <w:t xml:space="preserve">En cuanto a la incidencia de la morosidad en las utilidades de la inmobiliaria, el estado de pérdidas y ganancias en el periodo del 2019 al 2022, reflejan gasto por provisión de cuentas incobrables, el cual para las utilidades antes de impuesto del 2019, 2021 y 2022, representa el 7.15%, 6.21% y 10.55%, y para la pérdida antes de impuesto del año 2020 representa un -7.79%, los porcentajes mencionados también indican el </w:t>
      </w:r>
      <w:r w:rsidRPr="00AC20D6">
        <w:rPr>
          <w:rFonts w:ascii="Times New Roman" w:hAnsi="Times New Roman" w:cs="Times New Roman"/>
          <w:sz w:val="24"/>
          <w:szCs w:val="24"/>
        </w:rPr>
        <w:lastRenderedPageBreak/>
        <w:t>incremento de las utilidades y la disminución de la pérdida para dichos periodos sino se hicieran los gastos por dichas provisiones</w:t>
      </w:r>
      <w:r w:rsidRPr="00AC20D6">
        <w:rPr>
          <w:sz w:val="24"/>
          <w:szCs w:val="24"/>
        </w:rPr>
        <w:t>.</w:t>
      </w:r>
    </w:p>
    <w:p w14:paraId="0BC074E3" w14:textId="3954B561" w:rsidR="00AC20D6" w:rsidRPr="00AC20D6" w:rsidRDefault="00AC20D6" w:rsidP="00AC20D6">
      <w:pPr>
        <w:tabs>
          <w:tab w:val="left" w:pos="2955"/>
        </w:tabs>
        <w:spacing w:line="360" w:lineRule="auto"/>
        <w:ind w:firstLine="720"/>
        <w:jc w:val="both"/>
        <w:rPr>
          <w:rFonts w:ascii="Times New Roman" w:hAnsi="Times New Roman" w:cs="Times New Roman"/>
          <w:sz w:val="24"/>
          <w:szCs w:val="24"/>
        </w:rPr>
      </w:pPr>
      <w:r w:rsidRPr="00AC20D6">
        <w:rPr>
          <w:rFonts w:ascii="Times New Roman" w:hAnsi="Times New Roman" w:cs="Times New Roman"/>
          <w:sz w:val="24"/>
          <w:szCs w:val="24"/>
        </w:rPr>
        <w:t xml:space="preserve">Para esta investigación </w:t>
      </w:r>
      <w:r w:rsidRPr="00AC20D6">
        <w:rPr>
          <w:rFonts w:ascii="Times New Roman" w:hAnsi="Times New Roman" w:cs="Times New Roman"/>
          <w:sz w:val="24"/>
          <w:szCs w:val="24"/>
        </w:rPr>
        <w:fldChar w:fldCharType="begin"/>
      </w:r>
      <w:r w:rsidR="00C52841">
        <w:rPr>
          <w:rFonts w:ascii="Times New Roman" w:hAnsi="Times New Roman" w:cs="Times New Roman"/>
          <w:sz w:val="24"/>
          <w:szCs w:val="24"/>
        </w:rPr>
        <w:instrText xml:space="preserve"> ADDIN ZOTERO_ITEM CSL_CITATION {"citationID":"k7XB9itZ","properties":{"formattedCitation":"(Garc\\uc0\\u237{}a &amp; Lagos, 2023)","plainCitation":"(García &amp; Lagos, 2023)","dontUpdate":true,"noteIndex":0},"citationItems":[{"id":"mhK3fgOx/0RQRGY6k","uris":["http://zotero.org/users/local/rewjbDUP/items/355B3N3D"],"itemData":{"id":30,"type":"thesis","language":"Español","license":"Hengel Nahaman Garcia Ramos Reyna Margarita Lagos Portillo","publisher":"UNIVERSIDAD TECNOLÓGICA CENTROAMERICANA UNITEC","title":"ANÁLISIS DE LA MOROSIDAD DE LOS INQUILINOS DE LA INMOBILIARIA SANTAFÉ S. A. DE C.V. DURANTE EL PERIODO 2019-2022","author":[{"family":"García","given":"Hengel"},{"family":"Lagos","given":"Reyna"}],"issued":{"date-parts":[["2023",6]]}}}],"schema":"https://github.com/citation-style-language/schema/raw/master/csl-citation.json"} </w:instrText>
      </w:r>
      <w:r w:rsidRPr="00AC20D6">
        <w:rPr>
          <w:rFonts w:ascii="Times New Roman" w:hAnsi="Times New Roman" w:cs="Times New Roman"/>
          <w:sz w:val="24"/>
          <w:szCs w:val="24"/>
        </w:rPr>
        <w:fldChar w:fldCharType="separate"/>
      </w:r>
      <w:r w:rsidRPr="00AC20D6">
        <w:rPr>
          <w:rFonts w:ascii="Times New Roman" w:hAnsi="Times New Roman" w:cs="Times New Roman"/>
          <w:sz w:val="24"/>
          <w:szCs w:val="24"/>
        </w:rPr>
        <w:t>García &amp; Lagos, (2023)</w:t>
      </w:r>
      <w:r w:rsidRPr="00AC20D6">
        <w:rPr>
          <w:rFonts w:ascii="Times New Roman" w:hAnsi="Times New Roman" w:cs="Times New Roman"/>
          <w:sz w:val="24"/>
          <w:szCs w:val="24"/>
        </w:rPr>
        <w:fldChar w:fldCharType="end"/>
      </w:r>
      <w:r w:rsidRPr="00AC20D6">
        <w:rPr>
          <w:rFonts w:ascii="Times New Roman" w:hAnsi="Times New Roman" w:cs="Times New Roman"/>
          <w:sz w:val="24"/>
          <w:szCs w:val="24"/>
        </w:rPr>
        <w:t xml:space="preserve"> recomiendan que para mitigar el riesgo de incumplimiento de pago por parte de los arrendatarios, la inmobiliaria podría considerar realizar investigaciones de antecedentes contractuales de los inquilinos, como también solicitar referencias crediticias, ya que de esta manera se podrá conocer si el cliente es responsable en cuanto al cumplimiento de los pagos, además, realizar un cobro persuasivo con mayor frecuencia a aquellos arrendatarios que de manera reiterada se ven involucrados en la situación de deudor.</w:t>
      </w:r>
    </w:p>
    <w:p w14:paraId="38D12B7A" w14:textId="77777777" w:rsidR="003642E0" w:rsidRPr="003642E0" w:rsidRDefault="003642E0" w:rsidP="003642E0">
      <w:pPr>
        <w:pStyle w:val="TextoPrincipal"/>
        <w:spacing w:line="360" w:lineRule="auto"/>
        <w:rPr>
          <w:b/>
          <w:bCs/>
        </w:rPr>
      </w:pPr>
    </w:p>
    <w:p w14:paraId="693D5D13" w14:textId="65EE545C" w:rsidR="00195E89" w:rsidRPr="00195E89" w:rsidRDefault="00B260A8" w:rsidP="009B545E">
      <w:pPr>
        <w:pStyle w:val="Ttulo2"/>
        <w:numPr>
          <w:ilvl w:val="1"/>
          <w:numId w:val="6"/>
        </w:numPr>
        <w:spacing w:line="360" w:lineRule="auto"/>
        <w:ind w:left="0" w:firstLine="0"/>
      </w:pPr>
      <w:r>
        <w:t xml:space="preserve"> </w:t>
      </w:r>
      <w:bookmarkStart w:id="136" w:name="_Toc166705792"/>
      <w:bookmarkStart w:id="137" w:name="_Toc175171394"/>
      <w:r w:rsidR="00A871DB" w:rsidRPr="00195E89">
        <w:t>MARCO LEGAL</w:t>
      </w:r>
      <w:bookmarkEnd w:id="136"/>
      <w:bookmarkEnd w:id="137"/>
    </w:p>
    <w:p w14:paraId="3BA70D2C" w14:textId="77777777" w:rsidR="00FD3E3C" w:rsidRDefault="00FD3E3C" w:rsidP="00D40FD1">
      <w:pPr>
        <w:widowControl/>
        <w:spacing w:after="160" w:line="360" w:lineRule="auto"/>
        <w:ind w:firstLine="720"/>
        <w:jc w:val="both"/>
        <w:rPr>
          <w:rFonts w:ascii="Times New Roman" w:hAnsi="Times New Roman" w:cs="Times New Roman"/>
          <w:sz w:val="24"/>
          <w:szCs w:val="24"/>
        </w:rPr>
      </w:pPr>
      <w:r w:rsidRPr="00FD3E3C">
        <w:rPr>
          <w:rFonts w:ascii="Times New Roman" w:hAnsi="Times New Roman" w:cs="Times New Roman"/>
          <w:sz w:val="24"/>
          <w:szCs w:val="24"/>
        </w:rPr>
        <w:t>La base legal constituye el cimiento sobre el cual se sustenta cualquier investigación académica o tesis jurídica. En el contexto de este estudio, se refiere al conjunto de normativas, leyes, jurisprudencia y demás fuentes del derecho que proporcionan el marco regulatorio y las directrices legales pertinentes al tema en análisis. Esta base legal no solo delimita el alcance y la validez de las conclusiones obtenidas, sino que también otorga credibilidad y rigor a la investigación realizada.</w:t>
      </w:r>
    </w:p>
    <w:p w14:paraId="70F5E4A4" w14:textId="77777777" w:rsidR="00816B30" w:rsidRDefault="00816B30" w:rsidP="00D40FD1">
      <w:pPr>
        <w:widowControl/>
        <w:spacing w:after="160" w:line="360" w:lineRule="auto"/>
        <w:ind w:firstLine="720"/>
        <w:jc w:val="both"/>
        <w:rPr>
          <w:rFonts w:ascii="Times New Roman" w:hAnsi="Times New Roman" w:cs="Times New Roman"/>
          <w:sz w:val="24"/>
          <w:szCs w:val="24"/>
        </w:rPr>
      </w:pPr>
    </w:p>
    <w:p w14:paraId="5B69ED11" w14:textId="15C88593" w:rsidR="00FD3E3C" w:rsidRPr="00473B79" w:rsidRDefault="00B260A8" w:rsidP="00B260A8">
      <w:pPr>
        <w:pStyle w:val="Ttulo3"/>
        <w:spacing w:line="360" w:lineRule="auto"/>
        <w:ind w:left="0" w:firstLine="720"/>
        <w:jc w:val="both"/>
      </w:pPr>
      <w:bookmarkStart w:id="138" w:name="_Toc166705793"/>
      <w:bookmarkStart w:id="139" w:name="_Toc175171395"/>
      <w:r w:rsidRPr="00473B79">
        <w:t>2.3.1. LEY REGULADORA DE LAS ORGANIZACIONES PRIVADAS DE DESARROLLO QUE SE DEDICAN A ACTIVIDADES FINANCIERAS</w:t>
      </w:r>
      <w:bookmarkEnd w:id="138"/>
      <w:bookmarkEnd w:id="139"/>
    </w:p>
    <w:p w14:paraId="09B89EB7" w14:textId="3400C422" w:rsidR="00FD3E3C" w:rsidRPr="00FD3E3C" w:rsidRDefault="00FD3E3C" w:rsidP="00902400">
      <w:pPr>
        <w:widowControl/>
        <w:spacing w:after="160" w:line="360" w:lineRule="auto"/>
        <w:ind w:firstLine="720"/>
        <w:jc w:val="both"/>
        <w:rPr>
          <w:rFonts w:ascii="Times New Roman" w:hAnsi="Times New Roman" w:cs="Times New Roman"/>
          <w:sz w:val="24"/>
          <w:szCs w:val="24"/>
        </w:rPr>
      </w:pPr>
      <w:r w:rsidRPr="00FD3E3C">
        <w:rPr>
          <w:rFonts w:ascii="Times New Roman" w:hAnsi="Times New Roman" w:cs="Times New Roman"/>
          <w:sz w:val="24"/>
          <w:szCs w:val="24"/>
        </w:rPr>
        <w:t xml:space="preserve">Decreto bajo el cual fue creado: Decreto No. </w:t>
      </w:r>
      <w:r>
        <w:rPr>
          <w:rFonts w:ascii="Times New Roman" w:hAnsi="Times New Roman" w:cs="Times New Roman"/>
          <w:sz w:val="24"/>
          <w:szCs w:val="24"/>
        </w:rPr>
        <w:t>229</w:t>
      </w:r>
      <w:r w:rsidR="00AD48A9">
        <w:rPr>
          <w:rFonts w:ascii="Times New Roman" w:hAnsi="Times New Roman" w:cs="Times New Roman"/>
          <w:sz w:val="24"/>
          <w:szCs w:val="24"/>
        </w:rPr>
        <w:t>-2000</w:t>
      </w:r>
    </w:p>
    <w:p w14:paraId="0AAD776C" w14:textId="7BF38996" w:rsidR="00FD3E3C" w:rsidRPr="00FD3E3C" w:rsidRDefault="00FD3E3C" w:rsidP="00902400">
      <w:pPr>
        <w:widowControl/>
        <w:spacing w:after="160" w:line="360" w:lineRule="auto"/>
        <w:ind w:firstLine="720"/>
        <w:jc w:val="both"/>
        <w:rPr>
          <w:rFonts w:ascii="Times New Roman" w:hAnsi="Times New Roman" w:cs="Times New Roman"/>
          <w:sz w:val="24"/>
          <w:szCs w:val="24"/>
        </w:rPr>
      </w:pPr>
      <w:r w:rsidRPr="00FD3E3C">
        <w:rPr>
          <w:rFonts w:ascii="Times New Roman" w:hAnsi="Times New Roman" w:cs="Times New Roman"/>
          <w:sz w:val="24"/>
          <w:szCs w:val="24"/>
        </w:rPr>
        <w:t xml:space="preserve">Fecha de publicación de la gaceta: </w:t>
      </w:r>
      <w:r w:rsidR="00AD48A9" w:rsidRPr="00AD48A9">
        <w:rPr>
          <w:rFonts w:ascii="Times New Roman" w:hAnsi="Times New Roman" w:cs="Times New Roman"/>
          <w:sz w:val="24"/>
          <w:szCs w:val="24"/>
        </w:rPr>
        <w:t>Reformado mediante Decreto No.102-2003, publicado en el Diario Oficial La Gaceta el 26 de agosto de 2003).</w:t>
      </w:r>
    </w:p>
    <w:p w14:paraId="3BCB32C4" w14:textId="290721C9" w:rsidR="00FD3E3C" w:rsidRPr="00FD3E3C" w:rsidRDefault="00FD3E3C" w:rsidP="00902400">
      <w:pPr>
        <w:widowControl/>
        <w:spacing w:after="160" w:line="360" w:lineRule="auto"/>
        <w:ind w:firstLine="720"/>
        <w:jc w:val="both"/>
        <w:rPr>
          <w:rFonts w:ascii="Times New Roman" w:hAnsi="Times New Roman" w:cs="Times New Roman"/>
          <w:sz w:val="24"/>
          <w:szCs w:val="24"/>
        </w:rPr>
      </w:pPr>
      <w:r w:rsidRPr="00FD3E3C">
        <w:rPr>
          <w:rFonts w:ascii="Times New Roman" w:hAnsi="Times New Roman" w:cs="Times New Roman"/>
          <w:sz w:val="24"/>
          <w:szCs w:val="24"/>
        </w:rPr>
        <w:t xml:space="preserve">Presidente de la república: </w:t>
      </w:r>
      <w:r>
        <w:rPr>
          <w:rFonts w:ascii="Times New Roman" w:hAnsi="Times New Roman" w:cs="Times New Roman"/>
          <w:sz w:val="24"/>
          <w:szCs w:val="24"/>
        </w:rPr>
        <w:t>Ricardo Maduro</w:t>
      </w:r>
      <w:r w:rsidR="007F766A">
        <w:rPr>
          <w:rFonts w:ascii="Times New Roman" w:hAnsi="Times New Roman" w:cs="Times New Roman"/>
          <w:sz w:val="24"/>
          <w:szCs w:val="24"/>
        </w:rPr>
        <w:t xml:space="preserve"> </w:t>
      </w:r>
      <w:proofErr w:type="spellStart"/>
      <w:r w:rsidR="007F766A" w:rsidRPr="007F766A">
        <w:rPr>
          <w:rFonts w:ascii="Times New Roman" w:hAnsi="Times New Roman" w:cs="Times New Roman"/>
          <w:sz w:val="24"/>
          <w:szCs w:val="24"/>
        </w:rPr>
        <w:t>Joest</w:t>
      </w:r>
      <w:proofErr w:type="spellEnd"/>
    </w:p>
    <w:p w14:paraId="7D675C72" w14:textId="7A8688B6" w:rsidR="00FD3E3C" w:rsidRPr="00FD3E3C" w:rsidRDefault="00FD3E3C" w:rsidP="00902400">
      <w:pPr>
        <w:widowControl/>
        <w:spacing w:after="160" w:line="360" w:lineRule="auto"/>
        <w:ind w:firstLine="720"/>
        <w:jc w:val="both"/>
        <w:rPr>
          <w:rFonts w:ascii="Times New Roman" w:hAnsi="Times New Roman" w:cs="Times New Roman"/>
          <w:sz w:val="24"/>
          <w:szCs w:val="24"/>
        </w:rPr>
      </w:pPr>
      <w:r w:rsidRPr="00FD3E3C">
        <w:rPr>
          <w:rFonts w:ascii="Times New Roman" w:hAnsi="Times New Roman" w:cs="Times New Roman"/>
          <w:sz w:val="24"/>
          <w:szCs w:val="24"/>
        </w:rPr>
        <w:t xml:space="preserve">Presidente del congreso: </w:t>
      </w:r>
      <w:r w:rsidR="00AD48A9">
        <w:rPr>
          <w:rFonts w:ascii="Times New Roman" w:hAnsi="Times New Roman" w:cs="Times New Roman"/>
          <w:sz w:val="24"/>
          <w:szCs w:val="24"/>
        </w:rPr>
        <w:t>Porfirio Lobo Sosa</w:t>
      </w:r>
    </w:p>
    <w:p w14:paraId="01527A0E" w14:textId="4E709A0B" w:rsidR="00FD3E3C" w:rsidRPr="00AD48A9" w:rsidRDefault="00FD3E3C" w:rsidP="00902400">
      <w:pPr>
        <w:widowControl/>
        <w:spacing w:after="160" w:line="360" w:lineRule="auto"/>
        <w:ind w:firstLine="720"/>
        <w:jc w:val="both"/>
        <w:rPr>
          <w:rFonts w:ascii="Times New Roman" w:hAnsi="Times New Roman" w:cs="Times New Roman"/>
          <w:sz w:val="24"/>
          <w:szCs w:val="24"/>
        </w:rPr>
      </w:pPr>
      <w:r w:rsidRPr="00AD48A9">
        <w:rPr>
          <w:rFonts w:ascii="Times New Roman" w:hAnsi="Times New Roman" w:cs="Times New Roman"/>
          <w:sz w:val="24"/>
          <w:szCs w:val="24"/>
        </w:rPr>
        <w:t xml:space="preserve">Objetivo de la Ley: </w:t>
      </w:r>
      <w:r w:rsidR="00AD48A9" w:rsidRPr="00AD48A9">
        <w:rPr>
          <w:rFonts w:ascii="Times New Roman" w:hAnsi="Times New Roman" w:cs="Times New Roman"/>
          <w:sz w:val="24"/>
          <w:szCs w:val="24"/>
        </w:rPr>
        <w:t xml:space="preserve">Tiene por objeto regular exclusivamente a las Organizaciones Privadas de Desarrollo (OPD) cuya actividad principal y única es el financiamiento de la micro y pequeña empresa, con el fin de garantizar la legalidad, transparencia y seguridad de sus operaciones y fortalecer la viabilidad y sostenibilidad de </w:t>
      </w:r>
      <w:proofErr w:type="gramStart"/>
      <w:r w:rsidR="00AD48A9" w:rsidRPr="00AD48A9">
        <w:rPr>
          <w:rFonts w:ascii="Times New Roman" w:hAnsi="Times New Roman" w:cs="Times New Roman"/>
          <w:sz w:val="24"/>
          <w:szCs w:val="24"/>
        </w:rPr>
        <w:t>las mismas</w:t>
      </w:r>
      <w:proofErr w:type="gramEnd"/>
      <w:r w:rsidR="00AD48A9" w:rsidRPr="00AD48A9">
        <w:rPr>
          <w:rFonts w:ascii="Times New Roman" w:hAnsi="Times New Roman" w:cs="Times New Roman"/>
          <w:sz w:val="24"/>
          <w:szCs w:val="24"/>
        </w:rPr>
        <w:t>.</w:t>
      </w:r>
    </w:p>
    <w:p w14:paraId="4F45008F" w14:textId="1703183C" w:rsidR="00CC59E6" w:rsidRPr="00CC59E6" w:rsidRDefault="00FD3E3C" w:rsidP="00902400">
      <w:pPr>
        <w:widowControl/>
        <w:spacing w:after="160" w:line="360" w:lineRule="auto"/>
        <w:ind w:firstLine="720"/>
        <w:jc w:val="both"/>
        <w:rPr>
          <w:rFonts w:ascii="Times New Roman" w:hAnsi="Times New Roman" w:cs="Times New Roman"/>
          <w:sz w:val="24"/>
          <w:szCs w:val="24"/>
        </w:rPr>
      </w:pPr>
      <w:r w:rsidRPr="00CC59E6">
        <w:rPr>
          <w:rFonts w:ascii="Times New Roman" w:hAnsi="Times New Roman" w:cs="Times New Roman"/>
          <w:sz w:val="24"/>
          <w:szCs w:val="24"/>
        </w:rPr>
        <w:lastRenderedPageBreak/>
        <w:t xml:space="preserve">Entre los artículos más relevantes para esta investigación </w:t>
      </w:r>
      <w:r w:rsidR="00CC59E6">
        <w:rPr>
          <w:rFonts w:ascii="Times New Roman" w:hAnsi="Times New Roman" w:cs="Times New Roman"/>
          <w:sz w:val="24"/>
          <w:szCs w:val="24"/>
        </w:rPr>
        <w:t>destacan los siguientes</w:t>
      </w:r>
      <w:r w:rsidRPr="00CC59E6">
        <w:rPr>
          <w:rFonts w:ascii="Times New Roman" w:hAnsi="Times New Roman" w:cs="Times New Roman"/>
          <w:sz w:val="24"/>
          <w:szCs w:val="24"/>
        </w:rPr>
        <w:t>:</w:t>
      </w:r>
    </w:p>
    <w:p w14:paraId="14CB0DAC" w14:textId="594DE434" w:rsidR="00CC59E6" w:rsidRPr="00CC59E6" w:rsidRDefault="00093A92" w:rsidP="00902400">
      <w:pPr>
        <w:widowControl/>
        <w:spacing w:after="160" w:line="360" w:lineRule="auto"/>
        <w:ind w:firstLine="720"/>
        <w:jc w:val="both"/>
        <w:rPr>
          <w:rFonts w:ascii="Times New Roman" w:hAnsi="Times New Roman" w:cs="Times New Roman"/>
          <w:sz w:val="24"/>
          <w:szCs w:val="24"/>
        </w:rPr>
      </w:pPr>
      <w:r w:rsidRPr="00CC59E6">
        <w:rPr>
          <w:rFonts w:ascii="Times New Roman" w:hAnsi="Times New Roman" w:cs="Times New Roman"/>
          <w:b/>
          <w:bCs/>
          <w:sz w:val="24"/>
          <w:szCs w:val="24"/>
        </w:rPr>
        <w:t>Artículo No. 2.</w:t>
      </w:r>
      <w:r w:rsidRPr="00CC59E6">
        <w:rPr>
          <w:rFonts w:ascii="Times New Roman" w:hAnsi="Times New Roman" w:cs="Times New Roman"/>
          <w:sz w:val="24"/>
          <w:szCs w:val="24"/>
        </w:rPr>
        <w:t xml:space="preserve"> </w:t>
      </w:r>
      <w:r w:rsidR="00CC59E6" w:rsidRPr="00CC59E6">
        <w:rPr>
          <w:rFonts w:ascii="Times New Roman" w:hAnsi="Times New Roman" w:cs="Times New Roman"/>
          <w:sz w:val="24"/>
          <w:szCs w:val="24"/>
        </w:rPr>
        <w:t xml:space="preserve">Las Organizaciones Privadas de Desarrollo (OPD), reguladas por la presente Ley se denominarán 'Organizaciones Privadas de Desarrollo Financieras' y se identificarán como las Organizaciones Privadas de Desarrollo Financiera (OPDF). </w:t>
      </w:r>
    </w:p>
    <w:p w14:paraId="7FD2D7F2" w14:textId="6703208F" w:rsidR="0064420B" w:rsidRDefault="00093A92" w:rsidP="00902400">
      <w:pPr>
        <w:widowControl/>
        <w:spacing w:after="160" w:line="360" w:lineRule="auto"/>
        <w:ind w:firstLine="720"/>
        <w:jc w:val="both"/>
      </w:pPr>
      <w:r w:rsidRPr="00CC59E6">
        <w:rPr>
          <w:rFonts w:ascii="Times New Roman" w:hAnsi="Times New Roman" w:cs="Times New Roman"/>
          <w:b/>
          <w:bCs/>
          <w:sz w:val="24"/>
          <w:szCs w:val="24"/>
        </w:rPr>
        <w:t>Artículo No. 3.</w:t>
      </w:r>
      <w:r w:rsidRPr="00CC59E6">
        <w:rPr>
          <w:rFonts w:ascii="Times New Roman" w:hAnsi="Times New Roman" w:cs="Times New Roman"/>
          <w:sz w:val="24"/>
          <w:szCs w:val="24"/>
        </w:rPr>
        <w:t xml:space="preserve"> </w:t>
      </w:r>
      <w:r w:rsidR="00CC59E6" w:rsidRPr="00CC59E6">
        <w:rPr>
          <w:rFonts w:ascii="Times New Roman" w:hAnsi="Times New Roman" w:cs="Times New Roman"/>
          <w:sz w:val="24"/>
          <w:szCs w:val="24"/>
        </w:rPr>
        <w:t>Las Organizaciones Privadas de Desarrollo Financieras (OPDF), se regirán por los preceptos de esta Ley, por el Código Civil, por sus Estatutos y, en su defecto por las demás leyes vigentes en la República.</w:t>
      </w:r>
    </w:p>
    <w:p w14:paraId="449C0DF6" w14:textId="609A965A" w:rsidR="0064420B" w:rsidRDefault="00093A92" w:rsidP="00902400">
      <w:pPr>
        <w:widowControl/>
        <w:spacing w:after="160" w:line="360" w:lineRule="auto"/>
        <w:ind w:firstLine="720"/>
        <w:jc w:val="both"/>
        <w:rPr>
          <w:rFonts w:ascii="Times New Roman" w:hAnsi="Times New Roman" w:cs="Times New Roman"/>
          <w:sz w:val="24"/>
          <w:szCs w:val="24"/>
        </w:rPr>
      </w:pPr>
      <w:r w:rsidRPr="0064420B">
        <w:rPr>
          <w:rFonts w:ascii="Times New Roman" w:hAnsi="Times New Roman" w:cs="Times New Roman"/>
          <w:b/>
          <w:bCs/>
          <w:sz w:val="24"/>
          <w:szCs w:val="24"/>
        </w:rPr>
        <w:t>Artículo No. 5.</w:t>
      </w:r>
      <w:r w:rsidRPr="0064420B">
        <w:rPr>
          <w:rFonts w:ascii="Times New Roman" w:hAnsi="Times New Roman" w:cs="Times New Roman"/>
          <w:sz w:val="24"/>
          <w:szCs w:val="24"/>
        </w:rPr>
        <w:t xml:space="preserve"> </w:t>
      </w:r>
      <w:r w:rsidR="0064420B" w:rsidRPr="0064420B">
        <w:rPr>
          <w:rFonts w:ascii="Times New Roman" w:hAnsi="Times New Roman" w:cs="Times New Roman"/>
          <w:sz w:val="24"/>
          <w:szCs w:val="24"/>
        </w:rPr>
        <w:t>Las Organizaciones, Privadas de Desarrollo Financieras (OPDF), son entidades de carácter privado, de naturaleza civil, sin fines de lucro, cuyos fundadores son personas naturales o jurídicas, constituidas con el objeto de brindar servicios financieros en apoyo a la actividad económica que realizan las micro y pequeñas empresas.</w:t>
      </w:r>
    </w:p>
    <w:p w14:paraId="22F20400" w14:textId="71580348" w:rsidR="0064420B" w:rsidRDefault="00093A92" w:rsidP="00902400">
      <w:pPr>
        <w:widowControl/>
        <w:spacing w:after="160" w:line="360" w:lineRule="auto"/>
        <w:ind w:firstLine="720"/>
        <w:jc w:val="both"/>
        <w:rPr>
          <w:rFonts w:ascii="Times New Roman" w:hAnsi="Times New Roman" w:cs="Times New Roman"/>
          <w:sz w:val="24"/>
          <w:szCs w:val="24"/>
        </w:rPr>
      </w:pPr>
      <w:r w:rsidRPr="0064420B">
        <w:rPr>
          <w:rFonts w:ascii="Times New Roman" w:hAnsi="Times New Roman" w:cs="Times New Roman"/>
          <w:b/>
          <w:bCs/>
          <w:sz w:val="24"/>
          <w:szCs w:val="24"/>
        </w:rPr>
        <w:t>Artículo No. 9.</w:t>
      </w:r>
      <w:r w:rsidRPr="0064420B">
        <w:rPr>
          <w:rFonts w:ascii="Times New Roman" w:hAnsi="Times New Roman" w:cs="Times New Roman"/>
          <w:sz w:val="24"/>
          <w:szCs w:val="24"/>
        </w:rPr>
        <w:t xml:space="preserve"> </w:t>
      </w:r>
      <w:r w:rsidR="0064420B" w:rsidRPr="0064420B">
        <w:rPr>
          <w:rFonts w:ascii="Times New Roman" w:hAnsi="Times New Roman" w:cs="Times New Roman"/>
          <w:sz w:val="24"/>
          <w:szCs w:val="24"/>
        </w:rPr>
        <w:t>El Poder Ejecutivo, por medio de la Secretaría de Estado en los despachos de Gobernación y Justicia, tendrá la potestad de cancelar la personalidad jurídica de las Organizaciones Privadas de Desarrollo Financiera. (OPDF), que infrinjan el ordenamiento jurídico en cuyo caso en la resolución correspondiente deberá asegurarse que la misma tenga un plan para la liquidación de sus pasivos.</w:t>
      </w:r>
    </w:p>
    <w:p w14:paraId="46ECB040" w14:textId="5C2AE571" w:rsidR="0064420B" w:rsidRPr="0064420B" w:rsidRDefault="00093A92" w:rsidP="00902400">
      <w:pPr>
        <w:widowControl/>
        <w:spacing w:after="160" w:line="360" w:lineRule="auto"/>
        <w:ind w:firstLine="720"/>
        <w:jc w:val="both"/>
        <w:rPr>
          <w:rFonts w:ascii="Times New Roman" w:hAnsi="Times New Roman" w:cs="Times New Roman"/>
          <w:sz w:val="24"/>
          <w:szCs w:val="24"/>
        </w:rPr>
      </w:pPr>
      <w:r w:rsidRPr="0064420B">
        <w:rPr>
          <w:rFonts w:ascii="Times New Roman" w:hAnsi="Times New Roman" w:cs="Times New Roman"/>
          <w:b/>
          <w:bCs/>
          <w:sz w:val="24"/>
          <w:szCs w:val="24"/>
        </w:rPr>
        <w:t>Artículo No. 26.</w:t>
      </w:r>
      <w:r w:rsidRPr="0064420B">
        <w:rPr>
          <w:rFonts w:ascii="Times New Roman" w:hAnsi="Times New Roman" w:cs="Times New Roman"/>
          <w:sz w:val="24"/>
          <w:szCs w:val="24"/>
        </w:rPr>
        <w:t xml:space="preserve"> </w:t>
      </w:r>
      <w:r w:rsidR="0064420B" w:rsidRPr="0064420B">
        <w:rPr>
          <w:rFonts w:ascii="Times New Roman" w:hAnsi="Times New Roman" w:cs="Times New Roman"/>
          <w:sz w:val="24"/>
          <w:szCs w:val="24"/>
        </w:rPr>
        <w:t>La responsabilidad de los directivos será solidaria y cubre lo siguiente: 1) La autenticidad de los excedentes obtenidos o de las pérdidas sufridas por la Organización Privada de Desarrollo Financiera (OPDF). 2) La existencia de los libros sociales y la veracidad de las anotaciones hechas en los mismos; y, 3) En general, velar por el cumplimiento de las obligaciones que imponen la Ley, los Reglamentos y los Estatutos.</w:t>
      </w:r>
    </w:p>
    <w:p w14:paraId="098D1198" w14:textId="387853FD" w:rsidR="0064420B" w:rsidRDefault="00093A92" w:rsidP="00902400">
      <w:pPr>
        <w:widowControl/>
        <w:spacing w:after="160" w:line="360" w:lineRule="auto"/>
        <w:ind w:firstLine="720"/>
        <w:jc w:val="both"/>
        <w:rPr>
          <w:rFonts w:ascii="Times New Roman" w:hAnsi="Times New Roman" w:cs="Times New Roman"/>
          <w:sz w:val="24"/>
          <w:szCs w:val="24"/>
        </w:rPr>
      </w:pPr>
      <w:r w:rsidRPr="0064420B">
        <w:rPr>
          <w:rFonts w:ascii="Times New Roman" w:hAnsi="Times New Roman" w:cs="Times New Roman"/>
          <w:b/>
          <w:bCs/>
          <w:sz w:val="24"/>
          <w:szCs w:val="24"/>
        </w:rPr>
        <w:t>Artículo No. 31.</w:t>
      </w:r>
      <w:r w:rsidR="0064420B" w:rsidRPr="0064420B">
        <w:rPr>
          <w:rFonts w:ascii="Times New Roman" w:hAnsi="Times New Roman" w:cs="Times New Roman"/>
          <w:sz w:val="24"/>
          <w:szCs w:val="24"/>
        </w:rPr>
        <w:t xml:space="preserve"> La Junta de Vigilancia tendrá todas las facultades necesarias para fiscalizar, revisar procedimientos administrativos y contables, investigar por si o en forma delegada, cualquier irregularidad de orden legal, financiero o económico-administrativo que se le denuncie o detectare. Los órganos administrativos de la Organización Privada de Desarrollo Financiera (OPDF), estarán obligados a facilitarle al efecto el conocimiento de todos los libros y documentos que la Junta de Vigilancia interna estime necesarios. En caso de conflicto sobre el cumplimiento de las recomendaciones, decidirá la Asamblea General. La Junta de Vigilancia Interna será solidariamente responsable con la Junta Directiva en los términos establecidos en el </w:t>
      </w:r>
      <w:r w:rsidR="0064420B" w:rsidRPr="0064420B">
        <w:rPr>
          <w:rFonts w:ascii="Times New Roman" w:hAnsi="Times New Roman" w:cs="Times New Roman"/>
          <w:sz w:val="24"/>
          <w:szCs w:val="24"/>
        </w:rPr>
        <w:lastRenderedPageBreak/>
        <w:t>Artículo 26 de la presente Ley, cuando hubiere omisión o negligencia en el cumplimiento de sus funciones.</w:t>
      </w:r>
    </w:p>
    <w:p w14:paraId="7321AADD" w14:textId="77777777" w:rsidR="0064420B" w:rsidRDefault="0064420B" w:rsidP="003E2058">
      <w:pPr>
        <w:widowControl/>
        <w:spacing w:line="360" w:lineRule="auto"/>
        <w:ind w:firstLine="708"/>
        <w:jc w:val="both"/>
        <w:rPr>
          <w:rFonts w:ascii="Times New Roman" w:hAnsi="Times New Roman" w:cs="Times New Roman"/>
          <w:sz w:val="24"/>
          <w:szCs w:val="24"/>
        </w:rPr>
      </w:pPr>
    </w:p>
    <w:p w14:paraId="36A1E4C0" w14:textId="3AEFCA5E" w:rsidR="0064420B" w:rsidRPr="00473B79" w:rsidRDefault="00B260A8" w:rsidP="00902400">
      <w:pPr>
        <w:pStyle w:val="Ttulo3"/>
        <w:spacing w:line="360" w:lineRule="auto"/>
        <w:ind w:left="0" w:firstLine="720"/>
        <w:jc w:val="both"/>
      </w:pPr>
      <w:bookmarkStart w:id="140" w:name="_Toc166705794"/>
      <w:bookmarkStart w:id="141" w:name="_Toc175171396"/>
      <w:r w:rsidRPr="00473B79">
        <w:t>2.3.2. LEY DEL SISTEMA FINANCIERO</w:t>
      </w:r>
      <w:bookmarkEnd w:id="140"/>
      <w:bookmarkEnd w:id="141"/>
    </w:p>
    <w:p w14:paraId="2516E1C6" w14:textId="77777777" w:rsidR="0064420B" w:rsidRPr="00613608" w:rsidRDefault="0064420B" w:rsidP="0064420B">
      <w:pPr>
        <w:spacing w:line="360" w:lineRule="auto"/>
        <w:ind w:firstLine="720"/>
        <w:jc w:val="both"/>
        <w:rPr>
          <w:rFonts w:ascii="Times New Roman" w:hAnsi="Times New Roman" w:cs="Times New Roman"/>
          <w:sz w:val="24"/>
        </w:rPr>
      </w:pPr>
      <w:r w:rsidRPr="00613608">
        <w:rPr>
          <w:rFonts w:ascii="Times New Roman" w:hAnsi="Times New Roman" w:cs="Times New Roman"/>
          <w:sz w:val="24"/>
        </w:rPr>
        <w:t>Decreto bajo el cual fue creado: Decreto No. 129-2004</w:t>
      </w:r>
    </w:p>
    <w:p w14:paraId="79E01C7B" w14:textId="77777777" w:rsidR="0064420B" w:rsidRPr="00613608" w:rsidRDefault="0064420B" w:rsidP="0064420B">
      <w:pPr>
        <w:spacing w:line="360" w:lineRule="auto"/>
        <w:ind w:firstLine="720"/>
        <w:jc w:val="both"/>
        <w:rPr>
          <w:rFonts w:ascii="Times New Roman" w:hAnsi="Times New Roman" w:cs="Times New Roman"/>
          <w:sz w:val="24"/>
        </w:rPr>
      </w:pPr>
      <w:r w:rsidRPr="00613608">
        <w:rPr>
          <w:rFonts w:ascii="Times New Roman" w:hAnsi="Times New Roman" w:cs="Times New Roman"/>
          <w:sz w:val="24"/>
        </w:rPr>
        <w:t>Fecha de publicación de la gaceta: 22 de septiembre de 2004</w:t>
      </w:r>
    </w:p>
    <w:p w14:paraId="25B18A54" w14:textId="43D97EF1" w:rsidR="0064420B" w:rsidRPr="00613608" w:rsidRDefault="0064420B" w:rsidP="0064420B">
      <w:pPr>
        <w:spacing w:line="360" w:lineRule="auto"/>
        <w:ind w:firstLine="720"/>
        <w:jc w:val="both"/>
        <w:rPr>
          <w:rFonts w:ascii="Times New Roman" w:hAnsi="Times New Roman" w:cs="Times New Roman"/>
          <w:sz w:val="24"/>
        </w:rPr>
      </w:pPr>
      <w:r w:rsidRPr="00613608">
        <w:rPr>
          <w:rFonts w:ascii="Times New Roman" w:hAnsi="Times New Roman" w:cs="Times New Roman"/>
          <w:sz w:val="24"/>
        </w:rPr>
        <w:t xml:space="preserve">Presidente de la república: </w:t>
      </w:r>
      <w:r w:rsidR="007F766A">
        <w:rPr>
          <w:rFonts w:ascii="Times New Roman" w:hAnsi="Times New Roman" w:cs="Times New Roman"/>
          <w:sz w:val="24"/>
        </w:rPr>
        <w:t xml:space="preserve">Ricardo Maduro </w:t>
      </w:r>
      <w:proofErr w:type="spellStart"/>
      <w:r w:rsidR="007F766A" w:rsidRPr="007F766A">
        <w:rPr>
          <w:rFonts w:ascii="Times New Roman" w:hAnsi="Times New Roman" w:cs="Times New Roman"/>
          <w:sz w:val="24"/>
        </w:rPr>
        <w:t>Joest</w:t>
      </w:r>
      <w:proofErr w:type="spellEnd"/>
    </w:p>
    <w:p w14:paraId="271484DF" w14:textId="36CDEBF8" w:rsidR="0064420B" w:rsidRPr="00613608" w:rsidRDefault="0064420B" w:rsidP="0064420B">
      <w:pPr>
        <w:spacing w:line="360" w:lineRule="auto"/>
        <w:ind w:firstLine="720"/>
        <w:jc w:val="both"/>
        <w:rPr>
          <w:rFonts w:ascii="Times New Roman" w:hAnsi="Times New Roman" w:cs="Times New Roman"/>
          <w:sz w:val="24"/>
        </w:rPr>
      </w:pPr>
      <w:r w:rsidRPr="00613608">
        <w:rPr>
          <w:rFonts w:ascii="Times New Roman" w:hAnsi="Times New Roman" w:cs="Times New Roman"/>
          <w:sz w:val="24"/>
        </w:rPr>
        <w:t xml:space="preserve">Presidente del congreso: </w:t>
      </w:r>
      <w:r w:rsidR="007F766A" w:rsidRPr="00613608">
        <w:rPr>
          <w:rFonts w:ascii="Times New Roman" w:hAnsi="Times New Roman" w:cs="Times New Roman"/>
          <w:sz w:val="24"/>
        </w:rPr>
        <w:t>Porfirio Lobo Sosa</w:t>
      </w:r>
    </w:p>
    <w:p w14:paraId="593A1602" w14:textId="5BA5D375" w:rsidR="0064420B" w:rsidRDefault="0064420B" w:rsidP="0064420B">
      <w:pPr>
        <w:spacing w:line="360" w:lineRule="auto"/>
        <w:ind w:firstLine="720"/>
        <w:jc w:val="both"/>
        <w:rPr>
          <w:rFonts w:ascii="Times New Roman" w:hAnsi="Times New Roman" w:cs="Times New Roman"/>
          <w:bCs/>
          <w:sz w:val="24"/>
        </w:rPr>
      </w:pPr>
      <w:r w:rsidRPr="00613608">
        <w:rPr>
          <w:rFonts w:ascii="Times New Roman" w:hAnsi="Times New Roman" w:cs="Times New Roman"/>
          <w:sz w:val="24"/>
        </w:rPr>
        <w:t xml:space="preserve">Objetivo de la Ley: </w:t>
      </w:r>
      <w:r w:rsidR="00946CAB">
        <w:rPr>
          <w:rFonts w:ascii="Times New Roman" w:hAnsi="Times New Roman" w:cs="Times New Roman"/>
          <w:sz w:val="24"/>
        </w:rPr>
        <w:t>R</w:t>
      </w:r>
      <w:r w:rsidRPr="00613608">
        <w:rPr>
          <w:rFonts w:ascii="Times New Roman" w:hAnsi="Times New Roman" w:cs="Times New Roman"/>
          <w:sz w:val="24"/>
        </w:rPr>
        <w:t>egular la o</w:t>
      </w:r>
      <w:r w:rsidRPr="004C54F1">
        <w:rPr>
          <w:rFonts w:ascii="Times New Roman" w:hAnsi="Times New Roman" w:cs="Times New Roman"/>
          <w:bCs/>
          <w:sz w:val="24"/>
        </w:rPr>
        <w:t>rganización, autorización, constitución, funcionamiento,</w:t>
      </w:r>
      <w:r>
        <w:rPr>
          <w:rFonts w:ascii="Times New Roman" w:hAnsi="Times New Roman" w:cs="Times New Roman"/>
          <w:bCs/>
          <w:sz w:val="24"/>
        </w:rPr>
        <w:t xml:space="preserve"> </w:t>
      </w:r>
      <w:r w:rsidRPr="004C54F1">
        <w:rPr>
          <w:rFonts w:ascii="Times New Roman" w:hAnsi="Times New Roman" w:cs="Times New Roman"/>
          <w:bCs/>
          <w:sz w:val="24"/>
        </w:rPr>
        <w:t>función, conversión, modificación, liquidación y supervisión de las instituciones del</w:t>
      </w:r>
      <w:r>
        <w:rPr>
          <w:rFonts w:ascii="Times New Roman" w:hAnsi="Times New Roman" w:cs="Times New Roman"/>
          <w:bCs/>
          <w:sz w:val="24"/>
        </w:rPr>
        <w:t xml:space="preserve"> </w:t>
      </w:r>
      <w:proofErr w:type="gramStart"/>
      <w:r w:rsidRPr="004C54F1">
        <w:rPr>
          <w:rFonts w:ascii="Times New Roman" w:hAnsi="Times New Roman" w:cs="Times New Roman"/>
          <w:bCs/>
          <w:sz w:val="24"/>
        </w:rPr>
        <w:t>sistema financiero y grupos financieros</w:t>
      </w:r>
      <w:proofErr w:type="gramEnd"/>
      <w:r w:rsidRPr="004C54F1">
        <w:rPr>
          <w:rFonts w:ascii="Times New Roman" w:hAnsi="Times New Roman" w:cs="Times New Roman"/>
          <w:bCs/>
          <w:sz w:val="24"/>
        </w:rPr>
        <w:t>, propiciando que éstos brinden a los</w:t>
      </w:r>
      <w:r>
        <w:rPr>
          <w:rFonts w:ascii="Times New Roman" w:hAnsi="Times New Roman" w:cs="Times New Roman"/>
          <w:bCs/>
          <w:sz w:val="24"/>
        </w:rPr>
        <w:t xml:space="preserve"> </w:t>
      </w:r>
      <w:r w:rsidRPr="004C54F1">
        <w:rPr>
          <w:rFonts w:ascii="Times New Roman" w:hAnsi="Times New Roman" w:cs="Times New Roman"/>
          <w:bCs/>
          <w:sz w:val="24"/>
        </w:rPr>
        <w:t>depositantes e inversionistas un servicio transparente, sólido y confiable, que</w:t>
      </w:r>
      <w:r>
        <w:rPr>
          <w:rFonts w:ascii="Times New Roman" w:hAnsi="Times New Roman" w:cs="Times New Roman"/>
          <w:bCs/>
          <w:sz w:val="24"/>
        </w:rPr>
        <w:t xml:space="preserve"> </w:t>
      </w:r>
      <w:r w:rsidRPr="004C54F1">
        <w:rPr>
          <w:rFonts w:ascii="Times New Roman" w:hAnsi="Times New Roman" w:cs="Times New Roman"/>
          <w:bCs/>
          <w:sz w:val="24"/>
        </w:rPr>
        <w:t>contribuya al desarrollo del país.</w:t>
      </w:r>
    </w:p>
    <w:p w14:paraId="246B3101" w14:textId="57287542" w:rsidR="0064420B" w:rsidRDefault="00946CAB" w:rsidP="0064420B">
      <w:pPr>
        <w:spacing w:line="360" w:lineRule="auto"/>
        <w:ind w:firstLine="720"/>
        <w:jc w:val="both"/>
        <w:rPr>
          <w:rFonts w:ascii="Times New Roman" w:hAnsi="Times New Roman" w:cs="Times New Roman"/>
          <w:bCs/>
          <w:sz w:val="24"/>
        </w:rPr>
      </w:pPr>
      <w:r>
        <w:rPr>
          <w:rFonts w:ascii="Times New Roman" w:hAnsi="Times New Roman" w:cs="Times New Roman"/>
          <w:bCs/>
          <w:sz w:val="24"/>
        </w:rPr>
        <w:t>Los artículos que más aporte tienen en este trabajo son:</w:t>
      </w:r>
    </w:p>
    <w:p w14:paraId="3F43CAE1" w14:textId="4830563C" w:rsidR="0064420B" w:rsidRPr="004C54F1" w:rsidRDefault="00093A92" w:rsidP="0064420B">
      <w:pPr>
        <w:spacing w:line="360" w:lineRule="auto"/>
        <w:ind w:firstLine="720"/>
        <w:jc w:val="both"/>
        <w:rPr>
          <w:rFonts w:ascii="Times New Roman" w:hAnsi="Times New Roman" w:cs="Times New Roman"/>
          <w:bCs/>
          <w:sz w:val="24"/>
        </w:rPr>
      </w:pPr>
      <w:r w:rsidRPr="00A520F4">
        <w:rPr>
          <w:rFonts w:ascii="Times New Roman" w:hAnsi="Times New Roman" w:cs="Times New Roman"/>
          <w:b/>
          <w:bCs/>
          <w:sz w:val="24"/>
        </w:rPr>
        <w:t>Artículo 2</w:t>
      </w:r>
      <w:r w:rsidR="0064420B" w:rsidRPr="004C54F1">
        <w:rPr>
          <w:rFonts w:ascii="Times New Roman" w:hAnsi="Times New Roman" w:cs="Times New Roman"/>
          <w:bCs/>
          <w:sz w:val="24"/>
        </w:rPr>
        <w:t xml:space="preserve">. </w:t>
      </w:r>
      <w:r w:rsidR="0064420B">
        <w:rPr>
          <w:rFonts w:ascii="Times New Roman" w:hAnsi="Times New Roman" w:cs="Times New Roman"/>
          <w:bCs/>
          <w:sz w:val="24"/>
        </w:rPr>
        <w:t>I</w:t>
      </w:r>
      <w:r w:rsidR="0064420B" w:rsidRPr="004C54F1">
        <w:rPr>
          <w:rFonts w:ascii="Times New Roman" w:hAnsi="Times New Roman" w:cs="Times New Roman"/>
          <w:bCs/>
          <w:sz w:val="24"/>
        </w:rPr>
        <w:t>ntermediación financiera. Para los efectos de esta Ley</w:t>
      </w:r>
      <w:r w:rsidR="0064420B">
        <w:rPr>
          <w:rFonts w:ascii="Times New Roman" w:hAnsi="Times New Roman" w:cs="Times New Roman"/>
          <w:bCs/>
          <w:sz w:val="24"/>
        </w:rPr>
        <w:t xml:space="preserve"> </w:t>
      </w:r>
      <w:r w:rsidR="0064420B" w:rsidRPr="004C54F1">
        <w:rPr>
          <w:rFonts w:ascii="Times New Roman" w:hAnsi="Times New Roman" w:cs="Times New Roman"/>
          <w:bCs/>
          <w:sz w:val="24"/>
        </w:rPr>
        <w:t>se declara la intermediación financiera como una actividad de interés público y se</w:t>
      </w:r>
      <w:r w:rsidR="0064420B">
        <w:rPr>
          <w:rFonts w:ascii="Times New Roman" w:hAnsi="Times New Roman" w:cs="Times New Roman"/>
          <w:bCs/>
          <w:sz w:val="24"/>
        </w:rPr>
        <w:t xml:space="preserve"> </w:t>
      </w:r>
      <w:r w:rsidR="0064420B" w:rsidRPr="004C54F1">
        <w:rPr>
          <w:rFonts w:ascii="Times New Roman" w:hAnsi="Times New Roman" w:cs="Times New Roman"/>
          <w:bCs/>
          <w:sz w:val="24"/>
        </w:rPr>
        <w:t>define como tal, la realización habitual y sistemática de operaciones de</w:t>
      </w:r>
      <w:r w:rsidR="0064420B">
        <w:rPr>
          <w:rFonts w:ascii="Times New Roman" w:hAnsi="Times New Roman" w:cs="Times New Roman"/>
          <w:bCs/>
          <w:sz w:val="24"/>
        </w:rPr>
        <w:t xml:space="preserve"> </w:t>
      </w:r>
      <w:r w:rsidR="0064420B" w:rsidRPr="004C54F1">
        <w:rPr>
          <w:rFonts w:ascii="Times New Roman" w:hAnsi="Times New Roman" w:cs="Times New Roman"/>
          <w:bCs/>
          <w:sz w:val="24"/>
        </w:rPr>
        <w:t>financiamiento a terceros con recursos captados del público en forma de</w:t>
      </w:r>
      <w:r w:rsidR="0064420B">
        <w:rPr>
          <w:rFonts w:ascii="Times New Roman" w:hAnsi="Times New Roman" w:cs="Times New Roman"/>
          <w:bCs/>
          <w:sz w:val="24"/>
        </w:rPr>
        <w:t xml:space="preserve"> </w:t>
      </w:r>
      <w:r w:rsidR="0064420B" w:rsidRPr="004C54F1">
        <w:rPr>
          <w:rFonts w:ascii="Times New Roman" w:hAnsi="Times New Roman" w:cs="Times New Roman"/>
          <w:bCs/>
          <w:sz w:val="24"/>
        </w:rPr>
        <w:t>depósitos, préstamos u otras obligaciones, independientes de la forma jurídica,</w:t>
      </w:r>
      <w:r w:rsidR="0064420B">
        <w:rPr>
          <w:rFonts w:ascii="Times New Roman" w:hAnsi="Times New Roman" w:cs="Times New Roman"/>
          <w:bCs/>
          <w:sz w:val="24"/>
        </w:rPr>
        <w:t xml:space="preserve"> </w:t>
      </w:r>
      <w:r w:rsidR="0064420B" w:rsidRPr="004C54F1">
        <w:rPr>
          <w:rFonts w:ascii="Times New Roman" w:hAnsi="Times New Roman" w:cs="Times New Roman"/>
          <w:bCs/>
          <w:sz w:val="24"/>
        </w:rPr>
        <w:t>documentación o registro contable que adopten dichas operaciones.</w:t>
      </w:r>
    </w:p>
    <w:p w14:paraId="26CAF993" w14:textId="5518528C" w:rsidR="0064420B" w:rsidRPr="004C54F1" w:rsidRDefault="001C3A72" w:rsidP="0064420B">
      <w:pPr>
        <w:spacing w:line="360" w:lineRule="auto"/>
        <w:ind w:firstLine="720"/>
        <w:jc w:val="both"/>
        <w:rPr>
          <w:rFonts w:ascii="Times New Roman" w:hAnsi="Times New Roman" w:cs="Times New Roman"/>
          <w:bCs/>
          <w:sz w:val="24"/>
        </w:rPr>
      </w:pPr>
      <w:r w:rsidRPr="004C54F1">
        <w:rPr>
          <w:rFonts w:ascii="Times New Roman" w:hAnsi="Times New Roman" w:cs="Times New Roman"/>
          <w:b/>
          <w:bCs/>
          <w:sz w:val="24"/>
        </w:rPr>
        <w:t>Artículo</w:t>
      </w:r>
      <w:r w:rsidR="00093A92" w:rsidRPr="004C54F1">
        <w:rPr>
          <w:rFonts w:ascii="Times New Roman" w:hAnsi="Times New Roman" w:cs="Times New Roman"/>
          <w:b/>
          <w:bCs/>
          <w:sz w:val="24"/>
        </w:rPr>
        <w:t xml:space="preserve"> 3</w:t>
      </w:r>
      <w:r w:rsidR="00093A92" w:rsidRPr="004C54F1">
        <w:rPr>
          <w:rFonts w:ascii="Times New Roman" w:hAnsi="Times New Roman" w:cs="Times New Roman"/>
          <w:bCs/>
          <w:sz w:val="24"/>
        </w:rPr>
        <w:t xml:space="preserve">. </w:t>
      </w:r>
      <w:r w:rsidR="0064420B" w:rsidRPr="004C54F1">
        <w:rPr>
          <w:rFonts w:ascii="Times New Roman" w:hAnsi="Times New Roman" w:cs="Times New Roman"/>
          <w:bCs/>
          <w:sz w:val="24"/>
        </w:rPr>
        <w:t>Instituciones del sistema financiero autorizadas</w:t>
      </w:r>
      <w:r w:rsidR="0064420B">
        <w:rPr>
          <w:rFonts w:ascii="Times New Roman" w:hAnsi="Times New Roman" w:cs="Times New Roman"/>
          <w:bCs/>
          <w:sz w:val="24"/>
        </w:rPr>
        <w:t xml:space="preserve"> </w:t>
      </w:r>
      <w:r w:rsidR="0064420B" w:rsidRPr="004C54F1">
        <w:rPr>
          <w:rFonts w:ascii="Times New Roman" w:hAnsi="Times New Roman" w:cs="Times New Roman"/>
          <w:bCs/>
          <w:sz w:val="24"/>
        </w:rPr>
        <w:t>para realizar intermediación financiera. Son instituciones del</w:t>
      </w:r>
      <w:r w:rsidR="0064420B">
        <w:rPr>
          <w:rFonts w:ascii="Times New Roman" w:hAnsi="Times New Roman" w:cs="Times New Roman"/>
          <w:bCs/>
          <w:sz w:val="24"/>
        </w:rPr>
        <w:t xml:space="preserve"> </w:t>
      </w:r>
      <w:r w:rsidR="0064420B" w:rsidRPr="004C54F1">
        <w:rPr>
          <w:rFonts w:ascii="Times New Roman" w:hAnsi="Times New Roman" w:cs="Times New Roman"/>
          <w:bCs/>
          <w:sz w:val="24"/>
        </w:rPr>
        <w:t>sistema financiero:</w:t>
      </w:r>
    </w:p>
    <w:p w14:paraId="53D53C17" w14:textId="77777777" w:rsidR="0064420B" w:rsidRPr="004C54F1" w:rsidRDefault="0064420B" w:rsidP="0064420B">
      <w:pPr>
        <w:pStyle w:val="Prrafodelista"/>
        <w:widowControl/>
        <w:numPr>
          <w:ilvl w:val="0"/>
          <w:numId w:val="20"/>
        </w:numPr>
        <w:spacing w:after="160" w:line="360" w:lineRule="auto"/>
        <w:contextualSpacing/>
        <w:jc w:val="both"/>
        <w:rPr>
          <w:rFonts w:ascii="Times New Roman" w:hAnsi="Times New Roman" w:cs="Times New Roman"/>
          <w:bCs/>
          <w:sz w:val="24"/>
        </w:rPr>
      </w:pPr>
      <w:r w:rsidRPr="004C54F1">
        <w:rPr>
          <w:rFonts w:ascii="Times New Roman" w:hAnsi="Times New Roman" w:cs="Times New Roman"/>
          <w:bCs/>
          <w:sz w:val="24"/>
        </w:rPr>
        <w:t>Los bancos públicos o bancos privados;</w:t>
      </w:r>
    </w:p>
    <w:p w14:paraId="366F2755" w14:textId="77777777" w:rsidR="0064420B" w:rsidRDefault="0064420B" w:rsidP="0064420B">
      <w:pPr>
        <w:pStyle w:val="Prrafodelista"/>
        <w:widowControl/>
        <w:numPr>
          <w:ilvl w:val="0"/>
          <w:numId w:val="20"/>
        </w:numPr>
        <w:spacing w:after="160" w:line="360" w:lineRule="auto"/>
        <w:contextualSpacing/>
        <w:jc w:val="both"/>
        <w:rPr>
          <w:rFonts w:ascii="Times New Roman" w:hAnsi="Times New Roman" w:cs="Times New Roman"/>
          <w:bCs/>
          <w:sz w:val="24"/>
        </w:rPr>
      </w:pPr>
      <w:r w:rsidRPr="004C54F1">
        <w:rPr>
          <w:rFonts w:ascii="Times New Roman" w:hAnsi="Times New Roman" w:cs="Times New Roman"/>
          <w:bCs/>
          <w:sz w:val="24"/>
        </w:rPr>
        <w:t>Las asociaciones de ahorro y préstamo;</w:t>
      </w:r>
    </w:p>
    <w:p w14:paraId="6144ADB6" w14:textId="77777777" w:rsidR="0064420B" w:rsidRDefault="0064420B" w:rsidP="0064420B">
      <w:pPr>
        <w:pStyle w:val="Prrafodelista"/>
        <w:widowControl/>
        <w:numPr>
          <w:ilvl w:val="0"/>
          <w:numId w:val="20"/>
        </w:numPr>
        <w:spacing w:after="160" w:line="360" w:lineRule="auto"/>
        <w:contextualSpacing/>
        <w:jc w:val="both"/>
        <w:rPr>
          <w:rFonts w:ascii="Times New Roman" w:hAnsi="Times New Roman" w:cs="Times New Roman"/>
          <w:bCs/>
          <w:sz w:val="24"/>
        </w:rPr>
      </w:pPr>
      <w:r w:rsidRPr="004C54F1">
        <w:rPr>
          <w:rFonts w:ascii="Times New Roman" w:hAnsi="Times New Roman" w:cs="Times New Roman"/>
          <w:bCs/>
          <w:sz w:val="24"/>
        </w:rPr>
        <w:t xml:space="preserve">Las sociedades financieras; y </w:t>
      </w:r>
    </w:p>
    <w:p w14:paraId="22C9040C" w14:textId="77777777" w:rsidR="0064420B" w:rsidRPr="00350E45" w:rsidRDefault="0064420B" w:rsidP="0064420B">
      <w:pPr>
        <w:spacing w:line="360" w:lineRule="auto"/>
        <w:ind w:firstLine="720"/>
        <w:jc w:val="both"/>
        <w:rPr>
          <w:rFonts w:ascii="Times New Roman" w:hAnsi="Times New Roman" w:cs="Times New Roman"/>
          <w:bCs/>
          <w:sz w:val="24"/>
        </w:rPr>
      </w:pPr>
      <w:r>
        <w:rPr>
          <w:rFonts w:ascii="Times New Roman" w:hAnsi="Times New Roman" w:cs="Times New Roman"/>
          <w:bCs/>
          <w:sz w:val="24"/>
        </w:rPr>
        <w:t xml:space="preserve">4) </w:t>
      </w:r>
      <w:r w:rsidRPr="00350E45">
        <w:rPr>
          <w:rFonts w:ascii="Times New Roman" w:hAnsi="Times New Roman" w:cs="Times New Roman"/>
          <w:bCs/>
          <w:sz w:val="24"/>
        </w:rPr>
        <w:t>Cualesquiera otras que se dediquen en forma habitual y sistemática a las actividades indicadas en esta Ley, previa autorización de la Comisión Nacional de Bancos y seguros.</w:t>
      </w:r>
    </w:p>
    <w:p w14:paraId="14AD0D8A" w14:textId="43300B18" w:rsidR="0064420B" w:rsidRDefault="00093A92" w:rsidP="0064420B">
      <w:pPr>
        <w:spacing w:line="360" w:lineRule="auto"/>
        <w:ind w:firstLine="720"/>
        <w:jc w:val="both"/>
        <w:rPr>
          <w:rFonts w:ascii="Times New Roman" w:hAnsi="Times New Roman" w:cs="Times New Roman"/>
          <w:bCs/>
          <w:sz w:val="24"/>
        </w:rPr>
      </w:pPr>
      <w:r w:rsidRPr="00196EC8">
        <w:rPr>
          <w:rFonts w:ascii="Times New Roman" w:hAnsi="Times New Roman" w:cs="Times New Roman"/>
          <w:b/>
          <w:bCs/>
          <w:sz w:val="24"/>
        </w:rPr>
        <w:t>Artículo 4</w:t>
      </w:r>
      <w:r w:rsidRPr="004C54F1">
        <w:rPr>
          <w:rFonts w:ascii="Times New Roman" w:hAnsi="Times New Roman" w:cs="Times New Roman"/>
          <w:bCs/>
          <w:sz w:val="24"/>
        </w:rPr>
        <w:t xml:space="preserve">. </w:t>
      </w:r>
      <w:r w:rsidR="0064420B">
        <w:rPr>
          <w:rFonts w:ascii="Times New Roman" w:hAnsi="Times New Roman" w:cs="Times New Roman"/>
          <w:bCs/>
          <w:sz w:val="24"/>
        </w:rPr>
        <w:t>R</w:t>
      </w:r>
      <w:r w:rsidR="0064420B" w:rsidRPr="004C54F1">
        <w:rPr>
          <w:rFonts w:ascii="Times New Roman" w:hAnsi="Times New Roman" w:cs="Times New Roman"/>
          <w:bCs/>
          <w:sz w:val="24"/>
        </w:rPr>
        <w:t>égimen legal. Las instituciones del sistema financiero se</w:t>
      </w:r>
      <w:r w:rsidR="0064420B">
        <w:rPr>
          <w:rFonts w:ascii="Times New Roman" w:hAnsi="Times New Roman" w:cs="Times New Roman"/>
          <w:bCs/>
          <w:sz w:val="24"/>
        </w:rPr>
        <w:t xml:space="preserve"> </w:t>
      </w:r>
      <w:r w:rsidR="0064420B" w:rsidRPr="004C54F1">
        <w:rPr>
          <w:rFonts w:ascii="Times New Roman" w:hAnsi="Times New Roman" w:cs="Times New Roman"/>
          <w:bCs/>
          <w:sz w:val="24"/>
        </w:rPr>
        <w:t>regirán por los preceptos de esta Ley y en lo que les fueren aplicables por la Ley</w:t>
      </w:r>
      <w:r w:rsidR="0064420B">
        <w:rPr>
          <w:rFonts w:ascii="Times New Roman" w:hAnsi="Times New Roman" w:cs="Times New Roman"/>
          <w:bCs/>
          <w:sz w:val="24"/>
        </w:rPr>
        <w:t xml:space="preserve"> </w:t>
      </w:r>
      <w:r w:rsidR="0064420B" w:rsidRPr="004C54F1">
        <w:rPr>
          <w:rFonts w:ascii="Times New Roman" w:hAnsi="Times New Roman" w:cs="Times New Roman"/>
          <w:bCs/>
          <w:sz w:val="24"/>
        </w:rPr>
        <w:t>de la Comisión Nacional de Bancos y Seguros, Ley del Banco Central, Ley de</w:t>
      </w:r>
      <w:r w:rsidR="0064420B">
        <w:rPr>
          <w:rFonts w:ascii="Times New Roman" w:hAnsi="Times New Roman" w:cs="Times New Roman"/>
          <w:bCs/>
          <w:sz w:val="24"/>
        </w:rPr>
        <w:t xml:space="preserve"> </w:t>
      </w:r>
      <w:r w:rsidR="0064420B" w:rsidRPr="004C54F1">
        <w:rPr>
          <w:rFonts w:ascii="Times New Roman" w:hAnsi="Times New Roman" w:cs="Times New Roman"/>
          <w:bCs/>
          <w:sz w:val="24"/>
        </w:rPr>
        <w:t>Seguro de Depósitos en Instituciones del Sistema Financiero, Ley Monetaria y por</w:t>
      </w:r>
      <w:r w:rsidR="0064420B">
        <w:rPr>
          <w:rFonts w:ascii="Times New Roman" w:hAnsi="Times New Roman" w:cs="Times New Roman"/>
          <w:bCs/>
          <w:sz w:val="24"/>
        </w:rPr>
        <w:t xml:space="preserve"> </w:t>
      </w:r>
      <w:r w:rsidR="0064420B" w:rsidRPr="004C54F1">
        <w:rPr>
          <w:rFonts w:ascii="Times New Roman" w:hAnsi="Times New Roman" w:cs="Times New Roman"/>
          <w:bCs/>
          <w:sz w:val="24"/>
        </w:rPr>
        <w:t>los reglamentos y resoluciones emitidos por la Comisión Nacional de Bancos y</w:t>
      </w:r>
      <w:r w:rsidR="0064420B">
        <w:rPr>
          <w:rFonts w:ascii="Times New Roman" w:hAnsi="Times New Roman" w:cs="Times New Roman"/>
          <w:bCs/>
          <w:sz w:val="24"/>
        </w:rPr>
        <w:t xml:space="preserve"> </w:t>
      </w:r>
      <w:r w:rsidR="0064420B" w:rsidRPr="004C54F1">
        <w:rPr>
          <w:rFonts w:ascii="Times New Roman" w:hAnsi="Times New Roman" w:cs="Times New Roman"/>
          <w:bCs/>
          <w:sz w:val="24"/>
        </w:rPr>
        <w:t>Seguros</w:t>
      </w:r>
      <w:r w:rsidR="00902400">
        <w:rPr>
          <w:rFonts w:ascii="Times New Roman" w:hAnsi="Times New Roman" w:cs="Times New Roman"/>
          <w:bCs/>
          <w:sz w:val="24"/>
        </w:rPr>
        <w:t>.</w:t>
      </w:r>
    </w:p>
    <w:p w14:paraId="4DED1E0E" w14:textId="304119EA" w:rsidR="0064420B" w:rsidRPr="00196EC8" w:rsidRDefault="00093A92" w:rsidP="0064420B">
      <w:pPr>
        <w:spacing w:line="360" w:lineRule="auto"/>
        <w:ind w:firstLine="720"/>
        <w:jc w:val="both"/>
        <w:rPr>
          <w:rFonts w:ascii="Times New Roman" w:hAnsi="Times New Roman" w:cs="Times New Roman"/>
          <w:bCs/>
          <w:sz w:val="24"/>
        </w:rPr>
      </w:pPr>
      <w:r w:rsidRPr="00196EC8">
        <w:rPr>
          <w:rFonts w:ascii="Times New Roman" w:hAnsi="Times New Roman" w:cs="Times New Roman"/>
          <w:b/>
          <w:bCs/>
          <w:sz w:val="24"/>
        </w:rPr>
        <w:lastRenderedPageBreak/>
        <w:t>Artículo 44</w:t>
      </w:r>
      <w:r w:rsidRPr="00196EC8">
        <w:rPr>
          <w:rFonts w:ascii="Times New Roman" w:hAnsi="Times New Roman" w:cs="Times New Roman"/>
          <w:bCs/>
          <w:sz w:val="24"/>
        </w:rPr>
        <w:t xml:space="preserve">. </w:t>
      </w:r>
      <w:r w:rsidR="0064420B">
        <w:rPr>
          <w:rFonts w:ascii="Times New Roman" w:hAnsi="Times New Roman" w:cs="Times New Roman"/>
          <w:bCs/>
          <w:sz w:val="24"/>
        </w:rPr>
        <w:t>D</w:t>
      </w:r>
      <w:r w:rsidR="0064420B" w:rsidRPr="00196EC8">
        <w:rPr>
          <w:rFonts w:ascii="Times New Roman" w:hAnsi="Times New Roman" w:cs="Times New Roman"/>
          <w:bCs/>
          <w:sz w:val="24"/>
        </w:rPr>
        <w:t>el encaje. Las instituciones del sistema financiero</w:t>
      </w:r>
      <w:r w:rsidR="0064420B">
        <w:rPr>
          <w:rFonts w:ascii="Times New Roman" w:hAnsi="Times New Roman" w:cs="Times New Roman"/>
          <w:bCs/>
          <w:sz w:val="24"/>
        </w:rPr>
        <w:t xml:space="preserve"> </w:t>
      </w:r>
      <w:r w:rsidR="0064420B" w:rsidRPr="00196EC8">
        <w:rPr>
          <w:rFonts w:ascii="Times New Roman" w:hAnsi="Times New Roman" w:cs="Times New Roman"/>
          <w:bCs/>
          <w:sz w:val="24"/>
        </w:rPr>
        <w:t>mantendrán encajes, en la forma y proporción que fije el Banco Central, de</w:t>
      </w:r>
      <w:r w:rsidR="0064420B">
        <w:rPr>
          <w:rFonts w:ascii="Times New Roman" w:hAnsi="Times New Roman" w:cs="Times New Roman"/>
          <w:bCs/>
          <w:sz w:val="24"/>
        </w:rPr>
        <w:t xml:space="preserve"> </w:t>
      </w:r>
      <w:r w:rsidR="0064420B" w:rsidRPr="00196EC8">
        <w:rPr>
          <w:rFonts w:ascii="Times New Roman" w:hAnsi="Times New Roman" w:cs="Times New Roman"/>
          <w:bCs/>
          <w:sz w:val="24"/>
        </w:rPr>
        <w:t>conformidad a sus atribuciones legales tomando en cuenta las condiciones</w:t>
      </w:r>
      <w:r w:rsidR="0064420B">
        <w:rPr>
          <w:rFonts w:ascii="Times New Roman" w:hAnsi="Times New Roman" w:cs="Times New Roman"/>
          <w:bCs/>
          <w:sz w:val="24"/>
        </w:rPr>
        <w:t xml:space="preserve"> </w:t>
      </w:r>
      <w:r w:rsidR="0064420B" w:rsidRPr="00196EC8">
        <w:rPr>
          <w:rFonts w:ascii="Times New Roman" w:hAnsi="Times New Roman" w:cs="Times New Roman"/>
          <w:bCs/>
          <w:sz w:val="24"/>
        </w:rPr>
        <w:t>internas del país y el entorno internacional, especialmente el regional.</w:t>
      </w:r>
    </w:p>
    <w:p w14:paraId="1CA6DE66" w14:textId="6E89FC97" w:rsidR="0064420B" w:rsidRDefault="0064420B" w:rsidP="0064420B">
      <w:pPr>
        <w:spacing w:line="360" w:lineRule="auto"/>
        <w:ind w:firstLine="720"/>
        <w:jc w:val="both"/>
        <w:rPr>
          <w:rFonts w:ascii="Times New Roman" w:hAnsi="Times New Roman" w:cs="Times New Roman"/>
          <w:bCs/>
          <w:sz w:val="24"/>
        </w:rPr>
      </w:pPr>
      <w:r w:rsidRPr="00196EC8">
        <w:rPr>
          <w:rFonts w:ascii="Times New Roman" w:hAnsi="Times New Roman" w:cs="Times New Roman"/>
          <w:bCs/>
          <w:sz w:val="24"/>
        </w:rPr>
        <w:t xml:space="preserve">Los depósitos constituidos en el Banco Central para cumplir con el </w:t>
      </w:r>
      <w:r w:rsidR="00946CAB" w:rsidRPr="00196EC8">
        <w:rPr>
          <w:rFonts w:ascii="Times New Roman" w:hAnsi="Times New Roman" w:cs="Times New Roman"/>
          <w:bCs/>
          <w:sz w:val="24"/>
        </w:rPr>
        <w:t>encaje</w:t>
      </w:r>
      <w:r w:rsidRPr="00196EC8">
        <w:rPr>
          <w:rFonts w:ascii="Times New Roman" w:hAnsi="Times New Roman" w:cs="Times New Roman"/>
          <w:bCs/>
          <w:sz w:val="24"/>
        </w:rPr>
        <w:t xml:space="preserve"> son</w:t>
      </w:r>
      <w:r>
        <w:rPr>
          <w:rFonts w:ascii="Times New Roman" w:hAnsi="Times New Roman" w:cs="Times New Roman"/>
          <w:bCs/>
          <w:sz w:val="24"/>
        </w:rPr>
        <w:t xml:space="preserve"> </w:t>
      </w:r>
      <w:r w:rsidRPr="00196EC8">
        <w:rPr>
          <w:rFonts w:ascii="Times New Roman" w:hAnsi="Times New Roman" w:cs="Times New Roman"/>
          <w:bCs/>
          <w:sz w:val="24"/>
        </w:rPr>
        <w:t>inembargables.</w:t>
      </w:r>
    </w:p>
    <w:p w14:paraId="48AEA454" w14:textId="161DF219" w:rsidR="0064420B" w:rsidRPr="00196EC8" w:rsidRDefault="00093A92" w:rsidP="0064420B">
      <w:pPr>
        <w:spacing w:line="360" w:lineRule="auto"/>
        <w:ind w:firstLine="720"/>
        <w:jc w:val="both"/>
        <w:rPr>
          <w:rFonts w:ascii="Times New Roman" w:hAnsi="Times New Roman" w:cs="Times New Roman"/>
          <w:bCs/>
          <w:sz w:val="24"/>
        </w:rPr>
      </w:pPr>
      <w:r w:rsidRPr="00196EC8">
        <w:rPr>
          <w:rFonts w:ascii="Times New Roman" w:hAnsi="Times New Roman" w:cs="Times New Roman"/>
          <w:b/>
          <w:bCs/>
          <w:sz w:val="24"/>
        </w:rPr>
        <w:t>Artículo 55</w:t>
      </w:r>
      <w:r w:rsidRPr="00196EC8">
        <w:rPr>
          <w:rFonts w:ascii="Times New Roman" w:hAnsi="Times New Roman" w:cs="Times New Roman"/>
          <w:bCs/>
          <w:sz w:val="24"/>
        </w:rPr>
        <w:t xml:space="preserve">. </w:t>
      </w:r>
      <w:r w:rsidR="0064420B">
        <w:rPr>
          <w:rFonts w:ascii="Times New Roman" w:hAnsi="Times New Roman" w:cs="Times New Roman"/>
          <w:bCs/>
          <w:sz w:val="24"/>
        </w:rPr>
        <w:t>T</w:t>
      </w:r>
      <w:r w:rsidR="0064420B" w:rsidRPr="00196EC8">
        <w:rPr>
          <w:rFonts w:ascii="Times New Roman" w:hAnsi="Times New Roman" w:cs="Times New Roman"/>
          <w:bCs/>
          <w:sz w:val="24"/>
        </w:rPr>
        <w:t>asas de interés. Las tasas de interés serán determinadas</w:t>
      </w:r>
      <w:r w:rsidR="0064420B">
        <w:rPr>
          <w:rFonts w:ascii="Times New Roman" w:hAnsi="Times New Roman" w:cs="Times New Roman"/>
          <w:bCs/>
          <w:sz w:val="24"/>
        </w:rPr>
        <w:t xml:space="preserve"> </w:t>
      </w:r>
      <w:r w:rsidR="0064420B" w:rsidRPr="00196EC8">
        <w:rPr>
          <w:rFonts w:ascii="Times New Roman" w:hAnsi="Times New Roman" w:cs="Times New Roman"/>
          <w:bCs/>
          <w:sz w:val="24"/>
        </w:rPr>
        <w:t>en libre negociación entre las instituciones del sistema financiero y sus clientes en</w:t>
      </w:r>
      <w:r w:rsidR="0064420B">
        <w:rPr>
          <w:rFonts w:ascii="Times New Roman" w:hAnsi="Times New Roman" w:cs="Times New Roman"/>
          <w:bCs/>
          <w:sz w:val="24"/>
        </w:rPr>
        <w:t xml:space="preserve"> </w:t>
      </w:r>
      <w:r w:rsidR="0064420B" w:rsidRPr="00196EC8">
        <w:rPr>
          <w:rFonts w:ascii="Times New Roman" w:hAnsi="Times New Roman" w:cs="Times New Roman"/>
          <w:bCs/>
          <w:sz w:val="24"/>
        </w:rPr>
        <w:t>función de las condiciones prevalecientes en el mercado; sin embargo, cuando las</w:t>
      </w:r>
      <w:r w:rsidR="0064420B">
        <w:rPr>
          <w:rFonts w:ascii="Times New Roman" w:hAnsi="Times New Roman" w:cs="Times New Roman"/>
          <w:bCs/>
          <w:sz w:val="24"/>
        </w:rPr>
        <w:t xml:space="preserve"> </w:t>
      </w:r>
      <w:r w:rsidR="0064420B" w:rsidRPr="00196EC8">
        <w:rPr>
          <w:rFonts w:ascii="Times New Roman" w:hAnsi="Times New Roman" w:cs="Times New Roman"/>
          <w:bCs/>
          <w:sz w:val="24"/>
        </w:rPr>
        <w:t>circunstancias económicas lo justifiquen, el Banco Central deberá regularlas,</w:t>
      </w:r>
      <w:r w:rsidR="0064420B">
        <w:rPr>
          <w:rFonts w:ascii="Times New Roman" w:hAnsi="Times New Roman" w:cs="Times New Roman"/>
          <w:bCs/>
          <w:sz w:val="24"/>
        </w:rPr>
        <w:t xml:space="preserve"> </w:t>
      </w:r>
      <w:r w:rsidR="0064420B" w:rsidRPr="00196EC8">
        <w:rPr>
          <w:rFonts w:ascii="Times New Roman" w:hAnsi="Times New Roman" w:cs="Times New Roman"/>
          <w:bCs/>
          <w:sz w:val="24"/>
        </w:rPr>
        <w:t>mediante la emisión de disposiciones transitorias de carácter general.</w:t>
      </w:r>
    </w:p>
    <w:p w14:paraId="6EE309F9" w14:textId="77777777" w:rsidR="0064420B" w:rsidRDefault="0064420B" w:rsidP="0064420B">
      <w:pPr>
        <w:spacing w:line="360" w:lineRule="auto"/>
        <w:ind w:firstLine="720"/>
        <w:jc w:val="both"/>
        <w:rPr>
          <w:rFonts w:ascii="Times New Roman" w:hAnsi="Times New Roman" w:cs="Times New Roman"/>
          <w:bCs/>
          <w:sz w:val="24"/>
        </w:rPr>
      </w:pPr>
      <w:r w:rsidRPr="00196EC8">
        <w:rPr>
          <w:rFonts w:ascii="Times New Roman" w:hAnsi="Times New Roman" w:cs="Times New Roman"/>
          <w:bCs/>
          <w:sz w:val="24"/>
        </w:rPr>
        <w:t>Las instituciones del sistema financiero deberán informar al público las tasas de</w:t>
      </w:r>
      <w:r>
        <w:rPr>
          <w:rFonts w:ascii="Times New Roman" w:hAnsi="Times New Roman" w:cs="Times New Roman"/>
          <w:bCs/>
          <w:sz w:val="24"/>
        </w:rPr>
        <w:t xml:space="preserve"> </w:t>
      </w:r>
      <w:r w:rsidRPr="00196EC8">
        <w:rPr>
          <w:rFonts w:ascii="Times New Roman" w:hAnsi="Times New Roman" w:cs="Times New Roman"/>
          <w:bCs/>
          <w:sz w:val="24"/>
        </w:rPr>
        <w:t>interés que apliquen a sus productos.</w:t>
      </w:r>
    </w:p>
    <w:p w14:paraId="5D3CB7BE" w14:textId="3EAC1DEC" w:rsidR="0064420B" w:rsidRDefault="0064420B" w:rsidP="003E2058">
      <w:pPr>
        <w:widowControl/>
        <w:spacing w:line="360" w:lineRule="auto"/>
        <w:jc w:val="both"/>
        <w:rPr>
          <w:rFonts w:ascii="Times New Roman" w:hAnsi="Times New Roman" w:cs="Times New Roman"/>
          <w:sz w:val="24"/>
          <w:szCs w:val="24"/>
        </w:rPr>
      </w:pPr>
    </w:p>
    <w:p w14:paraId="2FB85FB4" w14:textId="489DEEEE" w:rsidR="0064420B" w:rsidRPr="00473B79" w:rsidRDefault="00B260A8" w:rsidP="00902400">
      <w:pPr>
        <w:pStyle w:val="Ttulo3"/>
        <w:spacing w:line="360" w:lineRule="auto"/>
        <w:ind w:left="0" w:firstLine="720"/>
      </w:pPr>
      <w:bookmarkStart w:id="142" w:name="_Toc166705795"/>
      <w:bookmarkStart w:id="143" w:name="_Toc175171397"/>
      <w:r w:rsidRPr="00473B79">
        <w:t xml:space="preserve">2.3.3. LEY DE LA </w:t>
      </w:r>
      <w:r>
        <w:t>C</w:t>
      </w:r>
      <w:r w:rsidRPr="00473B79">
        <w:t xml:space="preserve">OMISIÓN </w:t>
      </w:r>
      <w:r>
        <w:t>N</w:t>
      </w:r>
      <w:r w:rsidRPr="00473B79">
        <w:t xml:space="preserve">ACIONAL DE </w:t>
      </w:r>
      <w:r>
        <w:t>B</w:t>
      </w:r>
      <w:r w:rsidRPr="00473B79">
        <w:t xml:space="preserve">ANCOS Y </w:t>
      </w:r>
      <w:r>
        <w:t>S</w:t>
      </w:r>
      <w:r w:rsidRPr="00473B79">
        <w:t>EGUROS</w:t>
      </w:r>
      <w:bookmarkEnd w:id="142"/>
      <w:bookmarkEnd w:id="143"/>
    </w:p>
    <w:p w14:paraId="38FE2F2B" w14:textId="4D904E49" w:rsidR="004773B2" w:rsidRPr="00FD3E3C" w:rsidRDefault="004773B2" w:rsidP="00902400">
      <w:pPr>
        <w:widowControl/>
        <w:spacing w:after="160" w:line="360" w:lineRule="auto"/>
        <w:ind w:firstLine="720"/>
        <w:jc w:val="both"/>
        <w:rPr>
          <w:rFonts w:ascii="Times New Roman" w:hAnsi="Times New Roman" w:cs="Times New Roman"/>
          <w:sz w:val="24"/>
          <w:szCs w:val="24"/>
        </w:rPr>
      </w:pPr>
      <w:r w:rsidRPr="00FD3E3C">
        <w:rPr>
          <w:rFonts w:ascii="Times New Roman" w:hAnsi="Times New Roman" w:cs="Times New Roman"/>
          <w:sz w:val="24"/>
          <w:szCs w:val="24"/>
        </w:rPr>
        <w:t xml:space="preserve">Decreto bajo el cual fue creado: </w:t>
      </w:r>
      <w:r>
        <w:rPr>
          <w:rFonts w:ascii="Times New Roman" w:hAnsi="Times New Roman" w:cs="Times New Roman"/>
          <w:sz w:val="24"/>
          <w:szCs w:val="24"/>
        </w:rPr>
        <w:t>D</w:t>
      </w:r>
      <w:r w:rsidRPr="004773B2">
        <w:rPr>
          <w:rFonts w:ascii="Times New Roman" w:hAnsi="Times New Roman" w:cs="Times New Roman"/>
          <w:sz w:val="24"/>
          <w:szCs w:val="24"/>
        </w:rPr>
        <w:t>ecreto número 155-95</w:t>
      </w:r>
    </w:p>
    <w:p w14:paraId="0A6459F8" w14:textId="1C31C90B" w:rsidR="004773B2" w:rsidRPr="00FD3E3C" w:rsidRDefault="004773B2" w:rsidP="00902400">
      <w:pPr>
        <w:widowControl/>
        <w:spacing w:after="160" w:line="360" w:lineRule="auto"/>
        <w:ind w:firstLine="720"/>
        <w:jc w:val="both"/>
        <w:rPr>
          <w:rFonts w:ascii="Times New Roman" w:hAnsi="Times New Roman" w:cs="Times New Roman"/>
          <w:sz w:val="24"/>
          <w:szCs w:val="24"/>
        </w:rPr>
      </w:pPr>
      <w:r w:rsidRPr="00FD3E3C">
        <w:rPr>
          <w:rFonts w:ascii="Times New Roman" w:hAnsi="Times New Roman" w:cs="Times New Roman"/>
          <w:sz w:val="24"/>
          <w:szCs w:val="24"/>
        </w:rPr>
        <w:t xml:space="preserve">Fecha de publicación de la gaceta: </w:t>
      </w:r>
      <w:r w:rsidRPr="004773B2">
        <w:rPr>
          <w:rFonts w:ascii="Times New Roman" w:hAnsi="Times New Roman" w:cs="Times New Roman"/>
          <w:sz w:val="24"/>
          <w:szCs w:val="24"/>
        </w:rPr>
        <w:t>Este Decreto fue publicado en el Diario Oficial La Gaceta No.29358, del 20 de diciembre</w:t>
      </w:r>
      <w:r>
        <w:rPr>
          <w:rFonts w:ascii="Times New Roman" w:hAnsi="Times New Roman" w:cs="Times New Roman"/>
          <w:sz w:val="24"/>
          <w:szCs w:val="24"/>
        </w:rPr>
        <w:t xml:space="preserve"> </w:t>
      </w:r>
      <w:r w:rsidRPr="004773B2">
        <w:rPr>
          <w:rFonts w:ascii="Times New Roman" w:hAnsi="Times New Roman" w:cs="Times New Roman"/>
          <w:sz w:val="24"/>
          <w:szCs w:val="24"/>
        </w:rPr>
        <w:t>de 2000.</w:t>
      </w:r>
    </w:p>
    <w:p w14:paraId="46DC2E4C" w14:textId="7C05A49A" w:rsidR="004773B2" w:rsidRPr="00FD3E3C" w:rsidRDefault="004773B2" w:rsidP="00902400">
      <w:pPr>
        <w:widowControl/>
        <w:spacing w:after="160" w:line="360" w:lineRule="auto"/>
        <w:ind w:firstLine="720"/>
        <w:jc w:val="both"/>
        <w:rPr>
          <w:rFonts w:ascii="Times New Roman" w:hAnsi="Times New Roman" w:cs="Times New Roman"/>
          <w:sz w:val="24"/>
          <w:szCs w:val="24"/>
        </w:rPr>
      </w:pPr>
      <w:r w:rsidRPr="00FD3E3C">
        <w:rPr>
          <w:rFonts w:ascii="Times New Roman" w:hAnsi="Times New Roman" w:cs="Times New Roman"/>
          <w:sz w:val="24"/>
          <w:szCs w:val="24"/>
        </w:rPr>
        <w:t xml:space="preserve">Presidente de la república: </w:t>
      </w:r>
      <w:r w:rsidR="005A56FD" w:rsidRPr="005A56FD">
        <w:rPr>
          <w:rFonts w:ascii="Times New Roman" w:hAnsi="Times New Roman" w:cs="Times New Roman"/>
          <w:sz w:val="24"/>
          <w:szCs w:val="24"/>
        </w:rPr>
        <w:t>Carlos Roberto Reina Idiáquez</w:t>
      </w:r>
    </w:p>
    <w:p w14:paraId="1CA0485F" w14:textId="663B74D7" w:rsidR="005A56FD" w:rsidRDefault="004773B2" w:rsidP="00902400">
      <w:pPr>
        <w:widowControl/>
        <w:spacing w:after="160" w:line="360" w:lineRule="auto"/>
        <w:ind w:firstLine="720"/>
        <w:jc w:val="both"/>
      </w:pPr>
      <w:r w:rsidRPr="00FD3E3C">
        <w:rPr>
          <w:rFonts w:ascii="Times New Roman" w:hAnsi="Times New Roman" w:cs="Times New Roman"/>
          <w:sz w:val="24"/>
          <w:szCs w:val="24"/>
        </w:rPr>
        <w:t xml:space="preserve">Presidente del congreso: </w:t>
      </w:r>
      <w:r w:rsidR="005A56FD" w:rsidRPr="004773B2">
        <w:rPr>
          <w:rFonts w:ascii="Times New Roman" w:hAnsi="Times New Roman" w:cs="Times New Roman"/>
          <w:sz w:val="24"/>
          <w:szCs w:val="24"/>
        </w:rPr>
        <w:t xml:space="preserve">Carlos </w:t>
      </w:r>
      <w:r w:rsidR="00DA409F">
        <w:rPr>
          <w:rFonts w:ascii="Times New Roman" w:hAnsi="Times New Roman" w:cs="Times New Roman"/>
          <w:sz w:val="24"/>
          <w:szCs w:val="24"/>
        </w:rPr>
        <w:t xml:space="preserve">Roberto </w:t>
      </w:r>
      <w:r w:rsidR="005A56FD" w:rsidRPr="004773B2">
        <w:rPr>
          <w:rFonts w:ascii="Times New Roman" w:hAnsi="Times New Roman" w:cs="Times New Roman"/>
          <w:sz w:val="24"/>
          <w:szCs w:val="24"/>
        </w:rPr>
        <w:t xml:space="preserve">Flores </w:t>
      </w:r>
      <w:proofErr w:type="spellStart"/>
      <w:r w:rsidR="005A56FD" w:rsidRPr="004773B2">
        <w:rPr>
          <w:rFonts w:ascii="Times New Roman" w:hAnsi="Times New Roman" w:cs="Times New Roman"/>
          <w:sz w:val="24"/>
          <w:szCs w:val="24"/>
        </w:rPr>
        <w:t>Facussé</w:t>
      </w:r>
      <w:proofErr w:type="spellEnd"/>
    </w:p>
    <w:p w14:paraId="114E77BE" w14:textId="42CBB9B6" w:rsidR="004773B2" w:rsidRPr="00AD48A9" w:rsidRDefault="004773B2" w:rsidP="004773B2">
      <w:pPr>
        <w:widowControl/>
        <w:spacing w:after="160" w:line="360" w:lineRule="auto"/>
        <w:ind w:firstLine="708"/>
        <w:jc w:val="both"/>
        <w:rPr>
          <w:rFonts w:ascii="Times New Roman" w:hAnsi="Times New Roman" w:cs="Times New Roman"/>
          <w:sz w:val="24"/>
          <w:szCs w:val="24"/>
        </w:rPr>
      </w:pPr>
      <w:r w:rsidRPr="00AD48A9">
        <w:rPr>
          <w:rFonts w:ascii="Times New Roman" w:hAnsi="Times New Roman" w:cs="Times New Roman"/>
          <w:sz w:val="24"/>
          <w:szCs w:val="24"/>
        </w:rPr>
        <w:t>Objetivo de la Ley</w:t>
      </w:r>
      <w:r w:rsidRPr="004773B2">
        <w:rPr>
          <w:rFonts w:ascii="Times New Roman" w:hAnsi="Times New Roman" w:cs="Times New Roman"/>
          <w:sz w:val="24"/>
          <w:szCs w:val="24"/>
        </w:rPr>
        <w:t xml:space="preserve">: </w:t>
      </w:r>
      <w:r>
        <w:rPr>
          <w:rFonts w:ascii="Times New Roman" w:hAnsi="Times New Roman" w:cs="Times New Roman"/>
          <w:sz w:val="24"/>
          <w:szCs w:val="24"/>
        </w:rPr>
        <w:t xml:space="preserve">Esta ley </w:t>
      </w:r>
      <w:r w:rsidRPr="004773B2">
        <w:rPr>
          <w:rFonts w:ascii="Times New Roman" w:hAnsi="Times New Roman" w:cs="Times New Roman"/>
          <w:sz w:val="24"/>
          <w:szCs w:val="24"/>
        </w:rPr>
        <w:t>tiene por objeto regular la Comisión Nacional de Bancos y Seguros, en adelante denominada la Comisión, creada por el Artículo 245, atribución 31, de la constitución de la República. La Comisión es una entidad desconcentrada de la Presidencia de la República, adscrita al Banco Central de Honduras, respecto del cual funcionará con absoluta independencia técnica, administrativa y presupuestaria</w:t>
      </w:r>
      <w:r>
        <w:rPr>
          <w:rFonts w:ascii="Times New Roman" w:hAnsi="Times New Roman" w:cs="Times New Roman"/>
          <w:sz w:val="24"/>
          <w:szCs w:val="24"/>
        </w:rPr>
        <w:t>.</w:t>
      </w:r>
    </w:p>
    <w:p w14:paraId="0A546CE6" w14:textId="2BF3E2EC" w:rsidR="004773B2" w:rsidRDefault="004773B2" w:rsidP="004773B2">
      <w:pPr>
        <w:widowControl/>
        <w:spacing w:after="160" w:line="360" w:lineRule="auto"/>
        <w:ind w:firstLine="708"/>
        <w:jc w:val="both"/>
        <w:rPr>
          <w:rFonts w:ascii="Times New Roman" w:hAnsi="Times New Roman" w:cs="Times New Roman"/>
          <w:sz w:val="24"/>
          <w:szCs w:val="24"/>
        </w:rPr>
      </w:pPr>
      <w:r>
        <w:rPr>
          <w:rFonts w:ascii="Times New Roman" w:hAnsi="Times New Roman" w:cs="Times New Roman"/>
          <w:sz w:val="24"/>
          <w:szCs w:val="24"/>
        </w:rPr>
        <w:t>Los artículos que mayor impacto generan en nuestra investigación son los siguientes:</w:t>
      </w:r>
    </w:p>
    <w:p w14:paraId="7968C0EF" w14:textId="77777777" w:rsidR="000B4B2D" w:rsidRDefault="000B4B2D" w:rsidP="00F70FBC">
      <w:pPr>
        <w:widowControl/>
        <w:spacing w:after="160" w:line="360" w:lineRule="auto"/>
        <w:ind w:firstLine="708"/>
        <w:jc w:val="both"/>
        <w:rPr>
          <w:rFonts w:ascii="Times New Roman" w:hAnsi="Times New Roman" w:cs="Times New Roman"/>
          <w:sz w:val="24"/>
          <w:szCs w:val="24"/>
        </w:rPr>
      </w:pPr>
      <w:r w:rsidRPr="00F70FBC">
        <w:rPr>
          <w:rFonts w:ascii="Times New Roman" w:hAnsi="Times New Roman" w:cs="Times New Roman"/>
          <w:b/>
          <w:bCs/>
          <w:sz w:val="24"/>
          <w:szCs w:val="24"/>
        </w:rPr>
        <w:t>Artículo 26.-</w:t>
      </w:r>
      <w:r w:rsidRPr="000B4B2D">
        <w:rPr>
          <w:rFonts w:ascii="Times New Roman" w:hAnsi="Times New Roman" w:cs="Times New Roman"/>
          <w:sz w:val="24"/>
          <w:szCs w:val="24"/>
        </w:rPr>
        <w:t xml:space="preserve"> La Comisión, a través de la Superintendencia, podrá inspeccionar y revisar las operaciones de todas las instituciones supervisadas tan frecuentemente como lo crea necesario </w:t>
      </w:r>
      <w:r w:rsidRPr="000B4B2D">
        <w:rPr>
          <w:rFonts w:ascii="Times New Roman" w:hAnsi="Times New Roman" w:cs="Times New Roman"/>
          <w:sz w:val="24"/>
          <w:szCs w:val="24"/>
        </w:rPr>
        <w:lastRenderedPageBreak/>
        <w:t>y sin previo aviso. También podrá practicar evaluaciones, revisiones especiales o auditorías preventivas cuando lo considere oportuno.</w:t>
      </w:r>
    </w:p>
    <w:p w14:paraId="09357E01" w14:textId="16DDE639" w:rsidR="000B4B2D" w:rsidRDefault="000B4B2D" w:rsidP="00F70FBC">
      <w:pPr>
        <w:widowControl/>
        <w:spacing w:after="160" w:line="360" w:lineRule="auto"/>
        <w:ind w:firstLine="708"/>
        <w:jc w:val="both"/>
        <w:rPr>
          <w:rFonts w:ascii="Times New Roman" w:hAnsi="Times New Roman" w:cs="Times New Roman"/>
          <w:sz w:val="24"/>
          <w:szCs w:val="24"/>
        </w:rPr>
      </w:pPr>
      <w:r w:rsidRPr="000B4B2D">
        <w:rPr>
          <w:rFonts w:ascii="Times New Roman" w:hAnsi="Times New Roman" w:cs="Times New Roman"/>
          <w:sz w:val="24"/>
          <w:szCs w:val="24"/>
        </w:rPr>
        <w:t xml:space="preserve">Las instituciones supervisadas, en consecuencia, estarán obligadas a dar acceso al personal de la Superintendencia </w:t>
      </w:r>
      <w:r w:rsidR="00F70FBC" w:rsidRPr="000B4B2D">
        <w:rPr>
          <w:rFonts w:ascii="Times New Roman" w:hAnsi="Times New Roman" w:cs="Times New Roman"/>
          <w:sz w:val="24"/>
          <w:szCs w:val="24"/>
        </w:rPr>
        <w:t>para</w:t>
      </w:r>
      <w:r w:rsidRPr="000B4B2D">
        <w:rPr>
          <w:rFonts w:ascii="Times New Roman" w:hAnsi="Times New Roman" w:cs="Times New Roman"/>
          <w:sz w:val="24"/>
          <w:szCs w:val="24"/>
        </w:rPr>
        <w:t xml:space="preserve"> examinar su contabilidad y todos los libros y documentos justificativos de sus operaciones.</w:t>
      </w:r>
    </w:p>
    <w:p w14:paraId="4FCA88D7" w14:textId="77777777" w:rsidR="000B4B2D" w:rsidRDefault="000B4B2D" w:rsidP="00F70FBC">
      <w:pPr>
        <w:widowControl/>
        <w:spacing w:after="160" w:line="360" w:lineRule="auto"/>
        <w:ind w:firstLine="708"/>
        <w:jc w:val="both"/>
        <w:rPr>
          <w:rFonts w:ascii="Times New Roman" w:hAnsi="Times New Roman" w:cs="Times New Roman"/>
          <w:sz w:val="24"/>
          <w:szCs w:val="24"/>
        </w:rPr>
      </w:pPr>
      <w:r w:rsidRPr="000B4B2D">
        <w:rPr>
          <w:rFonts w:ascii="Times New Roman" w:hAnsi="Times New Roman" w:cs="Times New Roman"/>
          <w:sz w:val="24"/>
          <w:szCs w:val="24"/>
        </w:rPr>
        <w:t>El personal que practicare las evaluaciones e inspecciones podrá hacer las anotaciones, copias, fotocopias, reproducciones electrónicas y comprobaciones que considere necesarias.</w:t>
      </w:r>
    </w:p>
    <w:p w14:paraId="51864D51" w14:textId="7B88276A" w:rsidR="004773B2" w:rsidRPr="00F70FBC" w:rsidRDefault="000B4B2D" w:rsidP="00F70FBC">
      <w:pPr>
        <w:widowControl/>
        <w:spacing w:after="160" w:line="360" w:lineRule="auto"/>
        <w:ind w:firstLine="708"/>
        <w:jc w:val="both"/>
        <w:rPr>
          <w:rFonts w:ascii="Times New Roman" w:hAnsi="Times New Roman" w:cs="Times New Roman"/>
          <w:sz w:val="24"/>
          <w:szCs w:val="24"/>
        </w:rPr>
      </w:pPr>
      <w:r w:rsidRPr="000B4B2D">
        <w:rPr>
          <w:rFonts w:ascii="Times New Roman" w:hAnsi="Times New Roman" w:cs="Times New Roman"/>
          <w:sz w:val="24"/>
          <w:szCs w:val="24"/>
        </w:rPr>
        <w:t xml:space="preserve">Las instituciones supervisadas estarán obligadas a mantener expedientes de crédito completos de sus acreditados, lo mismo que de sus inversiones, en la forma que determine la Superintendencia, por un </w:t>
      </w:r>
      <w:r w:rsidR="00F70FBC" w:rsidRPr="000B4B2D">
        <w:rPr>
          <w:rFonts w:ascii="Times New Roman" w:hAnsi="Times New Roman" w:cs="Times New Roman"/>
          <w:sz w:val="24"/>
          <w:szCs w:val="24"/>
        </w:rPr>
        <w:t>período</w:t>
      </w:r>
      <w:r w:rsidRPr="000B4B2D">
        <w:rPr>
          <w:rFonts w:ascii="Times New Roman" w:hAnsi="Times New Roman" w:cs="Times New Roman"/>
          <w:sz w:val="24"/>
          <w:szCs w:val="24"/>
        </w:rPr>
        <w:t xml:space="preserve"> de cinco años, contados a partir de la fecha en que cese la relac</w:t>
      </w:r>
      <w:r w:rsidRPr="00F70FBC">
        <w:rPr>
          <w:rFonts w:ascii="Times New Roman" w:hAnsi="Times New Roman" w:cs="Times New Roman"/>
          <w:sz w:val="24"/>
          <w:szCs w:val="24"/>
        </w:rPr>
        <w:t>ión.</w:t>
      </w:r>
    </w:p>
    <w:p w14:paraId="7F37A1CF" w14:textId="77777777" w:rsidR="00F70FBC" w:rsidRPr="00F70FBC" w:rsidRDefault="00F70FBC" w:rsidP="00F70FBC">
      <w:pPr>
        <w:widowControl/>
        <w:spacing w:after="160" w:line="360" w:lineRule="auto"/>
        <w:ind w:firstLine="708"/>
        <w:jc w:val="both"/>
        <w:rPr>
          <w:rFonts w:ascii="Times New Roman" w:hAnsi="Times New Roman" w:cs="Times New Roman"/>
          <w:sz w:val="24"/>
          <w:szCs w:val="24"/>
        </w:rPr>
      </w:pPr>
      <w:r w:rsidRPr="00F70FBC">
        <w:rPr>
          <w:rFonts w:ascii="Times New Roman" w:hAnsi="Times New Roman" w:cs="Times New Roman"/>
          <w:b/>
          <w:bCs/>
          <w:sz w:val="24"/>
          <w:szCs w:val="24"/>
        </w:rPr>
        <w:t>Artículo 31.-</w:t>
      </w:r>
      <w:r w:rsidRPr="00F70FBC">
        <w:rPr>
          <w:rFonts w:ascii="Times New Roman" w:hAnsi="Times New Roman" w:cs="Times New Roman"/>
          <w:sz w:val="24"/>
          <w:szCs w:val="24"/>
        </w:rPr>
        <w:t xml:space="preserve"> La Comisión, a través de la Superintendencia, podrá exigir la eliminación de partidas que no representen valores reales en los estados financieros. Establecerá, igualmente, los controles internos mínimos y las reglas de contabilidad que deberán aplicarse, pudiendo las instituciones escoger libremente los métodos accesorios, siempre que sean compatibles con dichas reglas y permitan apreciar fácilmente la verdadera situación financiera de la institución.</w:t>
      </w:r>
    </w:p>
    <w:p w14:paraId="773B8D77" w14:textId="38CB54EA" w:rsidR="004773B2" w:rsidRDefault="00F70FBC" w:rsidP="00902400">
      <w:pPr>
        <w:widowControl/>
        <w:spacing w:after="160" w:line="360" w:lineRule="auto"/>
        <w:ind w:firstLine="720"/>
        <w:jc w:val="both"/>
        <w:rPr>
          <w:rFonts w:ascii="Times New Roman" w:hAnsi="Times New Roman" w:cs="Times New Roman"/>
          <w:sz w:val="24"/>
          <w:szCs w:val="24"/>
        </w:rPr>
      </w:pPr>
      <w:r w:rsidRPr="00F70FBC">
        <w:rPr>
          <w:rFonts w:ascii="Times New Roman" w:hAnsi="Times New Roman" w:cs="Times New Roman"/>
          <w:sz w:val="24"/>
          <w:szCs w:val="24"/>
        </w:rPr>
        <w:t>La Comisión, asimismo, establecerá las normas específicas para la publicación y presentación de cuentas, resúmenes, balances, estados de resultados y demás información financiera.</w:t>
      </w:r>
    </w:p>
    <w:p w14:paraId="21BAB320" w14:textId="77777777" w:rsidR="00F70FBC" w:rsidRPr="00F70FBC" w:rsidRDefault="00F70FBC" w:rsidP="00902400">
      <w:pPr>
        <w:widowControl/>
        <w:spacing w:after="160" w:line="360" w:lineRule="auto"/>
        <w:ind w:firstLine="720"/>
        <w:jc w:val="both"/>
        <w:rPr>
          <w:rFonts w:ascii="Times New Roman" w:hAnsi="Times New Roman" w:cs="Times New Roman"/>
          <w:sz w:val="24"/>
          <w:szCs w:val="24"/>
        </w:rPr>
      </w:pPr>
      <w:r w:rsidRPr="00F70FBC">
        <w:rPr>
          <w:rFonts w:ascii="Times New Roman" w:hAnsi="Times New Roman" w:cs="Times New Roman"/>
          <w:b/>
          <w:bCs/>
          <w:sz w:val="24"/>
          <w:szCs w:val="24"/>
        </w:rPr>
        <w:t>Artículo 32.-</w:t>
      </w:r>
      <w:r w:rsidRPr="00F70FBC">
        <w:rPr>
          <w:rFonts w:ascii="Times New Roman" w:hAnsi="Times New Roman" w:cs="Times New Roman"/>
          <w:sz w:val="24"/>
          <w:szCs w:val="24"/>
        </w:rPr>
        <w:t xml:space="preserve"> Las instituciones supervisadas estarán obligadas a publicar, de conformidad con las normas establecidas por la Comisión, los balances y estados de pérdidas y ganancias al cierre de cada ejercicio con sus respectivas notas complementarias y dictamen del auditor externo. Dicha publicación se hará en dos de los diarios de mayor circulación en el país.</w:t>
      </w:r>
    </w:p>
    <w:p w14:paraId="476D6C27" w14:textId="77777777" w:rsidR="00F70FBC" w:rsidRPr="00F70FBC" w:rsidRDefault="00F70FBC" w:rsidP="00902400">
      <w:pPr>
        <w:widowControl/>
        <w:spacing w:after="160" w:line="360" w:lineRule="auto"/>
        <w:ind w:firstLine="720"/>
        <w:jc w:val="both"/>
        <w:rPr>
          <w:rFonts w:ascii="Times New Roman" w:hAnsi="Times New Roman" w:cs="Times New Roman"/>
          <w:sz w:val="24"/>
          <w:szCs w:val="24"/>
        </w:rPr>
      </w:pPr>
      <w:r w:rsidRPr="00F70FBC">
        <w:rPr>
          <w:rFonts w:ascii="Times New Roman" w:hAnsi="Times New Roman" w:cs="Times New Roman"/>
          <w:sz w:val="24"/>
          <w:szCs w:val="24"/>
        </w:rPr>
        <w:t>Sin perjuicio de lo establecido en el numeral 4) del Artículo 14, procedente, la Comisión podrá requerir que las instituciones supervisadas publiquen los datos que a su juicio sean necesarios para proporcionar información adicional al público. Las normas que sobre este particular se establezcan serán de aplicación general.</w:t>
      </w:r>
    </w:p>
    <w:p w14:paraId="410CE35F" w14:textId="7F368468" w:rsidR="00473B79" w:rsidRDefault="00F70FBC" w:rsidP="003E2058">
      <w:pPr>
        <w:widowControl/>
        <w:spacing w:after="160" w:line="360" w:lineRule="auto"/>
        <w:ind w:firstLine="708"/>
        <w:jc w:val="both"/>
        <w:rPr>
          <w:rFonts w:ascii="Times New Roman" w:hAnsi="Times New Roman" w:cs="Times New Roman"/>
          <w:sz w:val="24"/>
          <w:szCs w:val="24"/>
        </w:rPr>
      </w:pPr>
      <w:r w:rsidRPr="00F70FBC">
        <w:rPr>
          <w:rFonts w:ascii="Times New Roman" w:hAnsi="Times New Roman" w:cs="Times New Roman"/>
          <w:sz w:val="24"/>
          <w:szCs w:val="24"/>
        </w:rPr>
        <w:lastRenderedPageBreak/>
        <w:t>Las instituciones supervisadas tendrán, asimismo, la obligación de publicar anualmente la nómina de sus administradores, comisarios, asesores y demás funcionarios principales y, cuatro veces al año, por lo menos, los estados financieros a la fecha que la Comisión determine.</w:t>
      </w:r>
    </w:p>
    <w:p w14:paraId="33B4EC05" w14:textId="77777777" w:rsidR="001F3C67" w:rsidRDefault="001F3C67">
      <w:pPr>
        <w:widowControl/>
        <w:spacing w:after="160" w:line="259" w:lineRule="auto"/>
        <w:rPr>
          <w:rFonts w:ascii="Times New Roman" w:eastAsiaTheme="majorEastAsia" w:hAnsi="Times New Roman" w:cs="Times New Roman"/>
          <w:b/>
          <w:sz w:val="28"/>
          <w:szCs w:val="28"/>
        </w:rPr>
      </w:pPr>
      <w:bookmarkStart w:id="144" w:name="_Toc474331191"/>
      <w:bookmarkStart w:id="145" w:name="_Toc474331390"/>
      <w:bookmarkStart w:id="146" w:name="_Toc166705796"/>
      <w:r>
        <w:br w:type="page"/>
      </w:r>
    </w:p>
    <w:p w14:paraId="1D21D9BF" w14:textId="0DEC0CD4" w:rsidR="003E7358" w:rsidRDefault="00F560FD" w:rsidP="00DA00DB">
      <w:pPr>
        <w:pStyle w:val="Ttulo1"/>
        <w:spacing w:before="0" w:after="120" w:line="360" w:lineRule="auto"/>
      </w:pPr>
      <w:bookmarkStart w:id="147" w:name="_Toc175171398"/>
      <w:r>
        <w:lastRenderedPageBreak/>
        <w:t>CAPÍTULO III. METODOLOGÍA</w:t>
      </w:r>
      <w:bookmarkEnd w:id="144"/>
      <w:bookmarkEnd w:id="145"/>
      <w:bookmarkEnd w:id="146"/>
      <w:bookmarkEnd w:id="147"/>
    </w:p>
    <w:p w14:paraId="46F08C64" w14:textId="77777777" w:rsidR="00EA4691" w:rsidRDefault="00EA4691" w:rsidP="00EA4691">
      <w:pPr>
        <w:pStyle w:val="TextoPrincipal"/>
        <w:spacing w:line="360" w:lineRule="auto"/>
      </w:pPr>
      <w:r>
        <w:t>La metodología de investigación es el enfoque sistemático y ordenado que guía el proceso de indagación científica. Implica la selección y aplicación de técnicas, procedimientos y herramientas adecuadas para abordar una pregunta de investigación o problema específico.</w:t>
      </w:r>
    </w:p>
    <w:p w14:paraId="0E3E3305" w14:textId="1686A83B" w:rsidR="00EA4691" w:rsidRDefault="00EA4691" w:rsidP="00EA4691">
      <w:pPr>
        <w:pStyle w:val="TextoPrincipal"/>
        <w:spacing w:line="360" w:lineRule="auto"/>
      </w:pPr>
      <w:r>
        <w:t>Su importancia radica en que proporciona un marco estructurado para la planificación, ejecución y evaluación de un estudio, asegurando la validez, fiabilidad y generalización de los resultados obtenidos.</w:t>
      </w:r>
    </w:p>
    <w:p w14:paraId="51AF8A5B" w14:textId="045D6283" w:rsidR="00EA4691" w:rsidRDefault="00EA4691" w:rsidP="00EA4691">
      <w:pPr>
        <w:pStyle w:val="TextoPrincipal"/>
        <w:spacing w:line="360" w:lineRule="auto"/>
      </w:pPr>
      <w:r>
        <w:t xml:space="preserve">Este capítulo </w:t>
      </w:r>
      <w:r w:rsidR="001B6830">
        <w:t>está</w:t>
      </w:r>
      <w:r>
        <w:t xml:space="preserve"> integrado por la congruencia metodológica, Enfoques y Métodos, Diseño de la Investigación, </w:t>
      </w:r>
      <w:r w:rsidR="001B6830" w:rsidRPr="00EA4691">
        <w:t xml:space="preserve">Técnicas, Instrumentos </w:t>
      </w:r>
      <w:r w:rsidR="001B6830">
        <w:t xml:space="preserve">y </w:t>
      </w:r>
      <w:r w:rsidR="001B6830" w:rsidRPr="00EA4691">
        <w:t>Procedimientos Aplicados</w:t>
      </w:r>
      <w:r>
        <w:t xml:space="preserve"> y</w:t>
      </w:r>
      <w:r w:rsidR="001B6830">
        <w:t xml:space="preserve"> también por las</w:t>
      </w:r>
      <w:r>
        <w:t xml:space="preserve"> Fuentes de Información</w:t>
      </w:r>
      <w:r w:rsidR="00CB120F">
        <w:t>.</w:t>
      </w:r>
    </w:p>
    <w:p w14:paraId="7A499281" w14:textId="77777777" w:rsidR="00902400" w:rsidRDefault="00902400" w:rsidP="00EA4691">
      <w:pPr>
        <w:pStyle w:val="TextoPrincipal"/>
        <w:spacing w:line="360" w:lineRule="auto"/>
      </w:pPr>
    </w:p>
    <w:p w14:paraId="4ABEAFD7" w14:textId="77777777" w:rsidR="00107429" w:rsidRPr="00107429" w:rsidRDefault="00107429" w:rsidP="00EA4691">
      <w:pPr>
        <w:pStyle w:val="Prrafodelista"/>
        <w:numPr>
          <w:ilvl w:val="0"/>
          <w:numId w:val="6"/>
        </w:numPr>
        <w:spacing w:after="120" w:line="360" w:lineRule="auto"/>
        <w:outlineLvl w:val="1"/>
        <w:rPr>
          <w:rFonts w:ascii="Times New Roman" w:eastAsia="Times New Roman" w:hAnsi="Times New Roman"/>
          <w:b/>
          <w:bCs/>
          <w:vanish/>
          <w:sz w:val="24"/>
          <w:szCs w:val="32"/>
        </w:rPr>
      </w:pPr>
      <w:bookmarkStart w:id="148" w:name="_Toc130288086"/>
      <w:bookmarkStart w:id="149" w:name="_Toc132615452"/>
      <w:bookmarkStart w:id="150" w:name="_Toc133044399"/>
      <w:bookmarkStart w:id="151" w:name="_Toc157802660"/>
      <w:bookmarkStart w:id="152" w:name="_Toc158059811"/>
      <w:bookmarkStart w:id="153" w:name="_Toc158062768"/>
      <w:bookmarkStart w:id="154" w:name="_Toc158745546"/>
      <w:bookmarkStart w:id="155" w:name="_Toc162118101"/>
      <w:bookmarkStart w:id="156" w:name="_Toc162118201"/>
      <w:bookmarkStart w:id="157" w:name="_Toc162120573"/>
      <w:bookmarkStart w:id="158" w:name="_Toc162121248"/>
      <w:bookmarkStart w:id="159" w:name="_Toc162130271"/>
      <w:bookmarkStart w:id="160" w:name="_Toc162130378"/>
      <w:bookmarkStart w:id="161" w:name="_Toc162131026"/>
      <w:bookmarkStart w:id="162" w:name="_Toc162131134"/>
      <w:bookmarkStart w:id="163" w:name="_Toc166705797"/>
      <w:bookmarkStart w:id="164" w:name="_Toc166705935"/>
      <w:bookmarkStart w:id="165" w:name="_Toc167746655"/>
      <w:bookmarkStart w:id="166" w:name="_Toc167746787"/>
      <w:bookmarkStart w:id="167" w:name="_Toc167746922"/>
      <w:bookmarkStart w:id="168" w:name="_Toc167747055"/>
      <w:bookmarkStart w:id="169" w:name="_Toc167747187"/>
      <w:bookmarkStart w:id="170" w:name="_Toc167747320"/>
      <w:bookmarkStart w:id="171" w:name="_Toc167747453"/>
      <w:bookmarkStart w:id="172" w:name="_Toc170063918"/>
      <w:bookmarkStart w:id="173" w:name="_Toc170064062"/>
      <w:bookmarkStart w:id="174" w:name="_Toc170064208"/>
      <w:bookmarkStart w:id="175" w:name="_Toc170064352"/>
      <w:bookmarkStart w:id="176" w:name="_Toc170246303"/>
      <w:bookmarkStart w:id="177" w:name="_Toc170246447"/>
      <w:bookmarkStart w:id="178" w:name="_Toc170246591"/>
      <w:bookmarkStart w:id="179" w:name="_Toc474331192"/>
      <w:bookmarkStart w:id="180" w:name="_Toc474331391"/>
      <w:bookmarkStart w:id="181" w:name="_Toc175171252"/>
      <w:bookmarkStart w:id="182" w:name="_Toc175171399"/>
      <w:bookmarkEnd w:id="148"/>
      <w:bookmarkEnd w:id="149"/>
      <w:bookmarkEnd w:id="150"/>
      <w:bookmarkEnd w:id="151"/>
      <w:bookmarkEnd w:id="152"/>
      <w:bookmarkEnd w:id="153"/>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bookmarkEnd w:id="168"/>
      <w:bookmarkEnd w:id="169"/>
      <w:bookmarkEnd w:id="170"/>
      <w:bookmarkEnd w:id="171"/>
      <w:bookmarkEnd w:id="172"/>
      <w:bookmarkEnd w:id="173"/>
      <w:bookmarkEnd w:id="174"/>
      <w:bookmarkEnd w:id="175"/>
      <w:bookmarkEnd w:id="176"/>
      <w:bookmarkEnd w:id="177"/>
      <w:bookmarkEnd w:id="178"/>
      <w:bookmarkEnd w:id="181"/>
      <w:bookmarkEnd w:id="182"/>
    </w:p>
    <w:bookmarkEnd w:id="179"/>
    <w:bookmarkEnd w:id="180"/>
    <w:p w14:paraId="14FB18DE" w14:textId="6DE3EBD6" w:rsidR="00F560FD" w:rsidRPr="00F560FD" w:rsidRDefault="00B260A8" w:rsidP="00EA4691">
      <w:pPr>
        <w:pStyle w:val="Ttulo2"/>
        <w:numPr>
          <w:ilvl w:val="1"/>
          <w:numId w:val="6"/>
        </w:numPr>
        <w:spacing w:line="360" w:lineRule="auto"/>
        <w:ind w:left="0" w:firstLine="0"/>
      </w:pPr>
      <w:r>
        <w:t xml:space="preserve"> </w:t>
      </w:r>
      <w:bookmarkStart w:id="183" w:name="_Toc166705798"/>
      <w:bookmarkStart w:id="184" w:name="_Toc175171400"/>
      <w:r w:rsidR="00A871DB" w:rsidRPr="00107429">
        <w:t>CONGRUENCIA METODOLÓGICA</w:t>
      </w:r>
      <w:bookmarkEnd w:id="183"/>
      <w:bookmarkEnd w:id="184"/>
    </w:p>
    <w:p w14:paraId="1B38CEB9" w14:textId="4DE0EC69" w:rsidR="009B545E" w:rsidRDefault="00CB120F" w:rsidP="00CB120F">
      <w:pPr>
        <w:pStyle w:val="TextoPrincipal"/>
        <w:spacing w:line="360" w:lineRule="auto"/>
        <w:ind w:firstLine="708"/>
      </w:pPr>
      <w:r>
        <w:t xml:space="preserve">“Permite organizar cada una de las etapas del proceso y es útil para comprobar la coherencia entre ellas. Permite apreciar el resumen de la investigación y comprobar si existe una secuencia lógica entre las partes” </w:t>
      </w:r>
      <w:r>
        <w:fldChar w:fldCharType="begin"/>
      </w:r>
      <w:r w:rsidR="000F6563">
        <w:instrText xml:space="preserve"> ADDIN ZOTERO_ITEM CSL_CITATION {"citationID":"mq8d2386","properties":{"formattedCitation":"(Pedraza, 2001)","plainCitation":"(Pedraza, 2001)","noteIndex":0},"citationItems":[{"id":56,"uris":["http://zotero.org/users/13562074/items/RJ5H8N8C"],"itemData":{"id":56,"type":"document","title":"Concepto de Congruencia Metodológica.","author":[{"family":"Pedraza","given":""}],"issued":{"date-parts":[["2001"]]}}}],"schema":"https://github.com/citation-style-language/schema/raw/master/csl-citation.json"} </w:instrText>
      </w:r>
      <w:r>
        <w:fldChar w:fldCharType="separate"/>
      </w:r>
      <w:r w:rsidRPr="00CB120F">
        <w:t>(Pedraza, 2001)</w:t>
      </w:r>
      <w:r>
        <w:fldChar w:fldCharType="end"/>
      </w:r>
      <w:r>
        <w:t>.</w:t>
      </w:r>
    </w:p>
    <w:p w14:paraId="1D89A04E" w14:textId="7C2FB8E7" w:rsidR="00CB120F" w:rsidRDefault="00CB120F" w:rsidP="00CB120F">
      <w:pPr>
        <w:pStyle w:val="TextoPrincipal"/>
        <w:spacing w:line="360" w:lineRule="auto"/>
        <w:ind w:firstLine="708"/>
      </w:pPr>
      <w:r>
        <w:t>La congruencia metodológica es crucial en la investigación científica debido a su impacto en la validez y la fiabilidad de los resultados. La congruencia se refiere a la coherencia y consistencia entre los diferentes elementos de la metodología de investigación, como el diseño, los métodos de recolección de datos, el análisis y otros.</w:t>
      </w:r>
    </w:p>
    <w:p w14:paraId="36BF0BF4" w14:textId="38C60C15" w:rsidR="00CB120F" w:rsidRDefault="00CB120F" w:rsidP="00CB120F">
      <w:pPr>
        <w:pStyle w:val="TextoPrincipal"/>
        <w:spacing w:line="360" w:lineRule="auto"/>
        <w:ind w:firstLine="708"/>
      </w:pPr>
      <w:r>
        <w:t>Una metodología congruente asegura que los métodos elegidos sean apropiados para responder a las preguntas de investigación planteadas y para alcanzar los objetivos del estudio. Además, la congruencia metodológica facilita la interpretación de los hallazgos y la comparación con estudios previos.</w:t>
      </w:r>
    </w:p>
    <w:p w14:paraId="03DCD093" w14:textId="77777777" w:rsidR="00902400" w:rsidRPr="00346C5C" w:rsidRDefault="00902400" w:rsidP="00CB120F">
      <w:pPr>
        <w:pStyle w:val="TextoPrincipal"/>
        <w:spacing w:line="360" w:lineRule="auto"/>
        <w:ind w:firstLine="708"/>
      </w:pPr>
    </w:p>
    <w:p w14:paraId="05DE2A2F" w14:textId="0810A648" w:rsidR="00F560FD" w:rsidRPr="00171F3D" w:rsidRDefault="00171F3D" w:rsidP="00EA3779">
      <w:pPr>
        <w:pStyle w:val="Ttulo3"/>
        <w:spacing w:before="0" w:line="360" w:lineRule="auto"/>
        <w:ind w:left="0" w:firstLine="720"/>
      </w:pPr>
      <w:bookmarkStart w:id="185" w:name="_Toc166705799"/>
      <w:bookmarkStart w:id="186" w:name="_Toc175171401"/>
      <w:r w:rsidRPr="00171F3D">
        <w:t xml:space="preserve">3.1.1. </w:t>
      </w:r>
      <w:r w:rsidR="00A871DB" w:rsidRPr="00171F3D">
        <w:t>MATRIZ METODOLÓGICA</w:t>
      </w:r>
      <w:bookmarkEnd w:id="185"/>
      <w:bookmarkEnd w:id="186"/>
    </w:p>
    <w:p w14:paraId="2FA54FF3" w14:textId="0226E3D3" w:rsidR="006E4D3C" w:rsidRPr="006E4D3C" w:rsidRDefault="006E4D3C" w:rsidP="006E4D3C">
      <w:pPr>
        <w:spacing w:line="360" w:lineRule="auto"/>
        <w:ind w:firstLine="708"/>
        <w:jc w:val="both"/>
        <w:rPr>
          <w:rFonts w:ascii="Times New Roman" w:hAnsi="Times New Roman" w:cs="Times New Roman"/>
          <w:sz w:val="24"/>
          <w:szCs w:val="24"/>
        </w:rPr>
      </w:pPr>
      <w:r w:rsidRPr="006E4D3C">
        <w:rPr>
          <w:rFonts w:ascii="Times New Roman" w:hAnsi="Times New Roman" w:cs="Times New Roman"/>
          <w:sz w:val="24"/>
          <w:szCs w:val="24"/>
        </w:rPr>
        <w:fldChar w:fldCharType="begin"/>
      </w:r>
      <w:r w:rsidR="00C52841">
        <w:rPr>
          <w:rFonts w:ascii="Times New Roman" w:hAnsi="Times New Roman" w:cs="Times New Roman"/>
          <w:sz w:val="24"/>
          <w:szCs w:val="24"/>
        </w:rPr>
        <w:instrText xml:space="preserve"> ADDIN ZOTERO_ITEM CSL_CITATION {"citationID":"Dg6YbiRV","properties":{"formattedCitation":"(Vera &amp; Lugo, 2016)","plainCitation":"(Vera &amp; Lugo, 2016)","dontUpdate":true,"noteIndex":0},"citationItems":[{"id":"mhK3fgOx/X9qIZsSb","uris":["http://zotero.org/users/local/rewjbDUP/items/Y9A4FSZD"],"itemData":{"id":14,"type":"article-magazine","language":"Español","license":"Ciencia Huasteca Boletín Científico de la Escuela Superior de Huejutla","title":"Matriz de consistencia metodológica","author":[{"family":"Vera","given":"Buenaventura"},{"family":"Lugo","given":"Sergio"}],"issued":{"date-parts":[["2016"]]}}}],"schema":"https://github.com/citation-style-language/schema/raw/master/csl-citation.json"} </w:instrText>
      </w:r>
      <w:r w:rsidRPr="006E4D3C">
        <w:rPr>
          <w:rFonts w:ascii="Times New Roman" w:hAnsi="Times New Roman" w:cs="Times New Roman"/>
          <w:sz w:val="24"/>
          <w:szCs w:val="24"/>
        </w:rPr>
        <w:fldChar w:fldCharType="separate"/>
      </w:r>
      <w:r w:rsidRPr="006E4D3C">
        <w:rPr>
          <w:rFonts w:ascii="Times New Roman" w:hAnsi="Times New Roman" w:cs="Times New Roman"/>
          <w:sz w:val="24"/>
          <w:szCs w:val="24"/>
        </w:rPr>
        <w:t>Vera &amp; Lugo (2016)</w:t>
      </w:r>
      <w:r w:rsidRPr="006E4D3C">
        <w:rPr>
          <w:rFonts w:ascii="Times New Roman" w:hAnsi="Times New Roman" w:cs="Times New Roman"/>
          <w:sz w:val="24"/>
          <w:szCs w:val="24"/>
        </w:rPr>
        <w:fldChar w:fldCharType="end"/>
      </w:r>
      <w:r w:rsidRPr="006E4D3C">
        <w:rPr>
          <w:rFonts w:ascii="Times New Roman" w:hAnsi="Times New Roman" w:cs="Times New Roman"/>
          <w:sz w:val="24"/>
          <w:szCs w:val="24"/>
        </w:rPr>
        <w:t xml:space="preserve">, definen que la Matriz de Consistencia o Matriz Metodológica es un cuadro horizontal, conformado por columnas y filas, que consiste en presentar y resumir en forma adecuada, panorámica y sucinta los elementos básicos del proyecto de investigación, para </w:t>
      </w:r>
      <w:r w:rsidRPr="006E4D3C">
        <w:rPr>
          <w:rFonts w:ascii="Times New Roman" w:hAnsi="Times New Roman" w:cs="Times New Roman"/>
          <w:sz w:val="24"/>
          <w:szCs w:val="24"/>
        </w:rPr>
        <w:lastRenderedPageBreak/>
        <w:t>comprender y evaluar la coherencia y conexión lógica entre el problema, los objetivos, la hipótesis, las variables y metodología en la investigación a realizar. Además, consideran que es un instrumento valioso que permite medir y evaluar el grado de relación que existe entre los elementos esenciales del protocolo de investigación. Asimismo, que presenta una visión panorámica de los principales elementos del proyecto de investigación.</w:t>
      </w:r>
    </w:p>
    <w:p w14:paraId="04A94736" w14:textId="77777777" w:rsidR="006E4D3C" w:rsidRDefault="000017C3" w:rsidP="006E4D3C">
      <w:pPr>
        <w:pStyle w:val="TextoPrincipal"/>
        <w:spacing w:line="360" w:lineRule="auto"/>
      </w:pPr>
      <w:r>
        <w:t xml:space="preserve">Esta matriz </w:t>
      </w:r>
      <w:r w:rsidR="006E4D3C">
        <w:t>permite</w:t>
      </w:r>
      <w:r>
        <w:t xml:space="preserve"> organizar de manera clara y sistemática los diferentes componentes de la metodología empleada en el estudio. Al tener esta información estructurada en una matriz, es más fácil comprender cómo se llevó a cabo el estudio y qué métodos se utilizaron en cada etapa.</w:t>
      </w:r>
    </w:p>
    <w:p w14:paraId="1A892DDB" w14:textId="4FF4FD61" w:rsidR="006E4D3C" w:rsidRDefault="006E4D3C" w:rsidP="006E4D3C">
      <w:pPr>
        <w:pStyle w:val="TextoPrincipal"/>
        <w:spacing w:line="360" w:lineRule="auto"/>
      </w:pPr>
      <w:r w:rsidRPr="006E4D3C">
        <w:t>A continuación, se presenta la matriz de congruencia metodológica relativa a esta investigación., la misma resalta las interconexiones entre el problema de investigación y sus objetivos correspondientes.</w:t>
      </w:r>
    </w:p>
    <w:p w14:paraId="6CD11A04" w14:textId="77777777" w:rsidR="007B62A7" w:rsidRDefault="007B62A7">
      <w:pPr>
        <w:widowControl/>
        <w:spacing w:after="160" w:line="259" w:lineRule="auto"/>
        <w:rPr>
          <w:rFonts w:ascii="Times New Roman" w:hAnsi="Times New Roman" w:cs="Times New Roman"/>
          <w:sz w:val="24"/>
          <w:szCs w:val="24"/>
        </w:rPr>
      </w:pPr>
      <w:r>
        <w:br w:type="page"/>
      </w:r>
    </w:p>
    <w:p w14:paraId="4916CE16" w14:textId="426E9611" w:rsidR="007B62A7" w:rsidRDefault="007B62A7" w:rsidP="007B62A7">
      <w:pPr>
        <w:pStyle w:val="TextoPrincipal"/>
        <w:spacing w:line="360" w:lineRule="auto"/>
        <w:ind w:firstLine="0"/>
        <w:sectPr w:rsidR="007B62A7" w:rsidSect="00342E08">
          <w:footerReference w:type="default" r:id="rId17"/>
          <w:pgSz w:w="12240" w:h="15840" w:code="1"/>
          <w:pgMar w:top="1440" w:right="1440" w:bottom="1440" w:left="1440" w:header="709" w:footer="709" w:gutter="0"/>
          <w:cols w:space="708"/>
          <w:docGrid w:linePitch="360"/>
        </w:sectPr>
      </w:pPr>
    </w:p>
    <w:p w14:paraId="424B2FDE" w14:textId="50976FC5" w:rsidR="000017C3" w:rsidRPr="007B62A7" w:rsidRDefault="007B62A7" w:rsidP="00E05353">
      <w:pPr>
        <w:pStyle w:val="TextoPrincipal"/>
        <w:spacing w:line="360" w:lineRule="auto"/>
        <w:rPr>
          <w:b/>
          <w:bCs/>
        </w:rPr>
      </w:pPr>
      <w:r w:rsidRPr="007B62A7">
        <w:rPr>
          <w:b/>
          <w:bCs/>
        </w:rPr>
        <w:lastRenderedPageBreak/>
        <w:t>Tabla 1. Matriz Metodológica</w:t>
      </w:r>
    </w:p>
    <w:tbl>
      <w:tblPr>
        <w:tblStyle w:val="Tablaconcuadrcula"/>
        <w:tblW w:w="0" w:type="auto"/>
        <w:tblLook w:val="04A0" w:firstRow="1" w:lastRow="0" w:firstColumn="1" w:lastColumn="0" w:noHBand="0" w:noVBand="1"/>
      </w:tblPr>
      <w:tblGrid>
        <w:gridCol w:w="2324"/>
        <w:gridCol w:w="2095"/>
        <w:gridCol w:w="2136"/>
        <w:gridCol w:w="2136"/>
        <w:gridCol w:w="2219"/>
        <w:gridCol w:w="2040"/>
      </w:tblGrid>
      <w:tr w:rsidR="007B62A7" w:rsidRPr="007B62A7" w14:paraId="4219BEB0" w14:textId="77777777" w:rsidTr="006E4D3C">
        <w:trPr>
          <w:trHeight w:val="630"/>
        </w:trPr>
        <w:tc>
          <w:tcPr>
            <w:tcW w:w="2580" w:type="dxa"/>
            <w:shd w:val="clear" w:color="auto" w:fill="BDD6EE" w:themeFill="accent1" w:themeFillTint="66"/>
            <w:hideMark/>
          </w:tcPr>
          <w:p w14:paraId="176E84E8" w14:textId="36C78DAA" w:rsidR="007B62A7" w:rsidRPr="007B62A7" w:rsidRDefault="007B62A7" w:rsidP="007B62A7">
            <w:pPr>
              <w:pStyle w:val="TextoPrincipal"/>
              <w:spacing w:line="360" w:lineRule="auto"/>
              <w:ind w:firstLine="0"/>
              <w:jc w:val="center"/>
              <w:rPr>
                <w:b/>
                <w:bCs/>
              </w:rPr>
            </w:pPr>
            <w:r w:rsidRPr="007B62A7">
              <w:rPr>
                <w:b/>
                <w:bCs/>
              </w:rPr>
              <w:t>Título</w:t>
            </w:r>
            <w:r>
              <w:rPr>
                <w:b/>
                <w:bCs/>
              </w:rPr>
              <w:t xml:space="preserve"> </w:t>
            </w:r>
            <w:r w:rsidRPr="007B62A7">
              <w:rPr>
                <w:b/>
                <w:bCs/>
              </w:rPr>
              <w:t>de Tesis</w:t>
            </w:r>
          </w:p>
        </w:tc>
        <w:tc>
          <w:tcPr>
            <w:tcW w:w="2260" w:type="dxa"/>
            <w:shd w:val="clear" w:color="auto" w:fill="BDD6EE" w:themeFill="accent1" w:themeFillTint="66"/>
            <w:hideMark/>
          </w:tcPr>
          <w:p w14:paraId="05ED798C" w14:textId="77777777" w:rsidR="007B62A7" w:rsidRPr="007B62A7" w:rsidRDefault="007B62A7" w:rsidP="007B62A7">
            <w:pPr>
              <w:pStyle w:val="TextoPrincipal"/>
              <w:spacing w:line="360" w:lineRule="auto"/>
              <w:ind w:firstLine="0"/>
              <w:jc w:val="center"/>
              <w:rPr>
                <w:b/>
                <w:bCs/>
              </w:rPr>
            </w:pPr>
            <w:r w:rsidRPr="007B62A7">
              <w:rPr>
                <w:b/>
                <w:bCs/>
              </w:rPr>
              <w:t>Problema</w:t>
            </w:r>
          </w:p>
        </w:tc>
        <w:tc>
          <w:tcPr>
            <w:tcW w:w="2320" w:type="dxa"/>
            <w:shd w:val="clear" w:color="auto" w:fill="BDD6EE" w:themeFill="accent1" w:themeFillTint="66"/>
            <w:hideMark/>
          </w:tcPr>
          <w:p w14:paraId="025CAB5B" w14:textId="2F46CFB3" w:rsidR="007B62A7" w:rsidRPr="007B62A7" w:rsidRDefault="007B62A7" w:rsidP="007B62A7">
            <w:pPr>
              <w:pStyle w:val="TextoPrincipal"/>
              <w:spacing w:line="360" w:lineRule="auto"/>
              <w:ind w:firstLine="0"/>
              <w:jc w:val="center"/>
              <w:rPr>
                <w:b/>
                <w:bCs/>
              </w:rPr>
            </w:pPr>
            <w:r w:rsidRPr="007B62A7">
              <w:rPr>
                <w:b/>
                <w:bCs/>
              </w:rPr>
              <w:t>Preguntas de Investigación</w:t>
            </w:r>
          </w:p>
        </w:tc>
        <w:tc>
          <w:tcPr>
            <w:tcW w:w="2320" w:type="dxa"/>
            <w:shd w:val="clear" w:color="auto" w:fill="BDD6EE" w:themeFill="accent1" w:themeFillTint="66"/>
            <w:hideMark/>
          </w:tcPr>
          <w:p w14:paraId="38267E14" w14:textId="77777777" w:rsidR="007B62A7" w:rsidRPr="007B62A7" w:rsidRDefault="007B62A7" w:rsidP="007B62A7">
            <w:pPr>
              <w:pStyle w:val="TextoPrincipal"/>
              <w:spacing w:line="360" w:lineRule="auto"/>
              <w:ind w:firstLine="0"/>
              <w:jc w:val="center"/>
              <w:rPr>
                <w:b/>
                <w:bCs/>
              </w:rPr>
            </w:pPr>
            <w:r w:rsidRPr="007B62A7">
              <w:rPr>
                <w:b/>
                <w:bCs/>
              </w:rPr>
              <w:t>Objetivo General</w:t>
            </w:r>
          </w:p>
        </w:tc>
        <w:tc>
          <w:tcPr>
            <w:tcW w:w="2440" w:type="dxa"/>
            <w:shd w:val="clear" w:color="auto" w:fill="BDD6EE" w:themeFill="accent1" w:themeFillTint="66"/>
            <w:hideMark/>
          </w:tcPr>
          <w:p w14:paraId="37BF8BB4" w14:textId="17082A2D" w:rsidR="007B62A7" w:rsidRPr="007B62A7" w:rsidRDefault="007B62A7" w:rsidP="007B62A7">
            <w:pPr>
              <w:pStyle w:val="TextoPrincipal"/>
              <w:spacing w:line="360" w:lineRule="auto"/>
              <w:ind w:firstLine="0"/>
              <w:jc w:val="center"/>
              <w:rPr>
                <w:b/>
                <w:bCs/>
              </w:rPr>
            </w:pPr>
            <w:r w:rsidRPr="007B62A7">
              <w:rPr>
                <w:b/>
                <w:bCs/>
              </w:rPr>
              <w:t>Objetivos específicos</w:t>
            </w:r>
          </w:p>
        </w:tc>
        <w:tc>
          <w:tcPr>
            <w:tcW w:w="2040" w:type="dxa"/>
            <w:shd w:val="clear" w:color="auto" w:fill="BDD6EE" w:themeFill="accent1" w:themeFillTint="66"/>
            <w:hideMark/>
          </w:tcPr>
          <w:p w14:paraId="4A5F38FA" w14:textId="77777777" w:rsidR="007B62A7" w:rsidRPr="007B62A7" w:rsidRDefault="007B62A7" w:rsidP="007B62A7">
            <w:pPr>
              <w:pStyle w:val="TextoPrincipal"/>
              <w:spacing w:line="360" w:lineRule="auto"/>
              <w:ind w:firstLine="0"/>
              <w:jc w:val="center"/>
              <w:rPr>
                <w:b/>
                <w:bCs/>
              </w:rPr>
            </w:pPr>
            <w:r w:rsidRPr="007B62A7">
              <w:rPr>
                <w:b/>
                <w:bCs/>
              </w:rPr>
              <w:t>Variables</w:t>
            </w:r>
          </w:p>
        </w:tc>
      </w:tr>
      <w:tr w:rsidR="007B62A7" w:rsidRPr="007B62A7" w14:paraId="5484E93B" w14:textId="77777777" w:rsidTr="007B62A7">
        <w:trPr>
          <w:trHeight w:val="2940"/>
        </w:trPr>
        <w:tc>
          <w:tcPr>
            <w:tcW w:w="2580" w:type="dxa"/>
            <w:vMerge w:val="restart"/>
            <w:hideMark/>
          </w:tcPr>
          <w:p w14:paraId="70B5470B" w14:textId="19A257CC" w:rsidR="007B62A7" w:rsidRPr="007B62A7" w:rsidRDefault="007B62A7" w:rsidP="007B62A7">
            <w:pPr>
              <w:pStyle w:val="TextoPrincipal"/>
              <w:spacing w:line="360" w:lineRule="auto"/>
              <w:ind w:firstLine="0"/>
            </w:pPr>
            <w:r w:rsidRPr="007B62A7">
              <w:t xml:space="preserve">Análisis de Morosidad en la Cartera de Crédito de la Institución Microfinanciera </w:t>
            </w:r>
            <w:r w:rsidR="00E5074B">
              <w:t>“XYZ”</w:t>
            </w:r>
            <w:r w:rsidRPr="007B62A7">
              <w:t xml:space="preserve"> en sus diferentes agencias en el territorio </w:t>
            </w:r>
            <w:r w:rsidR="00B70B3C" w:rsidRPr="007B62A7">
              <w:t>hondureño</w:t>
            </w:r>
            <w:r w:rsidRPr="007B62A7">
              <w:t xml:space="preserve"> a partir del año 2019 hasta 2023</w:t>
            </w:r>
            <w:r>
              <w:t>.</w:t>
            </w:r>
          </w:p>
        </w:tc>
        <w:tc>
          <w:tcPr>
            <w:tcW w:w="2260" w:type="dxa"/>
            <w:vMerge w:val="restart"/>
            <w:hideMark/>
          </w:tcPr>
          <w:p w14:paraId="75735A6B" w14:textId="4D120667" w:rsidR="007B62A7" w:rsidRPr="007B62A7" w:rsidRDefault="007B62A7" w:rsidP="007B62A7">
            <w:pPr>
              <w:pStyle w:val="TextoPrincipal"/>
              <w:spacing w:line="360" w:lineRule="auto"/>
              <w:ind w:firstLine="0"/>
            </w:pPr>
            <w:r w:rsidRPr="007B62A7">
              <w:t xml:space="preserve">¿Qué variaciones han sufrido los niveles de morosidad en la cartera de crédito de la institución microfinanciera </w:t>
            </w:r>
            <w:r w:rsidR="00E5074B">
              <w:t>“XYZ”</w:t>
            </w:r>
            <w:r w:rsidRPr="007B62A7">
              <w:t xml:space="preserve"> en </w:t>
            </w:r>
            <w:r w:rsidR="003F149D">
              <w:t xml:space="preserve">Honduras, </w:t>
            </w:r>
            <w:r w:rsidRPr="007B62A7">
              <w:t>durante el período comprendido entre 2019 y 2023?</w:t>
            </w:r>
          </w:p>
        </w:tc>
        <w:tc>
          <w:tcPr>
            <w:tcW w:w="2320" w:type="dxa"/>
            <w:hideMark/>
          </w:tcPr>
          <w:p w14:paraId="6560AA96" w14:textId="709A49BC" w:rsidR="007B62A7" w:rsidRPr="007B62A7" w:rsidRDefault="007B62A7" w:rsidP="007B62A7">
            <w:pPr>
              <w:pStyle w:val="TextoPrincipal"/>
              <w:spacing w:line="360" w:lineRule="auto"/>
              <w:ind w:firstLine="0"/>
            </w:pPr>
            <w:r w:rsidRPr="007B62A7">
              <w:t xml:space="preserve">1. ¿Cuáles son los factores que han impactado de forma positiva o negativa en la gestión de crédito de la institución microfinanciera </w:t>
            </w:r>
            <w:r w:rsidR="00E5074B">
              <w:t>“XYZ”</w:t>
            </w:r>
            <w:r w:rsidRPr="007B62A7">
              <w:t>?</w:t>
            </w:r>
          </w:p>
        </w:tc>
        <w:tc>
          <w:tcPr>
            <w:tcW w:w="2320" w:type="dxa"/>
            <w:vMerge w:val="restart"/>
            <w:hideMark/>
          </w:tcPr>
          <w:p w14:paraId="487D361A" w14:textId="5CA858A0" w:rsidR="007B62A7" w:rsidRPr="007B62A7" w:rsidRDefault="007B62A7" w:rsidP="007B62A7">
            <w:pPr>
              <w:pStyle w:val="TextoPrincipal"/>
              <w:spacing w:line="360" w:lineRule="auto"/>
              <w:ind w:firstLine="0"/>
            </w:pPr>
            <w:r w:rsidRPr="007B62A7">
              <w:t xml:space="preserve">Identificar que variaciones han sufrido los niveles de morosidad en la cartera de crédito de la institución microfinanciera </w:t>
            </w:r>
            <w:r w:rsidR="00E5074B">
              <w:t>“XYZ”</w:t>
            </w:r>
            <w:r w:rsidRPr="007B62A7">
              <w:t xml:space="preserve"> en sus diversas agencias en el territorio hondureño durante el período comprendido entre 2019 y 2023</w:t>
            </w:r>
          </w:p>
        </w:tc>
        <w:tc>
          <w:tcPr>
            <w:tcW w:w="2440" w:type="dxa"/>
            <w:hideMark/>
          </w:tcPr>
          <w:p w14:paraId="069155B8" w14:textId="239E8B26" w:rsidR="007B62A7" w:rsidRPr="007B62A7" w:rsidRDefault="007B62A7" w:rsidP="007B62A7">
            <w:pPr>
              <w:pStyle w:val="TextoPrincipal"/>
              <w:spacing w:line="360" w:lineRule="auto"/>
              <w:ind w:firstLine="0"/>
            </w:pPr>
            <w:r w:rsidRPr="007B62A7">
              <w:t xml:space="preserve">1. Determinar los factores que han impactado de forma positiva o negativa en la gestión de crédito de la institución microfinanciera </w:t>
            </w:r>
            <w:r w:rsidR="00E5074B">
              <w:t>“XYZ”</w:t>
            </w:r>
            <w:r w:rsidRPr="007B62A7">
              <w:t>.</w:t>
            </w:r>
          </w:p>
        </w:tc>
        <w:tc>
          <w:tcPr>
            <w:tcW w:w="2040" w:type="dxa"/>
            <w:noWrap/>
            <w:hideMark/>
          </w:tcPr>
          <w:p w14:paraId="10923842" w14:textId="77777777" w:rsidR="007B62A7" w:rsidRPr="007B62A7" w:rsidRDefault="007B62A7" w:rsidP="007B62A7">
            <w:pPr>
              <w:pStyle w:val="TextoPrincipal"/>
              <w:spacing w:line="360" w:lineRule="auto"/>
              <w:ind w:firstLine="0"/>
            </w:pPr>
            <w:r w:rsidRPr="007B62A7">
              <w:t>Gestión de Crédito</w:t>
            </w:r>
          </w:p>
        </w:tc>
      </w:tr>
      <w:tr w:rsidR="007B62A7" w:rsidRPr="007B62A7" w14:paraId="051E498F" w14:textId="77777777" w:rsidTr="007B62A7">
        <w:trPr>
          <w:trHeight w:val="3885"/>
        </w:trPr>
        <w:tc>
          <w:tcPr>
            <w:tcW w:w="2580" w:type="dxa"/>
            <w:vMerge/>
            <w:hideMark/>
          </w:tcPr>
          <w:p w14:paraId="09F4718D" w14:textId="77777777" w:rsidR="007B62A7" w:rsidRPr="007B62A7" w:rsidRDefault="007B62A7" w:rsidP="007B62A7">
            <w:pPr>
              <w:pStyle w:val="TextoPrincipal"/>
              <w:spacing w:line="360" w:lineRule="auto"/>
            </w:pPr>
          </w:p>
        </w:tc>
        <w:tc>
          <w:tcPr>
            <w:tcW w:w="2260" w:type="dxa"/>
            <w:vMerge/>
            <w:hideMark/>
          </w:tcPr>
          <w:p w14:paraId="01B4DE08" w14:textId="77777777" w:rsidR="007B62A7" w:rsidRPr="007B62A7" w:rsidRDefault="007B62A7" w:rsidP="007B62A7">
            <w:pPr>
              <w:pStyle w:val="TextoPrincipal"/>
              <w:spacing w:line="360" w:lineRule="auto"/>
            </w:pPr>
          </w:p>
        </w:tc>
        <w:tc>
          <w:tcPr>
            <w:tcW w:w="2320" w:type="dxa"/>
            <w:hideMark/>
          </w:tcPr>
          <w:p w14:paraId="12B6880A" w14:textId="6903201B" w:rsidR="007B62A7" w:rsidRPr="007B62A7" w:rsidRDefault="007B62A7" w:rsidP="007B62A7">
            <w:pPr>
              <w:pStyle w:val="TextoPrincipal"/>
              <w:spacing w:line="360" w:lineRule="auto"/>
              <w:ind w:firstLine="0"/>
            </w:pPr>
            <w:r w:rsidRPr="007B62A7">
              <w:t xml:space="preserve">2. ¿Cuál es la situación financiera de la microfinanciera </w:t>
            </w:r>
            <w:r w:rsidR="00E5074B">
              <w:t>“XYZ”</w:t>
            </w:r>
            <w:r w:rsidRPr="007B62A7">
              <w:t xml:space="preserve"> en función de los resultados mostrados por los indicadores de rentabilidad, </w:t>
            </w:r>
            <w:r w:rsidRPr="007B62A7">
              <w:lastRenderedPageBreak/>
              <w:t>solvencia para cumplir con sus obligaciones y endeudamiento en el periodo 2019-2023?</w:t>
            </w:r>
          </w:p>
        </w:tc>
        <w:tc>
          <w:tcPr>
            <w:tcW w:w="2320" w:type="dxa"/>
            <w:vMerge/>
            <w:hideMark/>
          </w:tcPr>
          <w:p w14:paraId="7F8DA4C6" w14:textId="77777777" w:rsidR="007B62A7" w:rsidRPr="007B62A7" w:rsidRDefault="007B62A7" w:rsidP="007B62A7">
            <w:pPr>
              <w:pStyle w:val="TextoPrincipal"/>
              <w:spacing w:line="360" w:lineRule="auto"/>
            </w:pPr>
          </w:p>
        </w:tc>
        <w:tc>
          <w:tcPr>
            <w:tcW w:w="2440" w:type="dxa"/>
            <w:hideMark/>
          </w:tcPr>
          <w:p w14:paraId="77F73929" w14:textId="165D8BD4" w:rsidR="007B62A7" w:rsidRPr="007B62A7" w:rsidRDefault="007B62A7" w:rsidP="007B62A7">
            <w:pPr>
              <w:pStyle w:val="TextoPrincipal"/>
              <w:spacing w:line="360" w:lineRule="auto"/>
              <w:ind w:firstLine="0"/>
            </w:pPr>
            <w:r w:rsidRPr="007B62A7">
              <w:t xml:space="preserve">2. Examinar la situación financiera de la microfinanciera </w:t>
            </w:r>
            <w:r w:rsidR="00E5074B">
              <w:t>“XYZ”</w:t>
            </w:r>
            <w:r w:rsidRPr="007B62A7">
              <w:t xml:space="preserve"> en función de los resultados mostrados por los indicadores de rentabilidad, </w:t>
            </w:r>
            <w:r w:rsidRPr="007B62A7">
              <w:lastRenderedPageBreak/>
              <w:t>solvencia para cumplir con sus obligaciones y endeudamiento en el periodo 2019-2023.</w:t>
            </w:r>
          </w:p>
        </w:tc>
        <w:tc>
          <w:tcPr>
            <w:tcW w:w="2040" w:type="dxa"/>
            <w:hideMark/>
          </w:tcPr>
          <w:p w14:paraId="6258D633" w14:textId="77777777" w:rsidR="007B62A7" w:rsidRPr="007B62A7" w:rsidRDefault="007B62A7" w:rsidP="007B62A7">
            <w:pPr>
              <w:pStyle w:val="TextoPrincipal"/>
              <w:spacing w:line="360" w:lineRule="auto"/>
              <w:ind w:firstLine="0"/>
            </w:pPr>
            <w:r w:rsidRPr="007B62A7">
              <w:lastRenderedPageBreak/>
              <w:t>Rentabilidad    Liquidez         Solvencia Financiera Endeudamiento</w:t>
            </w:r>
          </w:p>
        </w:tc>
      </w:tr>
      <w:tr w:rsidR="007B62A7" w:rsidRPr="007B62A7" w14:paraId="7873DCF3" w14:textId="77777777" w:rsidTr="0069412C">
        <w:trPr>
          <w:trHeight w:val="2205"/>
        </w:trPr>
        <w:tc>
          <w:tcPr>
            <w:tcW w:w="2580" w:type="dxa"/>
            <w:vMerge/>
            <w:hideMark/>
          </w:tcPr>
          <w:p w14:paraId="75F89D0E" w14:textId="77777777" w:rsidR="007B62A7" w:rsidRPr="007B62A7" w:rsidRDefault="007B62A7" w:rsidP="007B62A7">
            <w:pPr>
              <w:pStyle w:val="TextoPrincipal"/>
              <w:spacing w:line="360" w:lineRule="auto"/>
            </w:pPr>
          </w:p>
        </w:tc>
        <w:tc>
          <w:tcPr>
            <w:tcW w:w="2260" w:type="dxa"/>
            <w:vMerge/>
            <w:hideMark/>
          </w:tcPr>
          <w:p w14:paraId="5DAE256F" w14:textId="77777777" w:rsidR="007B62A7" w:rsidRPr="007B62A7" w:rsidRDefault="007B62A7" w:rsidP="007B62A7">
            <w:pPr>
              <w:pStyle w:val="TextoPrincipal"/>
              <w:spacing w:line="360" w:lineRule="auto"/>
            </w:pPr>
          </w:p>
        </w:tc>
        <w:tc>
          <w:tcPr>
            <w:tcW w:w="2320" w:type="dxa"/>
            <w:hideMark/>
          </w:tcPr>
          <w:p w14:paraId="7CDEFD32" w14:textId="6C869C23" w:rsidR="007B62A7" w:rsidRPr="007B62A7" w:rsidRDefault="007B62A7" w:rsidP="007B62A7">
            <w:pPr>
              <w:pStyle w:val="TextoPrincipal"/>
              <w:spacing w:line="360" w:lineRule="auto"/>
              <w:ind w:firstLine="0"/>
            </w:pPr>
            <w:r w:rsidRPr="007B62A7">
              <w:t xml:space="preserve">3. ¿Qué medidas ha implementado la institución </w:t>
            </w:r>
            <w:r w:rsidR="00E5074B">
              <w:t>“XYZ”</w:t>
            </w:r>
            <w:r w:rsidRPr="007B62A7">
              <w:t xml:space="preserve"> para mitigar la morosidad en su cartera de crédito?</w:t>
            </w:r>
          </w:p>
        </w:tc>
        <w:tc>
          <w:tcPr>
            <w:tcW w:w="2320" w:type="dxa"/>
            <w:vMerge/>
            <w:hideMark/>
          </w:tcPr>
          <w:p w14:paraId="11A45A42" w14:textId="77777777" w:rsidR="007B62A7" w:rsidRPr="007B62A7" w:rsidRDefault="007B62A7" w:rsidP="007B62A7">
            <w:pPr>
              <w:pStyle w:val="TextoPrincipal"/>
              <w:spacing w:line="360" w:lineRule="auto"/>
            </w:pPr>
          </w:p>
        </w:tc>
        <w:tc>
          <w:tcPr>
            <w:tcW w:w="2440" w:type="dxa"/>
            <w:hideMark/>
          </w:tcPr>
          <w:p w14:paraId="69274973" w14:textId="1C496017" w:rsidR="007B62A7" w:rsidRPr="007B62A7" w:rsidRDefault="007B62A7" w:rsidP="007B62A7">
            <w:pPr>
              <w:pStyle w:val="TextoPrincipal"/>
              <w:spacing w:line="360" w:lineRule="auto"/>
              <w:ind w:firstLine="0"/>
            </w:pPr>
            <w:r w:rsidRPr="007B62A7">
              <w:t xml:space="preserve">3. Evaluar las medidas que ha implementado la institución </w:t>
            </w:r>
            <w:r w:rsidR="00E5074B">
              <w:t>“XYZ”</w:t>
            </w:r>
            <w:r w:rsidRPr="007B62A7">
              <w:t xml:space="preserve"> para mitigar la morosidad en su cartera de crédito, y cuál ha sido su efectividad.</w:t>
            </w:r>
          </w:p>
        </w:tc>
        <w:tc>
          <w:tcPr>
            <w:tcW w:w="2040" w:type="dxa"/>
            <w:hideMark/>
          </w:tcPr>
          <w:p w14:paraId="528FAAF4" w14:textId="77777777" w:rsidR="007B62A7" w:rsidRDefault="007B62A7" w:rsidP="0069412C">
            <w:pPr>
              <w:pStyle w:val="TextoPrincipal"/>
              <w:spacing w:line="360" w:lineRule="auto"/>
              <w:jc w:val="left"/>
            </w:pPr>
            <w:r w:rsidRPr="007B62A7">
              <w:t>Morosidad</w:t>
            </w:r>
          </w:p>
          <w:p w14:paraId="2339B8D1" w14:textId="77777777" w:rsidR="0069412C" w:rsidRPr="0069412C" w:rsidRDefault="0069412C" w:rsidP="0069412C"/>
        </w:tc>
      </w:tr>
      <w:tr w:rsidR="007B62A7" w:rsidRPr="007B62A7" w14:paraId="5B2F5C14" w14:textId="77777777" w:rsidTr="007B62A7">
        <w:trPr>
          <w:trHeight w:val="3390"/>
        </w:trPr>
        <w:tc>
          <w:tcPr>
            <w:tcW w:w="2580" w:type="dxa"/>
            <w:vMerge/>
            <w:hideMark/>
          </w:tcPr>
          <w:p w14:paraId="0FF04ADE" w14:textId="77777777" w:rsidR="007B62A7" w:rsidRPr="007B62A7" w:rsidRDefault="007B62A7" w:rsidP="007B62A7">
            <w:pPr>
              <w:pStyle w:val="TextoPrincipal"/>
              <w:spacing w:line="360" w:lineRule="auto"/>
            </w:pPr>
          </w:p>
        </w:tc>
        <w:tc>
          <w:tcPr>
            <w:tcW w:w="2260" w:type="dxa"/>
            <w:vMerge/>
            <w:hideMark/>
          </w:tcPr>
          <w:p w14:paraId="1074F267" w14:textId="77777777" w:rsidR="007B62A7" w:rsidRPr="007B62A7" w:rsidRDefault="007B62A7" w:rsidP="007B62A7">
            <w:pPr>
              <w:pStyle w:val="TextoPrincipal"/>
              <w:spacing w:line="360" w:lineRule="auto"/>
            </w:pPr>
          </w:p>
        </w:tc>
        <w:tc>
          <w:tcPr>
            <w:tcW w:w="2320" w:type="dxa"/>
            <w:hideMark/>
          </w:tcPr>
          <w:p w14:paraId="71842564" w14:textId="58AB320B" w:rsidR="007B62A7" w:rsidRPr="007B62A7" w:rsidRDefault="007B62A7" w:rsidP="007B62A7">
            <w:pPr>
              <w:pStyle w:val="TextoPrincipal"/>
              <w:spacing w:line="360" w:lineRule="auto"/>
              <w:ind w:firstLine="0"/>
            </w:pPr>
            <w:r w:rsidRPr="007B62A7">
              <w:t xml:space="preserve">4. ¿Qué oportunidades existen para mejorar los procesos internos de evaluación de riesgos y gestión de crédito de la institución </w:t>
            </w:r>
            <w:r w:rsidR="00E5074B">
              <w:t>“XYZ”</w:t>
            </w:r>
            <w:r w:rsidRPr="007B62A7">
              <w:t xml:space="preserve"> con el fin de prevenir la morosidad en el futuro?</w:t>
            </w:r>
          </w:p>
        </w:tc>
        <w:tc>
          <w:tcPr>
            <w:tcW w:w="2320" w:type="dxa"/>
            <w:vMerge/>
            <w:hideMark/>
          </w:tcPr>
          <w:p w14:paraId="759B7492" w14:textId="77777777" w:rsidR="007B62A7" w:rsidRPr="007B62A7" w:rsidRDefault="007B62A7" w:rsidP="007B62A7">
            <w:pPr>
              <w:pStyle w:val="TextoPrincipal"/>
              <w:spacing w:line="360" w:lineRule="auto"/>
            </w:pPr>
          </w:p>
        </w:tc>
        <w:tc>
          <w:tcPr>
            <w:tcW w:w="2440" w:type="dxa"/>
            <w:hideMark/>
          </w:tcPr>
          <w:p w14:paraId="67D3FFFF" w14:textId="6665CB00" w:rsidR="007B62A7" w:rsidRPr="007B62A7" w:rsidRDefault="007B62A7" w:rsidP="007B62A7">
            <w:pPr>
              <w:pStyle w:val="TextoPrincipal"/>
              <w:spacing w:line="360" w:lineRule="auto"/>
              <w:ind w:firstLine="0"/>
            </w:pPr>
            <w:r w:rsidRPr="007B62A7">
              <w:t>4. Proponer mecanismos para mejorar los procesos internos</w:t>
            </w:r>
            <w:r w:rsidR="0069412C">
              <w:t xml:space="preserve"> </w:t>
            </w:r>
            <w:r w:rsidRPr="007B62A7">
              <w:t xml:space="preserve">de evaluación de riesgos y gestión de crédito de la institución </w:t>
            </w:r>
            <w:r w:rsidR="00E5074B">
              <w:t>“XYZ”</w:t>
            </w:r>
            <w:r w:rsidRPr="007B62A7">
              <w:t xml:space="preserve"> con el fin de prevenir la morosidad en el futuro.</w:t>
            </w:r>
          </w:p>
        </w:tc>
        <w:tc>
          <w:tcPr>
            <w:tcW w:w="2040" w:type="dxa"/>
            <w:noWrap/>
            <w:hideMark/>
          </w:tcPr>
          <w:p w14:paraId="4B10B653" w14:textId="77777777" w:rsidR="007B62A7" w:rsidRPr="007B62A7" w:rsidRDefault="007B62A7" w:rsidP="007B62A7">
            <w:pPr>
              <w:pStyle w:val="TextoPrincipal"/>
              <w:spacing w:line="360" w:lineRule="auto"/>
            </w:pPr>
            <w:r w:rsidRPr="007B62A7">
              <w:t> </w:t>
            </w:r>
          </w:p>
        </w:tc>
      </w:tr>
    </w:tbl>
    <w:p w14:paraId="5D282EF1" w14:textId="52185EBA" w:rsidR="007B62A7" w:rsidRDefault="00E048C2" w:rsidP="00FF1894">
      <w:pPr>
        <w:pStyle w:val="TextoPrincipal"/>
        <w:spacing w:line="360" w:lineRule="auto"/>
      </w:pPr>
      <w:r>
        <w:t>Fuente: Elaboración propia.</w:t>
      </w:r>
    </w:p>
    <w:p w14:paraId="7459EB35" w14:textId="77777777" w:rsidR="000017C3" w:rsidRDefault="000017C3" w:rsidP="000017C3">
      <w:pPr>
        <w:pStyle w:val="TextoPrincipal"/>
        <w:spacing w:line="360" w:lineRule="auto"/>
      </w:pPr>
    </w:p>
    <w:p w14:paraId="0AED0893" w14:textId="77777777" w:rsidR="007B62A7" w:rsidRDefault="007B62A7" w:rsidP="00EA3779">
      <w:pPr>
        <w:pStyle w:val="Ttulo3"/>
        <w:spacing w:before="0" w:line="360" w:lineRule="auto"/>
        <w:ind w:left="0" w:firstLine="720"/>
        <w:sectPr w:rsidR="007B62A7" w:rsidSect="00342E08">
          <w:pgSz w:w="15840" w:h="12240" w:orient="landscape" w:code="1"/>
          <w:pgMar w:top="1440" w:right="1440" w:bottom="1440" w:left="1440" w:header="709" w:footer="709" w:gutter="0"/>
          <w:cols w:space="708"/>
          <w:docGrid w:linePitch="360"/>
        </w:sectPr>
      </w:pPr>
    </w:p>
    <w:p w14:paraId="00A0B0F1" w14:textId="72D3161A" w:rsidR="00F560FD" w:rsidRPr="00171F3D" w:rsidRDefault="00171F3D" w:rsidP="00B260A8">
      <w:pPr>
        <w:pStyle w:val="Ttulo3"/>
        <w:spacing w:before="0" w:line="360" w:lineRule="auto"/>
        <w:ind w:left="0" w:firstLine="720"/>
      </w:pPr>
      <w:bookmarkStart w:id="187" w:name="_Toc166705800"/>
      <w:bookmarkStart w:id="188" w:name="_Toc175171402"/>
      <w:r>
        <w:lastRenderedPageBreak/>
        <w:t xml:space="preserve">3.1.2. </w:t>
      </w:r>
      <w:r w:rsidR="00A871DB" w:rsidRPr="00171F3D">
        <w:t>ESQUEMA DE VARIABLES DE ESTUDIO</w:t>
      </w:r>
      <w:bookmarkEnd w:id="187"/>
      <w:bookmarkEnd w:id="188"/>
    </w:p>
    <w:p w14:paraId="7161C0D1" w14:textId="3CFED15A" w:rsidR="000E0BE4" w:rsidRDefault="000E0BE4" w:rsidP="00EA3779">
      <w:pPr>
        <w:pStyle w:val="TextoPrincipal"/>
        <w:spacing w:line="360" w:lineRule="auto"/>
      </w:pPr>
      <w:r>
        <w:t>“U</w:t>
      </w:r>
      <w:r w:rsidRPr="00596FC3">
        <w:t>na variable es una propiedad que puede fluctuar y cuya variación es susceptible de medirse u observarse</w:t>
      </w:r>
      <w:r>
        <w:t xml:space="preserve">” </w:t>
      </w:r>
      <w:r>
        <w:fldChar w:fldCharType="begin"/>
      </w:r>
      <w:r w:rsidR="00C52841">
        <w:instrText xml:space="preserve"> ADDIN ZOTERO_ITEM CSL_CITATION {"citationID":"eT0ik6xa","properties":{"formattedCitation":"(Hern\\uc0\\u225{}ndez Sampieri et\\uc0\\u160{}al., 2010, p. 135)","plainCitation":"(Hernández Sampieri et al., 2010, p. 135)","noteIndex":0},"citationItems":[{"id":"mhK3fgOx/YR37cBgA","uris":["http://zotero.org/users/local/rewjbDUP/items/6293PAVZ"],"itemData":{"id":15,"type":"book","edition":"5","event-place":"México D.F.","ISBN":"978-607-15-0291-9","language":"Español","license":"McGRAW-HILL / INTERAMERICANA EDITORES, S.A. DE C.V.","publisher-place":"México D.F.","title":"Metodología de la investigación","author":[{"family":"Hernández Sampieri","given":"Roberto"},{"family":"Fernández","given":"Carlos"},{"family":"Baptista","given":"María"}],"issued":{"date-parts":[["2010"]],"season":"2006, 2003, 1998, 1991"}},"locator":"135","label":"page"}],"schema":"https://github.com/citation-style-language/schema/raw/master/csl-citation.json"} </w:instrText>
      </w:r>
      <w:r>
        <w:fldChar w:fldCharType="separate"/>
      </w:r>
      <w:r w:rsidRPr="005C7529">
        <w:t>(Hernández Sampieri et al., 2010, p. 135)</w:t>
      </w:r>
      <w:r>
        <w:fldChar w:fldCharType="end"/>
      </w:r>
      <w:r>
        <w:t>.</w:t>
      </w:r>
    </w:p>
    <w:p w14:paraId="11A1DB95" w14:textId="69F29A00" w:rsidR="000E0BE4" w:rsidRPr="00931AD9" w:rsidRDefault="000E0BE4" w:rsidP="000E0BE4">
      <w:pPr>
        <w:ind w:left="708"/>
        <w:jc w:val="both"/>
        <w:rPr>
          <w:rFonts w:ascii="Times New Roman" w:hAnsi="Times New Roman" w:cs="Times New Roman"/>
        </w:rPr>
      </w:pPr>
      <w:r w:rsidRPr="00931AD9">
        <w:rPr>
          <w:rFonts w:ascii="Times New Roman" w:hAnsi="Times New Roman" w:cs="Times New Roman"/>
        </w:rPr>
        <w:t xml:space="preserve">Las variables son conceptos adoptados por el hombre de forma consciente para un </w:t>
      </w:r>
      <w:r>
        <w:rPr>
          <w:rFonts w:ascii="Times New Roman" w:hAnsi="Times New Roman" w:cs="Times New Roman"/>
        </w:rPr>
        <w:tab/>
      </w:r>
      <w:r w:rsidRPr="00931AD9">
        <w:rPr>
          <w:rFonts w:ascii="Times New Roman" w:hAnsi="Times New Roman" w:cs="Times New Roman"/>
        </w:rPr>
        <w:t xml:space="preserve">propósito determinado, cada ciencia posee su propio conjunto de conceptos, que </w:t>
      </w:r>
      <w:r>
        <w:rPr>
          <w:rFonts w:ascii="Times New Roman" w:hAnsi="Times New Roman" w:cs="Times New Roman"/>
        </w:rPr>
        <w:tab/>
      </w:r>
      <w:r w:rsidRPr="00931AD9">
        <w:rPr>
          <w:rFonts w:ascii="Times New Roman" w:hAnsi="Times New Roman" w:cs="Times New Roman"/>
        </w:rPr>
        <w:t xml:space="preserve">permiten la comunicación entre investigadores pertenecientes a una misma </w:t>
      </w:r>
      <w:r>
        <w:rPr>
          <w:rFonts w:ascii="Times New Roman" w:hAnsi="Times New Roman" w:cs="Times New Roman"/>
        </w:rPr>
        <w:tab/>
      </w:r>
      <w:r w:rsidRPr="00931AD9">
        <w:rPr>
          <w:rFonts w:ascii="Times New Roman" w:hAnsi="Times New Roman" w:cs="Times New Roman"/>
        </w:rPr>
        <w:t xml:space="preserve">comunidad científica y se definen y especifican para que puedan ser observados y </w:t>
      </w:r>
      <w:r>
        <w:rPr>
          <w:rFonts w:ascii="Times New Roman" w:hAnsi="Times New Roman" w:cs="Times New Roman"/>
        </w:rPr>
        <w:tab/>
      </w:r>
      <w:r w:rsidRPr="00931AD9">
        <w:rPr>
          <w:rFonts w:ascii="Times New Roman" w:hAnsi="Times New Roman" w:cs="Times New Roman"/>
        </w:rPr>
        <w:t>medidos.</w:t>
      </w:r>
      <w:r>
        <w:rPr>
          <w:rFonts w:ascii="Times New Roman" w:hAnsi="Times New Roman" w:cs="Times New Roman"/>
        </w:rPr>
        <w:t xml:space="preserve"> </w:t>
      </w:r>
      <w:r>
        <w:rPr>
          <w:rFonts w:ascii="Times New Roman" w:hAnsi="Times New Roman" w:cs="Times New Roman"/>
        </w:rPr>
        <w:fldChar w:fldCharType="begin"/>
      </w:r>
      <w:r w:rsidR="00C52841">
        <w:rPr>
          <w:rFonts w:ascii="Times New Roman" w:hAnsi="Times New Roman" w:cs="Times New Roman"/>
        </w:rPr>
        <w:instrText xml:space="preserve"> ADDIN ZOTERO_ITEM CSL_CITATION {"citationID":"rtfWwfpK","properties":{"formattedCitation":"(Hern\\uc0\\u225{}ndez, 2011)","plainCitation":"(Hernández, 2011)","noteIndex":0},"citationItems":[{"id":"mhK3fgOx/SdTkMuiT","uris":["http://zotero.org/users/local/rewjbDUP/items/766G3JPK"],"itemData":{"id":16,"type":"book","event-place":"La Habana, CP 10400, Cuba","ISBN":"978-959-16-1307-3","language":"Español","number-of-pages":"110","publisher":"Editorial Universitaria","publisher-place":"La Habana, CP 10400, Cuba","title":"El proceso de investigación científica","author":[{"family":"Hernández","given":"Rolando"}],"issued":{"date-parts":[["2011"]]}}}],"schema":"https://github.com/citation-style-language/schema/raw/master/csl-citation.json"} </w:instrText>
      </w:r>
      <w:r>
        <w:rPr>
          <w:rFonts w:ascii="Times New Roman" w:hAnsi="Times New Roman" w:cs="Times New Roman"/>
        </w:rPr>
        <w:fldChar w:fldCharType="separate"/>
      </w:r>
      <w:r w:rsidRPr="00107E82">
        <w:rPr>
          <w:rFonts w:ascii="Times New Roman" w:hAnsi="Times New Roman" w:cs="Times New Roman"/>
        </w:rPr>
        <w:t>(Hernández, 2011)</w:t>
      </w:r>
      <w:r>
        <w:rPr>
          <w:rFonts w:ascii="Times New Roman" w:hAnsi="Times New Roman" w:cs="Times New Roman"/>
        </w:rPr>
        <w:fldChar w:fldCharType="end"/>
      </w:r>
    </w:p>
    <w:p w14:paraId="3DD07CFA" w14:textId="77777777" w:rsidR="000E0BE4" w:rsidRDefault="000E0BE4" w:rsidP="000E0BE4">
      <w:pPr>
        <w:spacing w:line="360" w:lineRule="auto"/>
        <w:jc w:val="both"/>
        <w:rPr>
          <w:rFonts w:ascii="Times New Roman" w:hAnsi="Times New Roman" w:cs="Times New Roman"/>
        </w:rPr>
      </w:pPr>
    </w:p>
    <w:p w14:paraId="53DC30AB" w14:textId="735FD08C" w:rsidR="000E0BE4" w:rsidRPr="000E0BE4" w:rsidRDefault="000E0BE4" w:rsidP="000E0BE4">
      <w:pPr>
        <w:spacing w:line="360" w:lineRule="auto"/>
        <w:ind w:firstLine="708"/>
        <w:jc w:val="both"/>
        <w:rPr>
          <w:rFonts w:ascii="Times New Roman" w:hAnsi="Times New Roman" w:cs="Times New Roman"/>
          <w:sz w:val="24"/>
          <w:szCs w:val="24"/>
        </w:rPr>
      </w:pPr>
      <w:r w:rsidRPr="000E0BE4">
        <w:rPr>
          <w:rFonts w:ascii="Times New Roman" w:hAnsi="Times New Roman" w:cs="Times New Roman"/>
          <w:sz w:val="24"/>
          <w:szCs w:val="24"/>
        </w:rPr>
        <w:t>A continuación, se detallan las variables que serán objeto de estudio para esta investigación:</w:t>
      </w:r>
    </w:p>
    <w:p w14:paraId="4143FD11" w14:textId="77777777" w:rsidR="000E0BE4" w:rsidRDefault="000E0BE4" w:rsidP="000E0BE4">
      <w:pPr>
        <w:spacing w:line="360" w:lineRule="auto"/>
        <w:jc w:val="both"/>
        <w:rPr>
          <w:rFonts w:ascii="Times New Roman" w:hAnsi="Times New Roman" w:cs="Times New Roman"/>
          <w:b/>
          <w:bCs/>
        </w:rPr>
      </w:pPr>
    </w:p>
    <w:p w14:paraId="6850530F" w14:textId="695AC58C" w:rsidR="000E0BE4" w:rsidRDefault="00810F8F" w:rsidP="000E0BE4">
      <w:pPr>
        <w:spacing w:line="360" w:lineRule="auto"/>
        <w:jc w:val="center"/>
        <w:rPr>
          <w:rFonts w:ascii="Times New Roman" w:hAnsi="Times New Roman" w:cs="Times New Roman"/>
          <w:b/>
          <w:bCs/>
        </w:rPr>
      </w:pPr>
      <w:r>
        <w:rPr>
          <w:noProof/>
        </w:rPr>
        <w:drawing>
          <wp:inline distT="0" distB="0" distL="0" distR="0" wp14:anchorId="2C2E12C9" wp14:editId="6090A0CA">
            <wp:extent cx="3921076" cy="2619375"/>
            <wp:effectExtent l="0" t="0" r="3810" b="0"/>
            <wp:docPr id="1862184041"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18" cstate="print">
                      <a:extLst>
                        <a:ext uri="{28A0092B-C50C-407E-A947-70E740481C1C}">
                          <a14:useLocalDpi xmlns:a14="http://schemas.microsoft.com/office/drawing/2010/main" val="0"/>
                        </a:ext>
                      </a:extLst>
                    </a:blip>
                    <a:srcRect l="8332" t="14744" r="12981" b="15171"/>
                    <a:stretch/>
                  </pic:blipFill>
                  <pic:spPr bwMode="auto">
                    <a:xfrm>
                      <a:off x="0" y="0"/>
                      <a:ext cx="3952792" cy="2640562"/>
                    </a:xfrm>
                    <a:prstGeom prst="rect">
                      <a:avLst/>
                    </a:prstGeom>
                    <a:noFill/>
                    <a:ln>
                      <a:noFill/>
                    </a:ln>
                    <a:extLst>
                      <a:ext uri="{53640926-AAD7-44D8-BBD7-CCE9431645EC}">
                        <a14:shadowObscured xmlns:a14="http://schemas.microsoft.com/office/drawing/2010/main"/>
                      </a:ext>
                    </a:extLst>
                  </pic:spPr>
                </pic:pic>
              </a:graphicData>
            </a:graphic>
          </wp:inline>
        </w:drawing>
      </w:r>
    </w:p>
    <w:p w14:paraId="67AEB8E0" w14:textId="77777777" w:rsidR="00FF1894" w:rsidRDefault="007D7A73" w:rsidP="00FF1894">
      <w:pPr>
        <w:spacing w:line="360" w:lineRule="auto"/>
        <w:ind w:firstLine="720"/>
        <w:rPr>
          <w:rFonts w:ascii="Times New Roman" w:hAnsi="Times New Roman" w:cs="Times New Roman"/>
          <w:sz w:val="24"/>
          <w:szCs w:val="24"/>
        </w:rPr>
      </w:pPr>
      <w:r w:rsidRPr="007D7A73">
        <w:rPr>
          <w:rFonts w:ascii="Times New Roman" w:hAnsi="Times New Roman" w:cs="Times New Roman"/>
          <w:sz w:val="24"/>
          <w:szCs w:val="24"/>
        </w:rPr>
        <w:t xml:space="preserve">Figura 2. Variables de estudio. </w:t>
      </w:r>
    </w:p>
    <w:p w14:paraId="01D3A3B7" w14:textId="0928CECA" w:rsidR="00EA3779" w:rsidRDefault="00FF1894" w:rsidP="00FF1894">
      <w:pPr>
        <w:spacing w:line="360" w:lineRule="auto"/>
        <w:ind w:firstLine="720"/>
        <w:rPr>
          <w:rFonts w:ascii="Times New Roman" w:hAnsi="Times New Roman" w:cs="Times New Roman"/>
          <w:sz w:val="24"/>
          <w:szCs w:val="24"/>
        </w:rPr>
      </w:pPr>
      <w:r>
        <w:rPr>
          <w:rFonts w:ascii="Times New Roman" w:hAnsi="Times New Roman" w:cs="Times New Roman"/>
          <w:sz w:val="24"/>
          <w:szCs w:val="24"/>
        </w:rPr>
        <w:t xml:space="preserve">Fuente: </w:t>
      </w:r>
      <w:r w:rsidR="007D7A73" w:rsidRPr="007D7A73">
        <w:rPr>
          <w:rFonts w:ascii="Times New Roman" w:hAnsi="Times New Roman" w:cs="Times New Roman"/>
          <w:sz w:val="24"/>
          <w:szCs w:val="24"/>
        </w:rPr>
        <w:t>Elaboración propia.</w:t>
      </w:r>
    </w:p>
    <w:p w14:paraId="5C0A72FE" w14:textId="77777777" w:rsidR="00FF1894" w:rsidRPr="00FF1894" w:rsidRDefault="00FF1894" w:rsidP="00FF1894">
      <w:pPr>
        <w:spacing w:line="360" w:lineRule="auto"/>
        <w:ind w:firstLine="720"/>
        <w:rPr>
          <w:rFonts w:ascii="Times New Roman" w:hAnsi="Times New Roman" w:cs="Times New Roman"/>
          <w:sz w:val="24"/>
          <w:szCs w:val="24"/>
        </w:rPr>
      </w:pPr>
    </w:p>
    <w:p w14:paraId="7E8CD441" w14:textId="534F7D6A" w:rsidR="00F560FD" w:rsidRPr="00171F3D" w:rsidRDefault="00EA3779" w:rsidP="00EA3779">
      <w:pPr>
        <w:pStyle w:val="Ttulo3"/>
        <w:spacing w:before="0" w:line="360" w:lineRule="auto"/>
        <w:ind w:left="0" w:firstLine="720"/>
        <w:rPr>
          <w:bCs/>
        </w:rPr>
      </w:pPr>
      <w:bookmarkStart w:id="189" w:name="_Toc166705801"/>
      <w:bookmarkStart w:id="190" w:name="_Toc175171403"/>
      <w:r>
        <w:rPr>
          <w:bCs/>
        </w:rPr>
        <w:t xml:space="preserve">3.1.3. </w:t>
      </w:r>
      <w:r w:rsidR="00A871DB" w:rsidRPr="00171F3D">
        <w:rPr>
          <w:bCs/>
        </w:rPr>
        <w:t>OPERACIONALIZACIÓN DE LAS VARIABLES</w:t>
      </w:r>
      <w:bookmarkEnd w:id="189"/>
      <w:bookmarkEnd w:id="190"/>
    </w:p>
    <w:p w14:paraId="59A06629" w14:textId="7F953186" w:rsidR="00EA3779" w:rsidRDefault="000E0BE4" w:rsidP="00EA3779">
      <w:pPr>
        <w:pStyle w:val="TextoPrincipal"/>
      </w:pPr>
      <w:r>
        <w:t>“</w:t>
      </w:r>
      <w:r w:rsidRPr="00DF4E7F">
        <w:t>La operacionalización de las variables consiste en sustituir unas variables por otras más concretas, describiendo las operaciones que hay que realizar para medirlas, convirtiéndolas en indicadores observables y cuantificables</w:t>
      </w:r>
      <w:r>
        <w:t xml:space="preserve">” </w:t>
      </w:r>
      <w:r>
        <w:fldChar w:fldCharType="begin"/>
      </w:r>
      <w:r w:rsidR="00C52841">
        <w:instrText xml:space="preserve"> ADDIN ZOTERO_ITEM CSL_CITATION {"citationID":"SttdJuRb","properties":{"formattedCitation":"(Hern\\uc0\\u225{}ndez, 2011, p. 47)","plainCitation":"(Hernández, 2011, p. 47)","noteIndex":0},"citationItems":[{"id":"mhK3fgOx/SdTkMuiT","uris":["http://zotero.org/users/local/rewjbDUP/items/766G3JPK"],"itemData":{"id":16,"type":"book","event-place":"La Habana, CP 10400, Cuba","ISBN":"978-959-16-1307-3","language":"Español","number-of-pages":"110","publisher":"Editorial Universitaria","publisher-place":"La Habana, CP 10400, Cuba","title":"El proceso de investigación científica","author":[{"family":"Hernández","given":"Rolando"}],"issued":{"date-parts":[["2011"]]}},"locator":"47","label":"page"}],"schema":"https://github.com/citation-style-language/schema/raw/master/csl-citation.json"} </w:instrText>
      </w:r>
      <w:r>
        <w:fldChar w:fldCharType="separate"/>
      </w:r>
      <w:r w:rsidRPr="001F3123">
        <w:t>(Hernández, 2011, p. 47)</w:t>
      </w:r>
      <w:r>
        <w:fldChar w:fldCharType="end"/>
      </w:r>
      <w:r>
        <w:t>.</w:t>
      </w:r>
    </w:p>
    <w:p w14:paraId="7DE7B3C4" w14:textId="3860BE65" w:rsidR="00010965" w:rsidRDefault="00010965">
      <w:pPr>
        <w:widowControl/>
        <w:spacing w:after="160" w:line="259" w:lineRule="auto"/>
        <w:rPr>
          <w:rFonts w:ascii="Times New Roman" w:hAnsi="Times New Roman" w:cs="Times New Roman"/>
          <w:sz w:val="24"/>
          <w:szCs w:val="24"/>
        </w:rPr>
      </w:pPr>
      <w:r>
        <w:br w:type="page"/>
      </w:r>
    </w:p>
    <w:p w14:paraId="16B8DD22" w14:textId="77777777" w:rsidR="00010965" w:rsidRDefault="00010965">
      <w:pPr>
        <w:widowControl/>
        <w:spacing w:after="160" w:line="259" w:lineRule="auto"/>
        <w:sectPr w:rsidR="00010965" w:rsidSect="00342E08">
          <w:pgSz w:w="12240" w:h="15840" w:code="1"/>
          <w:pgMar w:top="1440" w:right="1440" w:bottom="1440" w:left="1440" w:header="709" w:footer="709" w:gutter="0"/>
          <w:cols w:space="708"/>
          <w:docGrid w:linePitch="360"/>
        </w:sectPr>
      </w:pPr>
    </w:p>
    <w:p w14:paraId="708B3D71" w14:textId="77777777" w:rsidR="00010965" w:rsidRPr="00010965" w:rsidRDefault="00010965" w:rsidP="00E05353">
      <w:pPr>
        <w:widowControl/>
        <w:spacing w:after="160" w:line="360" w:lineRule="auto"/>
        <w:ind w:firstLine="720"/>
        <w:rPr>
          <w:rFonts w:ascii="Times New Roman" w:hAnsi="Times New Roman" w:cs="Times New Roman"/>
          <w:b/>
          <w:bCs/>
        </w:rPr>
      </w:pPr>
      <w:r w:rsidRPr="00010965">
        <w:rPr>
          <w:b/>
          <w:bCs/>
        </w:rPr>
        <w:lastRenderedPageBreak/>
        <w:tab/>
      </w:r>
      <w:r w:rsidRPr="00010965">
        <w:rPr>
          <w:rFonts w:ascii="Times New Roman" w:hAnsi="Times New Roman" w:cs="Times New Roman"/>
          <w:b/>
          <w:bCs/>
          <w:sz w:val="24"/>
          <w:szCs w:val="24"/>
        </w:rPr>
        <w:t>Tabla 2. Operacionalización de las variables</w:t>
      </w:r>
    </w:p>
    <w:tbl>
      <w:tblPr>
        <w:tblW w:w="13950" w:type="dxa"/>
        <w:tblInd w:w="-4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521"/>
        <w:gridCol w:w="1939"/>
        <w:gridCol w:w="1701"/>
        <w:gridCol w:w="1777"/>
        <w:gridCol w:w="1949"/>
        <w:gridCol w:w="1992"/>
        <w:gridCol w:w="1106"/>
        <w:gridCol w:w="996"/>
        <w:gridCol w:w="969"/>
      </w:tblGrid>
      <w:tr w:rsidR="00B91A01" w:rsidRPr="008B234F" w14:paraId="202BE51B" w14:textId="77777777" w:rsidTr="00B91A01">
        <w:trPr>
          <w:trHeight w:val="315"/>
        </w:trPr>
        <w:tc>
          <w:tcPr>
            <w:tcW w:w="1521" w:type="dxa"/>
            <w:vMerge w:val="restart"/>
            <w:shd w:val="clear" w:color="000000" w:fill="BDD7EE"/>
            <w:vAlign w:val="center"/>
            <w:hideMark/>
          </w:tcPr>
          <w:p w14:paraId="72803C22" w14:textId="77777777" w:rsidR="00B91A01" w:rsidRPr="008B234F" w:rsidRDefault="00B91A01" w:rsidP="00CF2EDD">
            <w:pPr>
              <w:jc w:val="center"/>
              <w:rPr>
                <w:rFonts w:ascii="Times New Roman" w:eastAsia="Times New Roman" w:hAnsi="Times New Roman" w:cs="Times New Roman"/>
                <w:b/>
                <w:bCs/>
                <w:color w:val="000000"/>
                <w:lang w:eastAsia="es-HN"/>
              </w:rPr>
            </w:pPr>
            <w:r w:rsidRPr="008B234F">
              <w:rPr>
                <w:rFonts w:ascii="Times New Roman" w:eastAsia="Times New Roman" w:hAnsi="Times New Roman" w:cs="Times New Roman"/>
                <w:b/>
                <w:bCs/>
                <w:color w:val="000000"/>
                <w:lang w:eastAsia="es-HN"/>
              </w:rPr>
              <w:t>Variable</w:t>
            </w:r>
          </w:p>
        </w:tc>
        <w:tc>
          <w:tcPr>
            <w:tcW w:w="1939" w:type="dxa"/>
            <w:vMerge w:val="restart"/>
            <w:shd w:val="clear" w:color="000000" w:fill="BDD7EE"/>
            <w:vAlign w:val="center"/>
            <w:hideMark/>
          </w:tcPr>
          <w:p w14:paraId="3C8FE8DD" w14:textId="77777777" w:rsidR="00B91A01" w:rsidRPr="008B234F" w:rsidRDefault="00B91A01" w:rsidP="00CF2EDD">
            <w:pPr>
              <w:jc w:val="center"/>
              <w:rPr>
                <w:rFonts w:ascii="Times New Roman" w:eastAsia="Times New Roman" w:hAnsi="Times New Roman" w:cs="Times New Roman"/>
                <w:b/>
                <w:bCs/>
                <w:color w:val="000000"/>
                <w:lang w:eastAsia="es-HN"/>
              </w:rPr>
            </w:pPr>
            <w:r w:rsidRPr="008B234F">
              <w:rPr>
                <w:rFonts w:ascii="Times New Roman" w:eastAsia="Times New Roman" w:hAnsi="Times New Roman" w:cs="Times New Roman"/>
                <w:b/>
                <w:bCs/>
                <w:color w:val="000000"/>
                <w:lang w:eastAsia="es-HN"/>
              </w:rPr>
              <w:t>Definición Conceptual</w:t>
            </w:r>
          </w:p>
        </w:tc>
        <w:tc>
          <w:tcPr>
            <w:tcW w:w="1701" w:type="dxa"/>
            <w:vMerge w:val="restart"/>
            <w:shd w:val="clear" w:color="000000" w:fill="BDD7EE"/>
            <w:vAlign w:val="center"/>
            <w:hideMark/>
          </w:tcPr>
          <w:p w14:paraId="77E535EE" w14:textId="77777777" w:rsidR="00B91A01" w:rsidRPr="008B234F" w:rsidRDefault="00B91A01" w:rsidP="00CF2EDD">
            <w:pPr>
              <w:jc w:val="center"/>
              <w:rPr>
                <w:rFonts w:ascii="Times New Roman" w:eastAsia="Times New Roman" w:hAnsi="Times New Roman" w:cs="Times New Roman"/>
                <w:b/>
                <w:bCs/>
                <w:color w:val="000000"/>
                <w:lang w:eastAsia="es-HN"/>
              </w:rPr>
            </w:pPr>
            <w:r w:rsidRPr="008B234F">
              <w:rPr>
                <w:rFonts w:ascii="Times New Roman" w:eastAsia="Times New Roman" w:hAnsi="Times New Roman" w:cs="Times New Roman"/>
                <w:b/>
                <w:bCs/>
                <w:color w:val="000000"/>
                <w:lang w:eastAsia="es-HN"/>
              </w:rPr>
              <w:t>Definición Operacional</w:t>
            </w:r>
          </w:p>
        </w:tc>
        <w:tc>
          <w:tcPr>
            <w:tcW w:w="1777" w:type="dxa"/>
            <w:vMerge w:val="restart"/>
            <w:shd w:val="clear" w:color="000000" w:fill="BDD7EE"/>
            <w:vAlign w:val="center"/>
            <w:hideMark/>
          </w:tcPr>
          <w:p w14:paraId="2F52EEE3" w14:textId="77777777" w:rsidR="00B91A01" w:rsidRPr="008B234F" w:rsidRDefault="00B91A01" w:rsidP="00CF2EDD">
            <w:pPr>
              <w:jc w:val="center"/>
              <w:rPr>
                <w:rFonts w:ascii="Times New Roman" w:eastAsia="Times New Roman" w:hAnsi="Times New Roman" w:cs="Times New Roman"/>
                <w:b/>
                <w:bCs/>
                <w:color w:val="000000"/>
                <w:lang w:eastAsia="es-HN"/>
              </w:rPr>
            </w:pPr>
            <w:r w:rsidRPr="008B234F">
              <w:rPr>
                <w:rFonts w:ascii="Times New Roman" w:eastAsia="Times New Roman" w:hAnsi="Times New Roman" w:cs="Times New Roman"/>
                <w:b/>
                <w:bCs/>
                <w:color w:val="000000"/>
                <w:lang w:eastAsia="es-HN"/>
              </w:rPr>
              <w:t>Dimensión</w:t>
            </w:r>
          </w:p>
        </w:tc>
        <w:tc>
          <w:tcPr>
            <w:tcW w:w="1949" w:type="dxa"/>
            <w:vMerge w:val="restart"/>
            <w:shd w:val="clear" w:color="000000" w:fill="BDD7EE"/>
            <w:vAlign w:val="center"/>
            <w:hideMark/>
          </w:tcPr>
          <w:p w14:paraId="1BA34505" w14:textId="77777777" w:rsidR="00B91A01" w:rsidRPr="008B234F" w:rsidRDefault="00B91A01" w:rsidP="00CF2EDD">
            <w:pPr>
              <w:jc w:val="center"/>
              <w:rPr>
                <w:rFonts w:ascii="Times New Roman" w:eastAsia="Times New Roman" w:hAnsi="Times New Roman" w:cs="Times New Roman"/>
                <w:b/>
                <w:bCs/>
                <w:color w:val="000000"/>
                <w:lang w:eastAsia="es-HN"/>
              </w:rPr>
            </w:pPr>
            <w:r w:rsidRPr="008B234F">
              <w:rPr>
                <w:rFonts w:ascii="Times New Roman" w:eastAsia="Times New Roman" w:hAnsi="Times New Roman" w:cs="Times New Roman"/>
                <w:b/>
                <w:bCs/>
                <w:color w:val="000000"/>
                <w:lang w:eastAsia="es-HN"/>
              </w:rPr>
              <w:t>Indicador</w:t>
            </w:r>
          </w:p>
        </w:tc>
        <w:tc>
          <w:tcPr>
            <w:tcW w:w="1992" w:type="dxa"/>
            <w:shd w:val="clear" w:color="000000" w:fill="BDD7EE"/>
            <w:vAlign w:val="center"/>
            <w:hideMark/>
          </w:tcPr>
          <w:p w14:paraId="619BA063" w14:textId="77777777" w:rsidR="00B91A01" w:rsidRPr="008B234F" w:rsidRDefault="00B91A01" w:rsidP="00CF2EDD">
            <w:pPr>
              <w:jc w:val="center"/>
              <w:rPr>
                <w:rFonts w:ascii="Times New Roman" w:eastAsia="Times New Roman" w:hAnsi="Times New Roman" w:cs="Times New Roman"/>
                <w:b/>
                <w:bCs/>
                <w:color w:val="000000"/>
                <w:lang w:eastAsia="es-HN"/>
              </w:rPr>
            </w:pPr>
            <w:r w:rsidRPr="008B234F">
              <w:rPr>
                <w:rFonts w:ascii="Times New Roman" w:eastAsia="Times New Roman" w:hAnsi="Times New Roman" w:cs="Times New Roman"/>
                <w:b/>
                <w:bCs/>
                <w:color w:val="000000"/>
                <w:lang w:eastAsia="es-HN"/>
              </w:rPr>
              <w:t>Ítem</w:t>
            </w:r>
          </w:p>
        </w:tc>
        <w:tc>
          <w:tcPr>
            <w:tcW w:w="1106" w:type="dxa"/>
            <w:vMerge w:val="restart"/>
            <w:shd w:val="clear" w:color="000000" w:fill="BDD7EE"/>
            <w:vAlign w:val="center"/>
            <w:hideMark/>
          </w:tcPr>
          <w:p w14:paraId="2A64F26C" w14:textId="77777777" w:rsidR="00B91A01" w:rsidRPr="008B234F" w:rsidRDefault="00B91A01" w:rsidP="00CF2EDD">
            <w:pPr>
              <w:jc w:val="center"/>
              <w:rPr>
                <w:rFonts w:ascii="Times New Roman" w:eastAsia="Times New Roman" w:hAnsi="Times New Roman" w:cs="Times New Roman"/>
                <w:b/>
                <w:bCs/>
                <w:color w:val="000000"/>
                <w:lang w:eastAsia="es-HN"/>
              </w:rPr>
            </w:pPr>
            <w:r w:rsidRPr="008B234F">
              <w:rPr>
                <w:rFonts w:ascii="Times New Roman" w:eastAsia="Times New Roman" w:hAnsi="Times New Roman" w:cs="Times New Roman"/>
                <w:b/>
                <w:bCs/>
                <w:color w:val="000000"/>
                <w:lang w:eastAsia="es-HN"/>
              </w:rPr>
              <w:t>Estrategia</w:t>
            </w:r>
          </w:p>
        </w:tc>
        <w:tc>
          <w:tcPr>
            <w:tcW w:w="1965" w:type="dxa"/>
            <w:gridSpan w:val="2"/>
            <w:shd w:val="clear" w:color="000000" w:fill="BDD7EE"/>
            <w:vAlign w:val="center"/>
            <w:hideMark/>
          </w:tcPr>
          <w:p w14:paraId="7DB4E7C1" w14:textId="77777777" w:rsidR="00B91A01" w:rsidRPr="008B234F" w:rsidRDefault="00B91A01" w:rsidP="00CF2EDD">
            <w:pPr>
              <w:jc w:val="center"/>
              <w:rPr>
                <w:rFonts w:ascii="Times New Roman" w:eastAsia="Times New Roman" w:hAnsi="Times New Roman" w:cs="Times New Roman"/>
                <w:b/>
                <w:bCs/>
                <w:color w:val="000000"/>
                <w:lang w:eastAsia="es-HN"/>
              </w:rPr>
            </w:pPr>
            <w:r w:rsidRPr="008B234F">
              <w:rPr>
                <w:rFonts w:ascii="Times New Roman" w:eastAsia="Times New Roman" w:hAnsi="Times New Roman" w:cs="Times New Roman"/>
                <w:b/>
                <w:bCs/>
                <w:color w:val="000000"/>
                <w:lang w:eastAsia="es-HN"/>
              </w:rPr>
              <w:t>Dirigido a</w:t>
            </w:r>
          </w:p>
        </w:tc>
      </w:tr>
      <w:tr w:rsidR="00B91A01" w:rsidRPr="008B234F" w14:paraId="36F103D2" w14:textId="77777777" w:rsidTr="00B91A01">
        <w:trPr>
          <w:trHeight w:val="630"/>
        </w:trPr>
        <w:tc>
          <w:tcPr>
            <w:tcW w:w="1521" w:type="dxa"/>
            <w:vMerge/>
            <w:vAlign w:val="center"/>
            <w:hideMark/>
          </w:tcPr>
          <w:p w14:paraId="4F00F860" w14:textId="77777777" w:rsidR="00B91A01" w:rsidRPr="008B234F" w:rsidRDefault="00B91A01" w:rsidP="00CF2EDD">
            <w:pPr>
              <w:rPr>
                <w:rFonts w:ascii="Times New Roman" w:eastAsia="Times New Roman" w:hAnsi="Times New Roman" w:cs="Times New Roman"/>
                <w:b/>
                <w:bCs/>
                <w:color w:val="000000"/>
                <w:lang w:eastAsia="es-HN"/>
              </w:rPr>
            </w:pPr>
          </w:p>
        </w:tc>
        <w:tc>
          <w:tcPr>
            <w:tcW w:w="1939" w:type="dxa"/>
            <w:vMerge/>
            <w:vAlign w:val="center"/>
            <w:hideMark/>
          </w:tcPr>
          <w:p w14:paraId="73456439" w14:textId="77777777" w:rsidR="00B91A01" w:rsidRPr="008B234F" w:rsidRDefault="00B91A01" w:rsidP="00CF2EDD">
            <w:pPr>
              <w:rPr>
                <w:rFonts w:ascii="Times New Roman" w:eastAsia="Times New Roman" w:hAnsi="Times New Roman" w:cs="Times New Roman"/>
                <w:b/>
                <w:bCs/>
                <w:color w:val="000000"/>
                <w:lang w:eastAsia="es-HN"/>
              </w:rPr>
            </w:pPr>
          </w:p>
        </w:tc>
        <w:tc>
          <w:tcPr>
            <w:tcW w:w="1701" w:type="dxa"/>
            <w:vMerge/>
            <w:vAlign w:val="center"/>
            <w:hideMark/>
          </w:tcPr>
          <w:p w14:paraId="4822C762" w14:textId="77777777" w:rsidR="00B91A01" w:rsidRPr="008B234F" w:rsidRDefault="00B91A01" w:rsidP="00CF2EDD">
            <w:pPr>
              <w:rPr>
                <w:rFonts w:ascii="Times New Roman" w:eastAsia="Times New Roman" w:hAnsi="Times New Roman" w:cs="Times New Roman"/>
                <w:b/>
                <w:bCs/>
                <w:color w:val="000000"/>
                <w:lang w:eastAsia="es-HN"/>
              </w:rPr>
            </w:pPr>
          </w:p>
        </w:tc>
        <w:tc>
          <w:tcPr>
            <w:tcW w:w="1777" w:type="dxa"/>
            <w:vMerge/>
            <w:vAlign w:val="center"/>
            <w:hideMark/>
          </w:tcPr>
          <w:p w14:paraId="7947CAFF" w14:textId="77777777" w:rsidR="00B91A01" w:rsidRPr="008B234F" w:rsidRDefault="00B91A01" w:rsidP="00CF2EDD">
            <w:pPr>
              <w:rPr>
                <w:rFonts w:ascii="Times New Roman" w:eastAsia="Times New Roman" w:hAnsi="Times New Roman" w:cs="Times New Roman"/>
                <w:b/>
                <w:bCs/>
                <w:color w:val="000000"/>
                <w:lang w:eastAsia="es-HN"/>
              </w:rPr>
            </w:pPr>
          </w:p>
        </w:tc>
        <w:tc>
          <w:tcPr>
            <w:tcW w:w="1949" w:type="dxa"/>
            <w:vMerge/>
            <w:vAlign w:val="center"/>
            <w:hideMark/>
          </w:tcPr>
          <w:p w14:paraId="52439504" w14:textId="77777777" w:rsidR="00B91A01" w:rsidRPr="008B234F" w:rsidRDefault="00B91A01" w:rsidP="00CF2EDD">
            <w:pPr>
              <w:rPr>
                <w:rFonts w:ascii="Times New Roman" w:eastAsia="Times New Roman" w:hAnsi="Times New Roman" w:cs="Times New Roman"/>
                <w:b/>
                <w:bCs/>
                <w:color w:val="000000"/>
                <w:lang w:eastAsia="es-HN"/>
              </w:rPr>
            </w:pPr>
          </w:p>
        </w:tc>
        <w:tc>
          <w:tcPr>
            <w:tcW w:w="1992" w:type="dxa"/>
            <w:shd w:val="clear" w:color="000000" w:fill="BDD7EE"/>
            <w:vAlign w:val="center"/>
            <w:hideMark/>
          </w:tcPr>
          <w:p w14:paraId="05B8A860" w14:textId="77777777" w:rsidR="00B91A01" w:rsidRPr="008B234F" w:rsidRDefault="00B91A01" w:rsidP="00CF2EDD">
            <w:pPr>
              <w:jc w:val="center"/>
              <w:rPr>
                <w:rFonts w:ascii="Times New Roman" w:eastAsia="Times New Roman" w:hAnsi="Times New Roman" w:cs="Times New Roman"/>
                <w:b/>
                <w:bCs/>
                <w:color w:val="000000"/>
                <w:lang w:eastAsia="es-HN"/>
              </w:rPr>
            </w:pPr>
            <w:r w:rsidRPr="008B234F">
              <w:rPr>
                <w:rFonts w:ascii="Times New Roman" w:eastAsia="Times New Roman" w:hAnsi="Times New Roman" w:cs="Times New Roman"/>
                <w:b/>
                <w:bCs/>
                <w:color w:val="000000"/>
                <w:lang w:eastAsia="es-HN"/>
              </w:rPr>
              <w:t>Pregunta</w:t>
            </w:r>
          </w:p>
        </w:tc>
        <w:tc>
          <w:tcPr>
            <w:tcW w:w="1106" w:type="dxa"/>
            <w:vMerge/>
            <w:vAlign w:val="center"/>
            <w:hideMark/>
          </w:tcPr>
          <w:p w14:paraId="18203043" w14:textId="77777777" w:rsidR="00B91A01" w:rsidRPr="008B234F" w:rsidRDefault="00B91A01" w:rsidP="00CF2EDD">
            <w:pPr>
              <w:rPr>
                <w:rFonts w:ascii="Times New Roman" w:eastAsia="Times New Roman" w:hAnsi="Times New Roman" w:cs="Times New Roman"/>
                <w:b/>
                <w:bCs/>
                <w:color w:val="000000"/>
                <w:lang w:eastAsia="es-HN"/>
              </w:rPr>
            </w:pPr>
          </w:p>
        </w:tc>
        <w:tc>
          <w:tcPr>
            <w:tcW w:w="996" w:type="dxa"/>
            <w:shd w:val="clear" w:color="000000" w:fill="BDD7EE"/>
            <w:vAlign w:val="center"/>
            <w:hideMark/>
          </w:tcPr>
          <w:p w14:paraId="25E83576" w14:textId="77777777" w:rsidR="00B91A01" w:rsidRPr="008B234F" w:rsidRDefault="00B91A01" w:rsidP="00CF2EDD">
            <w:pPr>
              <w:jc w:val="center"/>
              <w:rPr>
                <w:rFonts w:ascii="Times New Roman" w:eastAsia="Times New Roman" w:hAnsi="Times New Roman" w:cs="Times New Roman"/>
                <w:b/>
                <w:bCs/>
                <w:color w:val="000000"/>
                <w:lang w:eastAsia="es-HN"/>
              </w:rPr>
            </w:pPr>
            <w:r w:rsidRPr="008B234F">
              <w:rPr>
                <w:rFonts w:ascii="Times New Roman" w:eastAsia="Times New Roman" w:hAnsi="Times New Roman" w:cs="Times New Roman"/>
                <w:b/>
                <w:bCs/>
                <w:color w:val="000000"/>
                <w:lang w:eastAsia="es-HN"/>
              </w:rPr>
              <w:t xml:space="preserve">Gerencia </w:t>
            </w:r>
          </w:p>
        </w:tc>
        <w:tc>
          <w:tcPr>
            <w:tcW w:w="969" w:type="dxa"/>
            <w:shd w:val="clear" w:color="000000" w:fill="BDD7EE"/>
            <w:vAlign w:val="center"/>
            <w:hideMark/>
          </w:tcPr>
          <w:p w14:paraId="5857AF68" w14:textId="77777777" w:rsidR="00B91A01" w:rsidRPr="008B234F" w:rsidRDefault="00B91A01" w:rsidP="00CF2EDD">
            <w:pPr>
              <w:jc w:val="center"/>
              <w:rPr>
                <w:rFonts w:ascii="Times New Roman" w:eastAsia="Times New Roman" w:hAnsi="Times New Roman" w:cs="Times New Roman"/>
                <w:b/>
                <w:bCs/>
                <w:color w:val="000000"/>
                <w:lang w:eastAsia="es-HN"/>
              </w:rPr>
            </w:pPr>
            <w:r w:rsidRPr="008B234F">
              <w:rPr>
                <w:rFonts w:ascii="Times New Roman" w:eastAsia="Times New Roman" w:hAnsi="Times New Roman" w:cs="Times New Roman"/>
                <w:b/>
                <w:bCs/>
                <w:color w:val="000000"/>
                <w:lang w:eastAsia="es-HN"/>
              </w:rPr>
              <w:t>Área de Créditos</w:t>
            </w:r>
          </w:p>
        </w:tc>
      </w:tr>
      <w:tr w:rsidR="00B91A01" w:rsidRPr="008B234F" w14:paraId="3DBF2668" w14:textId="77777777" w:rsidTr="00B91A01">
        <w:trPr>
          <w:trHeight w:val="1260"/>
        </w:trPr>
        <w:tc>
          <w:tcPr>
            <w:tcW w:w="1521" w:type="dxa"/>
            <w:vMerge w:val="restart"/>
            <w:shd w:val="clear" w:color="auto" w:fill="auto"/>
            <w:vAlign w:val="center"/>
            <w:hideMark/>
          </w:tcPr>
          <w:p w14:paraId="572C5D5D" w14:textId="77777777" w:rsidR="00B91A01" w:rsidRPr="008B234F" w:rsidRDefault="00B91A01" w:rsidP="00B91A01">
            <w:pPr>
              <w:jc w:val="center"/>
              <w:rPr>
                <w:rFonts w:ascii="Times New Roman" w:eastAsia="Times New Roman" w:hAnsi="Times New Roman" w:cs="Times New Roman"/>
                <w:color w:val="000000"/>
                <w:lang w:eastAsia="es-HN"/>
              </w:rPr>
            </w:pPr>
            <w:r w:rsidRPr="008B234F">
              <w:rPr>
                <w:rFonts w:ascii="Times New Roman" w:eastAsia="Times New Roman" w:hAnsi="Times New Roman" w:cs="Times New Roman"/>
                <w:color w:val="000000"/>
                <w:lang w:eastAsia="es-HN"/>
              </w:rPr>
              <w:t>Gestión de Crédito</w:t>
            </w:r>
          </w:p>
        </w:tc>
        <w:tc>
          <w:tcPr>
            <w:tcW w:w="1939" w:type="dxa"/>
            <w:vMerge w:val="restart"/>
            <w:shd w:val="clear" w:color="auto" w:fill="auto"/>
            <w:vAlign w:val="center"/>
            <w:hideMark/>
          </w:tcPr>
          <w:p w14:paraId="5C069CF7" w14:textId="38BB5163" w:rsidR="00B91A01" w:rsidRPr="00A87910" w:rsidRDefault="00B91A01" w:rsidP="00CF2EDD">
            <w:pPr>
              <w:rPr>
                <w:rFonts w:ascii="Times New Roman" w:eastAsia="Times New Roman" w:hAnsi="Times New Roman" w:cs="Times New Roman"/>
                <w:color w:val="000000"/>
                <w:lang w:eastAsia="es-HN"/>
              </w:rPr>
            </w:pPr>
            <w:r w:rsidRPr="00A87910">
              <w:rPr>
                <w:rFonts w:ascii="Times New Roman" w:eastAsia="Times New Roman" w:hAnsi="Times New Roman" w:cs="Times New Roman"/>
                <w:color w:val="000000"/>
                <w:lang w:eastAsia="es-HN"/>
              </w:rPr>
              <w:t>La gestión de crédito permite que una entidad, ya sea cliente o proveedora del crédito, gestionar el proceso de acceso y cancelación de un préstamo</w:t>
            </w:r>
            <w:r>
              <w:rPr>
                <w:rFonts w:ascii="Times New Roman" w:eastAsia="Times New Roman" w:hAnsi="Times New Roman" w:cs="Times New Roman"/>
                <w:color w:val="000000"/>
                <w:lang w:eastAsia="es-HN"/>
              </w:rPr>
              <w:t xml:space="preserve"> </w:t>
            </w:r>
            <w:r>
              <w:rPr>
                <w:rFonts w:ascii="Times New Roman" w:eastAsia="Times New Roman" w:hAnsi="Times New Roman" w:cs="Times New Roman"/>
                <w:color w:val="000000"/>
                <w:lang w:eastAsia="es-HN"/>
              </w:rPr>
              <w:fldChar w:fldCharType="begin"/>
            </w:r>
            <w:r w:rsidR="00C52841">
              <w:rPr>
                <w:rFonts w:ascii="Times New Roman" w:eastAsia="Times New Roman" w:hAnsi="Times New Roman" w:cs="Times New Roman"/>
                <w:color w:val="000000"/>
                <w:lang w:eastAsia="es-HN"/>
              </w:rPr>
              <w:instrText xml:space="preserve"> ADDIN ZOTERO_ITEM CSL_CITATION {"citationID":"bIGhTR9w","properties":{"formattedCitation":"(Garcia et\\uc0\\u160{}al., 2020)","plainCitation":"(Garcia et al., 2020)","dontUpdate":true,"noteIndex":0},"citationItems":[{"id":"mhK3fgOx/XZM80b4R","uris":["http://zotero.org/users/local/rewjbDUP/items/P8C3Y8SH"],"itemData":{"id":25,"type":"article-magazine","ISSN":"2305-5790","issue":"36","language":"Español","license":"Revista Científica de FAREM","title":"Gestión de Crédito del Programa de crédito impulsado por el Foro Miraflor en el Área de Miraflor  Moropotente del municipio de Estelí","author":[{"family":"Garcia","given":"Wendell"},{"family":"Valenzuela","given":"Bryan"},{"family":"Gámez","given":"Luis"},{"family":"Castillo","given":"Beverly"}],"issued":{"date-parts":[["2020"]]}}}],"schema":"https://github.com/citation-style-language/schema/raw/master/csl-citation.json"} </w:instrText>
            </w:r>
            <w:r>
              <w:rPr>
                <w:rFonts w:ascii="Times New Roman" w:eastAsia="Times New Roman" w:hAnsi="Times New Roman" w:cs="Times New Roman"/>
                <w:color w:val="000000"/>
                <w:lang w:eastAsia="es-HN"/>
              </w:rPr>
              <w:fldChar w:fldCharType="separate"/>
            </w:r>
            <w:r w:rsidRPr="00A87910">
              <w:rPr>
                <w:rFonts w:ascii="Times New Roman" w:hAnsi="Times New Roman" w:cs="Times New Roman"/>
              </w:rPr>
              <w:t>(García et al., 2020)</w:t>
            </w:r>
            <w:r>
              <w:rPr>
                <w:rFonts w:ascii="Times New Roman" w:eastAsia="Times New Roman" w:hAnsi="Times New Roman" w:cs="Times New Roman"/>
                <w:color w:val="000000"/>
                <w:lang w:eastAsia="es-HN"/>
              </w:rPr>
              <w:fldChar w:fldCharType="end"/>
            </w:r>
          </w:p>
          <w:p w14:paraId="04C083F4" w14:textId="77777777" w:rsidR="00B91A01" w:rsidRPr="008B234F" w:rsidRDefault="00B91A01" w:rsidP="00CF2EDD">
            <w:pPr>
              <w:jc w:val="center"/>
              <w:rPr>
                <w:rFonts w:ascii="Times New Roman" w:eastAsia="Times New Roman" w:hAnsi="Times New Roman" w:cs="Times New Roman"/>
                <w:color w:val="000000"/>
                <w:lang w:eastAsia="es-HN"/>
              </w:rPr>
            </w:pPr>
            <w:r w:rsidRPr="008B234F">
              <w:rPr>
                <w:rFonts w:ascii="Times New Roman" w:eastAsia="Times New Roman" w:hAnsi="Times New Roman" w:cs="Times New Roman"/>
                <w:color w:val="000000"/>
                <w:lang w:eastAsia="es-HN"/>
              </w:rPr>
              <w:t> </w:t>
            </w:r>
          </w:p>
        </w:tc>
        <w:tc>
          <w:tcPr>
            <w:tcW w:w="1701" w:type="dxa"/>
            <w:vMerge w:val="restart"/>
            <w:shd w:val="clear" w:color="auto" w:fill="auto"/>
            <w:vAlign w:val="center"/>
            <w:hideMark/>
          </w:tcPr>
          <w:p w14:paraId="6892E168" w14:textId="77777777" w:rsidR="00B91A01" w:rsidRPr="008B234F" w:rsidRDefault="00B91A01" w:rsidP="00CF2EDD">
            <w:pPr>
              <w:rPr>
                <w:rFonts w:ascii="Times New Roman" w:eastAsia="Times New Roman" w:hAnsi="Times New Roman" w:cs="Times New Roman"/>
                <w:color w:val="000000"/>
                <w:lang w:eastAsia="es-HN"/>
              </w:rPr>
            </w:pPr>
            <w:r w:rsidRPr="008B234F">
              <w:rPr>
                <w:rFonts w:ascii="Times New Roman" w:eastAsia="Times New Roman" w:hAnsi="Times New Roman" w:cs="Times New Roman"/>
                <w:color w:val="000000"/>
                <w:lang w:eastAsia="es-HN"/>
              </w:rPr>
              <w:t>La gestión de crédito se refiere al conjunto de prácticas y procesos que una empresa, entidad financiera o individuo emplea para evaluar, otorgar, monitorear y administrar el crédito otorgado a clientes o deudores</w:t>
            </w:r>
          </w:p>
        </w:tc>
        <w:tc>
          <w:tcPr>
            <w:tcW w:w="1777" w:type="dxa"/>
            <w:vMerge w:val="restart"/>
            <w:shd w:val="clear" w:color="auto" w:fill="auto"/>
            <w:vAlign w:val="center"/>
            <w:hideMark/>
          </w:tcPr>
          <w:p w14:paraId="65DE54B4" w14:textId="54C3AE75" w:rsidR="00B91A01" w:rsidRPr="008B234F" w:rsidRDefault="001D0FF7" w:rsidP="00CF2EDD">
            <w:pPr>
              <w:jc w:val="center"/>
              <w:rPr>
                <w:rFonts w:ascii="Times New Roman" w:eastAsia="Times New Roman" w:hAnsi="Times New Roman" w:cs="Times New Roman"/>
                <w:color w:val="000000"/>
                <w:lang w:eastAsia="es-HN"/>
              </w:rPr>
            </w:pPr>
            <w:r>
              <w:rPr>
                <w:rFonts w:ascii="Times New Roman" w:eastAsia="Times New Roman" w:hAnsi="Times New Roman" w:cs="Times New Roman"/>
                <w:color w:val="000000"/>
                <w:lang w:eastAsia="es-HN"/>
              </w:rPr>
              <w:t>Procesos</w:t>
            </w:r>
            <w:r w:rsidR="00B91A01" w:rsidRPr="008B234F">
              <w:rPr>
                <w:rFonts w:ascii="Times New Roman" w:eastAsia="Times New Roman" w:hAnsi="Times New Roman" w:cs="Times New Roman"/>
                <w:color w:val="000000"/>
                <w:lang w:eastAsia="es-HN"/>
              </w:rPr>
              <w:t xml:space="preserve"> de la cartera de créditos</w:t>
            </w:r>
          </w:p>
        </w:tc>
        <w:tc>
          <w:tcPr>
            <w:tcW w:w="1949" w:type="dxa"/>
            <w:vMerge w:val="restart"/>
            <w:shd w:val="clear" w:color="auto" w:fill="auto"/>
            <w:vAlign w:val="center"/>
            <w:hideMark/>
          </w:tcPr>
          <w:p w14:paraId="7C7D15DC" w14:textId="77777777" w:rsidR="007705C4" w:rsidRDefault="007705C4" w:rsidP="00CF2EDD">
            <w:pPr>
              <w:jc w:val="center"/>
              <w:rPr>
                <w:rFonts w:ascii="Times New Roman" w:eastAsia="Times New Roman" w:hAnsi="Times New Roman" w:cs="Times New Roman"/>
                <w:color w:val="000000"/>
                <w:lang w:eastAsia="es-HN"/>
              </w:rPr>
            </w:pPr>
          </w:p>
          <w:p w14:paraId="0E317F0D" w14:textId="77777777" w:rsidR="007705C4" w:rsidRDefault="007705C4" w:rsidP="00CF2EDD">
            <w:pPr>
              <w:jc w:val="center"/>
              <w:rPr>
                <w:rFonts w:ascii="Times New Roman" w:eastAsia="Times New Roman" w:hAnsi="Times New Roman" w:cs="Times New Roman"/>
                <w:color w:val="000000"/>
                <w:lang w:eastAsia="es-HN"/>
              </w:rPr>
            </w:pPr>
          </w:p>
          <w:p w14:paraId="0AECEF40" w14:textId="77777777" w:rsidR="007705C4" w:rsidRDefault="007705C4" w:rsidP="00CF2EDD">
            <w:pPr>
              <w:jc w:val="center"/>
              <w:rPr>
                <w:rFonts w:ascii="Times New Roman" w:eastAsia="Times New Roman" w:hAnsi="Times New Roman" w:cs="Times New Roman"/>
                <w:color w:val="000000"/>
                <w:lang w:eastAsia="es-HN"/>
              </w:rPr>
            </w:pPr>
          </w:p>
          <w:p w14:paraId="10A4722C" w14:textId="77777777" w:rsidR="007705C4" w:rsidRDefault="007705C4" w:rsidP="00CF2EDD">
            <w:pPr>
              <w:jc w:val="center"/>
              <w:rPr>
                <w:rFonts w:ascii="Times New Roman" w:eastAsia="Times New Roman" w:hAnsi="Times New Roman" w:cs="Times New Roman"/>
                <w:color w:val="000000"/>
                <w:lang w:eastAsia="es-HN"/>
              </w:rPr>
            </w:pPr>
          </w:p>
          <w:p w14:paraId="54BE2AB8" w14:textId="77777777" w:rsidR="007705C4" w:rsidRDefault="007705C4" w:rsidP="00CF2EDD">
            <w:pPr>
              <w:jc w:val="center"/>
              <w:rPr>
                <w:rFonts w:ascii="Times New Roman" w:eastAsia="Times New Roman" w:hAnsi="Times New Roman" w:cs="Times New Roman"/>
                <w:color w:val="000000"/>
                <w:lang w:eastAsia="es-HN"/>
              </w:rPr>
            </w:pPr>
          </w:p>
          <w:p w14:paraId="40B8B882" w14:textId="77777777" w:rsidR="007705C4" w:rsidRDefault="007705C4" w:rsidP="00CF2EDD">
            <w:pPr>
              <w:jc w:val="center"/>
              <w:rPr>
                <w:rFonts w:ascii="Times New Roman" w:eastAsia="Times New Roman" w:hAnsi="Times New Roman" w:cs="Times New Roman"/>
                <w:color w:val="000000"/>
                <w:lang w:eastAsia="es-HN"/>
              </w:rPr>
            </w:pPr>
          </w:p>
          <w:p w14:paraId="3C2A0CE4" w14:textId="77777777" w:rsidR="007705C4" w:rsidRDefault="007705C4" w:rsidP="00CF2EDD">
            <w:pPr>
              <w:jc w:val="center"/>
              <w:rPr>
                <w:rFonts w:ascii="Times New Roman" w:eastAsia="Times New Roman" w:hAnsi="Times New Roman" w:cs="Times New Roman"/>
                <w:color w:val="000000"/>
                <w:lang w:eastAsia="es-HN"/>
              </w:rPr>
            </w:pPr>
          </w:p>
          <w:p w14:paraId="3011848C" w14:textId="77777777" w:rsidR="007705C4" w:rsidRDefault="007705C4" w:rsidP="00CF2EDD">
            <w:pPr>
              <w:jc w:val="center"/>
              <w:rPr>
                <w:rFonts w:ascii="Times New Roman" w:eastAsia="Times New Roman" w:hAnsi="Times New Roman" w:cs="Times New Roman"/>
                <w:color w:val="000000"/>
                <w:lang w:eastAsia="es-HN"/>
              </w:rPr>
            </w:pPr>
          </w:p>
          <w:p w14:paraId="219D498B" w14:textId="77777777" w:rsidR="007705C4" w:rsidRDefault="007705C4" w:rsidP="00CF2EDD">
            <w:pPr>
              <w:jc w:val="center"/>
              <w:rPr>
                <w:rFonts w:ascii="Times New Roman" w:eastAsia="Times New Roman" w:hAnsi="Times New Roman" w:cs="Times New Roman"/>
                <w:color w:val="000000"/>
                <w:lang w:eastAsia="es-HN"/>
              </w:rPr>
            </w:pPr>
          </w:p>
          <w:p w14:paraId="6A7A21E1" w14:textId="77777777" w:rsidR="007705C4" w:rsidRDefault="007705C4" w:rsidP="00CF2EDD">
            <w:pPr>
              <w:jc w:val="center"/>
              <w:rPr>
                <w:rFonts w:ascii="Times New Roman" w:eastAsia="Times New Roman" w:hAnsi="Times New Roman" w:cs="Times New Roman"/>
                <w:color w:val="000000"/>
                <w:lang w:eastAsia="es-HN"/>
              </w:rPr>
            </w:pPr>
          </w:p>
          <w:p w14:paraId="486CEE95" w14:textId="77777777" w:rsidR="007705C4" w:rsidRDefault="007705C4" w:rsidP="00CF2EDD">
            <w:pPr>
              <w:jc w:val="center"/>
              <w:rPr>
                <w:rFonts w:ascii="Times New Roman" w:eastAsia="Times New Roman" w:hAnsi="Times New Roman" w:cs="Times New Roman"/>
                <w:color w:val="000000"/>
                <w:lang w:eastAsia="es-HN"/>
              </w:rPr>
            </w:pPr>
          </w:p>
          <w:p w14:paraId="0C963F3E" w14:textId="77777777" w:rsidR="007705C4" w:rsidRDefault="007705C4" w:rsidP="00CF2EDD">
            <w:pPr>
              <w:jc w:val="center"/>
              <w:rPr>
                <w:rFonts w:ascii="Times New Roman" w:eastAsia="Times New Roman" w:hAnsi="Times New Roman" w:cs="Times New Roman"/>
                <w:color w:val="000000"/>
                <w:lang w:eastAsia="es-HN"/>
              </w:rPr>
            </w:pPr>
          </w:p>
          <w:p w14:paraId="03E27E11" w14:textId="77777777" w:rsidR="007705C4" w:rsidRDefault="007705C4" w:rsidP="00CF2EDD">
            <w:pPr>
              <w:jc w:val="center"/>
              <w:rPr>
                <w:rFonts w:ascii="Times New Roman" w:eastAsia="Times New Roman" w:hAnsi="Times New Roman" w:cs="Times New Roman"/>
                <w:color w:val="000000"/>
                <w:lang w:eastAsia="es-HN"/>
              </w:rPr>
            </w:pPr>
          </w:p>
          <w:p w14:paraId="1FDF786B" w14:textId="77777777" w:rsidR="007705C4" w:rsidRDefault="007705C4" w:rsidP="007705C4">
            <w:pPr>
              <w:rPr>
                <w:rFonts w:ascii="Times New Roman" w:eastAsia="Times New Roman" w:hAnsi="Times New Roman" w:cs="Times New Roman"/>
                <w:color w:val="000000"/>
                <w:lang w:eastAsia="es-HN"/>
              </w:rPr>
            </w:pPr>
          </w:p>
          <w:p w14:paraId="1A3F5EAF" w14:textId="7F594CAD" w:rsidR="007705C4" w:rsidRDefault="00B91A01" w:rsidP="00CF2EDD">
            <w:pPr>
              <w:jc w:val="center"/>
              <w:rPr>
                <w:rFonts w:ascii="Times New Roman" w:eastAsia="Times New Roman" w:hAnsi="Times New Roman" w:cs="Times New Roman"/>
                <w:color w:val="000000"/>
                <w:lang w:eastAsia="es-HN"/>
              </w:rPr>
            </w:pPr>
            <w:r w:rsidRPr="008B234F">
              <w:rPr>
                <w:rFonts w:ascii="Times New Roman" w:eastAsia="Times New Roman" w:hAnsi="Times New Roman" w:cs="Times New Roman"/>
                <w:color w:val="000000"/>
                <w:lang w:eastAsia="es-HN"/>
              </w:rPr>
              <w:t>Políticas de Crédito</w:t>
            </w:r>
          </w:p>
          <w:p w14:paraId="538E62D9" w14:textId="77777777" w:rsidR="007705C4" w:rsidRDefault="007705C4" w:rsidP="00CF2EDD">
            <w:pPr>
              <w:jc w:val="center"/>
              <w:rPr>
                <w:rFonts w:ascii="Times New Roman" w:eastAsia="Times New Roman" w:hAnsi="Times New Roman" w:cs="Times New Roman"/>
                <w:color w:val="000000"/>
                <w:lang w:eastAsia="es-HN"/>
              </w:rPr>
            </w:pPr>
          </w:p>
          <w:p w14:paraId="0F1C4041" w14:textId="77777777" w:rsidR="007705C4" w:rsidRDefault="007705C4" w:rsidP="00CF2EDD">
            <w:pPr>
              <w:jc w:val="center"/>
              <w:rPr>
                <w:rFonts w:ascii="Times New Roman" w:eastAsia="Times New Roman" w:hAnsi="Times New Roman" w:cs="Times New Roman"/>
                <w:color w:val="000000"/>
                <w:lang w:eastAsia="es-HN"/>
              </w:rPr>
            </w:pPr>
          </w:p>
          <w:p w14:paraId="3E20FFE6" w14:textId="77777777" w:rsidR="007705C4" w:rsidRDefault="007705C4" w:rsidP="00CF2EDD">
            <w:pPr>
              <w:jc w:val="center"/>
              <w:rPr>
                <w:rFonts w:ascii="Times New Roman" w:eastAsia="Times New Roman" w:hAnsi="Times New Roman" w:cs="Times New Roman"/>
                <w:color w:val="000000"/>
                <w:lang w:eastAsia="es-HN"/>
              </w:rPr>
            </w:pPr>
          </w:p>
          <w:p w14:paraId="6874A1BB" w14:textId="77777777" w:rsidR="007705C4" w:rsidRDefault="007705C4" w:rsidP="00CF2EDD">
            <w:pPr>
              <w:jc w:val="center"/>
              <w:rPr>
                <w:rFonts w:ascii="Times New Roman" w:eastAsia="Times New Roman" w:hAnsi="Times New Roman" w:cs="Times New Roman"/>
                <w:color w:val="000000"/>
                <w:lang w:eastAsia="es-HN"/>
              </w:rPr>
            </w:pPr>
          </w:p>
          <w:p w14:paraId="48A3BD0F" w14:textId="77777777" w:rsidR="007705C4" w:rsidRDefault="007705C4" w:rsidP="00CF2EDD">
            <w:pPr>
              <w:jc w:val="center"/>
              <w:rPr>
                <w:rFonts w:ascii="Times New Roman" w:eastAsia="Times New Roman" w:hAnsi="Times New Roman" w:cs="Times New Roman"/>
                <w:color w:val="000000"/>
                <w:lang w:eastAsia="es-HN"/>
              </w:rPr>
            </w:pPr>
          </w:p>
          <w:p w14:paraId="18E71F23" w14:textId="77777777" w:rsidR="007705C4" w:rsidRDefault="007705C4" w:rsidP="00CF2EDD">
            <w:pPr>
              <w:jc w:val="center"/>
              <w:rPr>
                <w:rFonts w:ascii="Times New Roman" w:eastAsia="Times New Roman" w:hAnsi="Times New Roman" w:cs="Times New Roman"/>
                <w:color w:val="000000"/>
                <w:lang w:eastAsia="es-HN"/>
              </w:rPr>
            </w:pPr>
          </w:p>
          <w:p w14:paraId="6F0F9A3B" w14:textId="77777777" w:rsidR="007705C4" w:rsidRDefault="007705C4" w:rsidP="00CF2EDD">
            <w:pPr>
              <w:jc w:val="center"/>
              <w:rPr>
                <w:rFonts w:ascii="Times New Roman" w:eastAsia="Times New Roman" w:hAnsi="Times New Roman" w:cs="Times New Roman"/>
                <w:color w:val="000000"/>
                <w:lang w:eastAsia="es-HN"/>
              </w:rPr>
            </w:pPr>
          </w:p>
          <w:p w14:paraId="4D7D4922" w14:textId="77777777" w:rsidR="007705C4" w:rsidRDefault="007705C4" w:rsidP="00CF2EDD">
            <w:pPr>
              <w:jc w:val="center"/>
              <w:rPr>
                <w:rFonts w:ascii="Times New Roman" w:eastAsia="Times New Roman" w:hAnsi="Times New Roman" w:cs="Times New Roman"/>
                <w:color w:val="000000"/>
                <w:lang w:eastAsia="es-HN"/>
              </w:rPr>
            </w:pPr>
          </w:p>
          <w:p w14:paraId="6A776590" w14:textId="77777777" w:rsidR="007705C4" w:rsidRDefault="007705C4" w:rsidP="00CF2EDD">
            <w:pPr>
              <w:jc w:val="center"/>
              <w:rPr>
                <w:rFonts w:ascii="Times New Roman" w:eastAsia="Times New Roman" w:hAnsi="Times New Roman" w:cs="Times New Roman"/>
                <w:color w:val="000000"/>
                <w:lang w:eastAsia="es-HN"/>
              </w:rPr>
            </w:pPr>
          </w:p>
          <w:p w14:paraId="2D06B805" w14:textId="77777777" w:rsidR="007705C4" w:rsidRDefault="007705C4" w:rsidP="00CF2EDD">
            <w:pPr>
              <w:jc w:val="center"/>
              <w:rPr>
                <w:rFonts w:ascii="Times New Roman" w:eastAsia="Times New Roman" w:hAnsi="Times New Roman" w:cs="Times New Roman"/>
                <w:color w:val="000000"/>
                <w:lang w:eastAsia="es-HN"/>
              </w:rPr>
            </w:pPr>
          </w:p>
          <w:p w14:paraId="0A27CB83" w14:textId="77777777" w:rsidR="007705C4" w:rsidRDefault="007705C4" w:rsidP="00CF2EDD">
            <w:pPr>
              <w:jc w:val="center"/>
              <w:rPr>
                <w:rFonts w:ascii="Times New Roman" w:eastAsia="Times New Roman" w:hAnsi="Times New Roman" w:cs="Times New Roman"/>
                <w:color w:val="000000"/>
                <w:lang w:eastAsia="es-HN"/>
              </w:rPr>
            </w:pPr>
          </w:p>
          <w:p w14:paraId="12E85213" w14:textId="77777777" w:rsidR="007705C4" w:rsidRDefault="007705C4" w:rsidP="00CF2EDD">
            <w:pPr>
              <w:jc w:val="center"/>
              <w:rPr>
                <w:rFonts w:ascii="Times New Roman" w:eastAsia="Times New Roman" w:hAnsi="Times New Roman" w:cs="Times New Roman"/>
                <w:color w:val="000000"/>
                <w:lang w:eastAsia="es-HN"/>
              </w:rPr>
            </w:pPr>
          </w:p>
          <w:p w14:paraId="48CF20AB" w14:textId="77777777" w:rsidR="007705C4" w:rsidRDefault="007705C4" w:rsidP="00CF2EDD">
            <w:pPr>
              <w:jc w:val="center"/>
              <w:rPr>
                <w:rFonts w:ascii="Times New Roman" w:eastAsia="Times New Roman" w:hAnsi="Times New Roman" w:cs="Times New Roman"/>
                <w:color w:val="000000"/>
                <w:lang w:eastAsia="es-HN"/>
              </w:rPr>
            </w:pPr>
          </w:p>
          <w:p w14:paraId="25E5A712" w14:textId="77777777" w:rsidR="007705C4" w:rsidRDefault="007705C4" w:rsidP="00CF2EDD">
            <w:pPr>
              <w:jc w:val="center"/>
              <w:rPr>
                <w:rFonts w:ascii="Times New Roman" w:eastAsia="Times New Roman" w:hAnsi="Times New Roman" w:cs="Times New Roman"/>
                <w:color w:val="000000"/>
                <w:lang w:eastAsia="es-HN"/>
              </w:rPr>
            </w:pPr>
          </w:p>
          <w:p w14:paraId="24B71AD4" w14:textId="77777777" w:rsidR="007705C4" w:rsidRDefault="007705C4" w:rsidP="00CF2EDD">
            <w:pPr>
              <w:jc w:val="center"/>
              <w:rPr>
                <w:rFonts w:ascii="Times New Roman" w:eastAsia="Times New Roman" w:hAnsi="Times New Roman" w:cs="Times New Roman"/>
                <w:color w:val="000000"/>
                <w:lang w:eastAsia="es-HN"/>
              </w:rPr>
            </w:pPr>
          </w:p>
          <w:p w14:paraId="7C7430C9" w14:textId="77777777" w:rsidR="007705C4" w:rsidRDefault="007705C4" w:rsidP="00CF2EDD">
            <w:pPr>
              <w:jc w:val="center"/>
              <w:rPr>
                <w:rFonts w:ascii="Times New Roman" w:eastAsia="Times New Roman" w:hAnsi="Times New Roman" w:cs="Times New Roman"/>
                <w:color w:val="000000"/>
                <w:lang w:eastAsia="es-HN"/>
              </w:rPr>
            </w:pPr>
          </w:p>
          <w:p w14:paraId="2FB58770" w14:textId="77777777" w:rsidR="007705C4" w:rsidRDefault="007705C4" w:rsidP="00CF2EDD">
            <w:pPr>
              <w:jc w:val="center"/>
              <w:rPr>
                <w:rFonts w:ascii="Times New Roman" w:eastAsia="Times New Roman" w:hAnsi="Times New Roman" w:cs="Times New Roman"/>
                <w:color w:val="000000"/>
                <w:lang w:eastAsia="es-HN"/>
              </w:rPr>
            </w:pPr>
          </w:p>
          <w:p w14:paraId="0B51662E" w14:textId="77777777" w:rsidR="007705C4" w:rsidRDefault="007705C4" w:rsidP="00CF2EDD">
            <w:pPr>
              <w:jc w:val="center"/>
              <w:rPr>
                <w:rFonts w:ascii="Times New Roman" w:eastAsia="Times New Roman" w:hAnsi="Times New Roman" w:cs="Times New Roman"/>
                <w:color w:val="000000"/>
                <w:lang w:eastAsia="es-HN"/>
              </w:rPr>
            </w:pPr>
          </w:p>
          <w:p w14:paraId="6EB17457" w14:textId="77777777" w:rsidR="007705C4" w:rsidRDefault="007705C4" w:rsidP="00CF2EDD">
            <w:pPr>
              <w:jc w:val="center"/>
              <w:rPr>
                <w:rFonts w:ascii="Times New Roman" w:eastAsia="Times New Roman" w:hAnsi="Times New Roman" w:cs="Times New Roman"/>
                <w:color w:val="000000"/>
                <w:lang w:eastAsia="es-HN"/>
              </w:rPr>
            </w:pPr>
          </w:p>
          <w:p w14:paraId="470F2578" w14:textId="77777777" w:rsidR="007705C4" w:rsidRDefault="007705C4" w:rsidP="00CF2EDD">
            <w:pPr>
              <w:jc w:val="center"/>
              <w:rPr>
                <w:rFonts w:ascii="Times New Roman" w:eastAsia="Times New Roman" w:hAnsi="Times New Roman" w:cs="Times New Roman"/>
                <w:color w:val="000000"/>
                <w:lang w:eastAsia="es-HN"/>
              </w:rPr>
            </w:pPr>
          </w:p>
          <w:p w14:paraId="1CB986C9" w14:textId="77777777" w:rsidR="007705C4" w:rsidRDefault="007705C4" w:rsidP="00CF2EDD">
            <w:pPr>
              <w:jc w:val="center"/>
              <w:rPr>
                <w:rFonts w:ascii="Times New Roman" w:eastAsia="Times New Roman" w:hAnsi="Times New Roman" w:cs="Times New Roman"/>
                <w:color w:val="000000"/>
                <w:lang w:eastAsia="es-HN"/>
              </w:rPr>
            </w:pPr>
          </w:p>
          <w:p w14:paraId="543BBC44" w14:textId="77777777" w:rsidR="007705C4" w:rsidRDefault="007705C4" w:rsidP="00CF2EDD">
            <w:pPr>
              <w:jc w:val="center"/>
              <w:rPr>
                <w:rFonts w:ascii="Times New Roman" w:eastAsia="Times New Roman" w:hAnsi="Times New Roman" w:cs="Times New Roman"/>
                <w:color w:val="000000"/>
                <w:lang w:eastAsia="es-HN"/>
              </w:rPr>
            </w:pPr>
          </w:p>
          <w:p w14:paraId="5EDA023A" w14:textId="77777777" w:rsidR="007705C4" w:rsidRDefault="007705C4" w:rsidP="00CF2EDD">
            <w:pPr>
              <w:jc w:val="center"/>
              <w:rPr>
                <w:rFonts w:ascii="Times New Roman" w:eastAsia="Times New Roman" w:hAnsi="Times New Roman" w:cs="Times New Roman"/>
                <w:color w:val="000000"/>
                <w:lang w:eastAsia="es-HN"/>
              </w:rPr>
            </w:pPr>
          </w:p>
          <w:p w14:paraId="114F375C" w14:textId="77777777" w:rsidR="007705C4" w:rsidRDefault="007705C4" w:rsidP="00CF2EDD">
            <w:pPr>
              <w:jc w:val="center"/>
              <w:rPr>
                <w:rFonts w:ascii="Times New Roman" w:eastAsia="Times New Roman" w:hAnsi="Times New Roman" w:cs="Times New Roman"/>
                <w:color w:val="000000"/>
                <w:lang w:eastAsia="es-HN"/>
              </w:rPr>
            </w:pPr>
          </w:p>
          <w:p w14:paraId="7F7EF327" w14:textId="77777777" w:rsidR="007705C4" w:rsidRDefault="007705C4" w:rsidP="00CF2EDD">
            <w:pPr>
              <w:jc w:val="center"/>
              <w:rPr>
                <w:rFonts w:ascii="Times New Roman" w:eastAsia="Times New Roman" w:hAnsi="Times New Roman" w:cs="Times New Roman"/>
                <w:color w:val="000000"/>
                <w:lang w:eastAsia="es-HN"/>
              </w:rPr>
            </w:pPr>
          </w:p>
          <w:p w14:paraId="5CFD9DEE" w14:textId="77777777" w:rsidR="007705C4" w:rsidRDefault="007705C4" w:rsidP="00CF2EDD">
            <w:pPr>
              <w:jc w:val="center"/>
              <w:rPr>
                <w:rFonts w:ascii="Times New Roman" w:eastAsia="Times New Roman" w:hAnsi="Times New Roman" w:cs="Times New Roman"/>
                <w:color w:val="000000"/>
                <w:lang w:eastAsia="es-HN"/>
              </w:rPr>
            </w:pPr>
          </w:p>
          <w:p w14:paraId="165BC67A" w14:textId="77777777" w:rsidR="007705C4" w:rsidRDefault="007705C4" w:rsidP="00CF2EDD">
            <w:pPr>
              <w:jc w:val="center"/>
              <w:rPr>
                <w:rFonts w:ascii="Times New Roman" w:eastAsia="Times New Roman" w:hAnsi="Times New Roman" w:cs="Times New Roman"/>
                <w:color w:val="000000"/>
                <w:lang w:eastAsia="es-HN"/>
              </w:rPr>
            </w:pPr>
          </w:p>
          <w:p w14:paraId="5198EBDF" w14:textId="77777777" w:rsidR="007705C4" w:rsidRDefault="007705C4" w:rsidP="007705C4">
            <w:pPr>
              <w:rPr>
                <w:rFonts w:ascii="Times New Roman" w:eastAsia="Times New Roman" w:hAnsi="Times New Roman" w:cs="Times New Roman"/>
                <w:color w:val="000000"/>
                <w:lang w:eastAsia="es-HN"/>
              </w:rPr>
            </w:pPr>
          </w:p>
          <w:p w14:paraId="26CE7AE9" w14:textId="77777777" w:rsidR="007705C4" w:rsidRDefault="007705C4" w:rsidP="00CF2EDD">
            <w:pPr>
              <w:jc w:val="center"/>
              <w:rPr>
                <w:rFonts w:ascii="Times New Roman" w:eastAsia="Times New Roman" w:hAnsi="Times New Roman" w:cs="Times New Roman"/>
                <w:color w:val="000000"/>
                <w:lang w:eastAsia="es-HN"/>
              </w:rPr>
            </w:pPr>
          </w:p>
          <w:p w14:paraId="1D647C3F" w14:textId="729DB24F" w:rsidR="00B91A01" w:rsidRPr="008B234F" w:rsidRDefault="00B91A01" w:rsidP="00CF2EDD">
            <w:pPr>
              <w:jc w:val="center"/>
              <w:rPr>
                <w:rFonts w:ascii="Times New Roman" w:eastAsia="Times New Roman" w:hAnsi="Times New Roman" w:cs="Times New Roman"/>
                <w:color w:val="000000"/>
                <w:lang w:eastAsia="es-HN"/>
              </w:rPr>
            </w:pPr>
            <w:r w:rsidRPr="008B234F">
              <w:rPr>
                <w:rFonts w:ascii="Times New Roman" w:eastAsia="Times New Roman" w:hAnsi="Times New Roman" w:cs="Times New Roman"/>
                <w:color w:val="000000"/>
                <w:lang w:eastAsia="es-HN"/>
              </w:rPr>
              <w:t>Políticas de Cobros</w:t>
            </w:r>
          </w:p>
        </w:tc>
        <w:tc>
          <w:tcPr>
            <w:tcW w:w="1992" w:type="dxa"/>
            <w:shd w:val="clear" w:color="auto" w:fill="auto"/>
            <w:vAlign w:val="center"/>
            <w:hideMark/>
          </w:tcPr>
          <w:p w14:paraId="32FF4438" w14:textId="77777777" w:rsidR="00B91A01" w:rsidRPr="008B234F" w:rsidRDefault="00B91A01" w:rsidP="00CF2EDD">
            <w:pPr>
              <w:rPr>
                <w:rFonts w:ascii="Times New Roman" w:eastAsia="Times New Roman" w:hAnsi="Times New Roman" w:cs="Times New Roman"/>
                <w:color w:val="000000"/>
                <w:lang w:eastAsia="es-HN"/>
              </w:rPr>
            </w:pPr>
            <w:r w:rsidRPr="008B234F">
              <w:rPr>
                <w:rFonts w:ascii="Times New Roman" w:eastAsia="Times New Roman" w:hAnsi="Times New Roman" w:cs="Times New Roman"/>
                <w:color w:val="000000"/>
                <w:lang w:eastAsia="es-HN"/>
              </w:rPr>
              <w:lastRenderedPageBreak/>
              <w:t>1. ¿Cuáles son los criterios utilizados para evaluar la capacidad de pago de sus clientes?</w:t>
            </w:r>
          </w:p>
        </w:tc>
        <w:tc>
          <w:tcPr>
            <w:tcW w:w="1106" w:type="dxa"/>
            <w:vMerge w:val="restart"/>
            <w:shd w:val="clear" w:color="auto" w:fill="auto"/>
            <w:vAlign w:val="center"/>
            <w:hideMark/>
          </w:tcPr>
          <w:p w14:paraId="05E8EF31" w14:textId="77777777" w:rsidR="00B91A01" w:rsidRPr="008B234F" w:rsidRDefault="00B91A01" w:rsidP="00CF2EDD">
            <w:pPr>
              <w:jc w:val="center"/>
              <w:rPr>
                <w:rFonts w:ascii="Times New Roman" w:eastAsia="Times New Roman" w:hAnsi="Times New Roman" w:cs="Times New Roman"/>
                <w:color w:val="000000"/>
                <w:lang w:eastAsia="es-HN"/>
              </w:rPr>
            </w:pPr>
            <w:r w:rsidRPr="008B234F">
              <w:rPr>
                <w:rFonts w:ascii="Times New Roman" w:eastAsia="Times New Roman" w:hAnsi="Times New Roman" w:cs="Times New Roman"/>
                <w:color w:val="000000"/>
                <w:lang w:eastAsia="es-HN"/>
              </w:rPr>
              <w:t>N/A</w:t>
            </w:r>
          </w:p>
        </w:tc>
        <w:tc>
          <w:tcPr>
            <w:tcW w:w="996" w:type="dxa"/>
            <w:vMerge w:val="restart"/>
            <w:shd w:val="clear" w:color="auto" w:fill="auto"/>
            <w:vAlign w:val="center"/>
            <w:hideMark/>
          </w:tcPr>
          <w:p w14:paraId="542CCBEB" w14:textId="77777777" w:rsidR="00B91A01" w:rsidRPr="008B234F" w:rsidRDefault="00B91A01" w:rsidP="00CF2EDD">
            <w:pPr>
              <w:jc w:val="center"/>
              <w:rPr>
                <w:rFonts w:ascii="Times New Roman" w:eastAsia="Times New Roman" w:hAnsi="Times New Roman" w:cs="Times New Roman"/>
                <w:color w:val="000000"/>
                <w:lang w:eastAsia="es-HN"/>
              </w:rPr>
            </w:pPr>
            <w:r w:rsidRPr="008B234F">
              <w:rPr>
                <w:rFonts w:ascii="Times New Roman" w:eastAsia="Times New Roman" w:hAnsi="Times New Roman" w:cs="Times New Roman"/>
                <w:color w:val="000000"/>
                <w:lang w:eastAsia="es-HN"/>
              </w:rPr>
              <w:t> X</w:t>
            </w:r>
          </w:p>
        </w:tc>
        <w:tc>
          <w:tcPr>
            <w:tcW w:w="969" w:type="dxa"/>
            <w:vMerge w:val="restart"/>
            <w:shd w:val="clear" w:color="auto" w:fill="auto"/>
            <w:vAlign w:val="center"/>
            <w:hideMark/>
          </w:tcPr>
          <w:p w14:paraId="5597DB26" w14:textId="77777777" w:rsidR="00B91A01" w:rsidRPr="008B234F" w:rsidRDefault="00B91A01" w:rsidP="00CF2EDD">
            <w:pPr>
              <w:jc w:val="center"/>
              <w:rPr>
                <w:rFonts w:ascii="Times New Roman" w:eastAsia="Times New Roman" w:hAnsi="Times New Roman" w:cs="Times New Roman"/>
                <w:color w:val="000000"/>
                <w:lang w:eastAsia="es-HN"/>
              </w:rPr>
            </w:pPr>
            <w:r w:rsidRPr="008B234F">
              <w:rPr>
                <w:rFonts w:ascii="Times New Roman" w:eastAsia="Times New Roman" w:hAnsi="Times New Roman" w:cs="Times New Roman"/>
                <w:color w:val="000000"/>
                <w:lang w:eastAsia="es-HN"/>
              </w:rPr>
              <w:t> </w:t>
            </w:r>
          </w:p>
        </w:tc>
      </w:tr>
      <w:tr w:rsidR="00B91A01" w:rsidRPr="008B234F" w14:paraId="65C56D79" w14:textId="77777777" w:rsidTr="00B91A01">
        <w:trPr>
          <w:trHeight w:val="1575"/>
        </w:trPr>
        <w:tc>
          <w:tcPr>
            <w:tcW w:w="1521" w:type="dxa"/>
            <w:vMerge/>
            <w:vAlign w:val="center"/>
            <w:hideMark/>
          </w:tcPr>
          <w:p w14:paraId="6931494F" w14:textId="77777777" w:rsidR="00B91A01" w:rsidRPr="008B234F" w:rsidRDefault="00B91A01" w:rsidP="00B91A01">
            <w:pPr>
              <w:jc w:val="center"/>
              <w:rPr>
                <w:rFonts w:ascii="Times New Roman" w:eastAsia="Times New Roman" w:hAnsi="Times New Roman" w:cs="Times New Roman"/>
                <w:color w:val="000000"/>
                <w:lang w:eastAsia="es-HN"/>
              </w:rPr>
            </w:pPr>
          </w:p>
        </w:tc>
        <w:tc>
          <w:tcPr>
            <w:tcW w:w="1939" w:type="dxa"/>
            <w:vMerge/>
            <w:vAlign w:val="center"/>
            <w:hideMark/>
          </w:tcPr>
          <w:p w14:paraId="22D63A43" w14:textId="77777777" w:rsidR="00B91A01" w:rsidRPr="008B234F" w:rsidRDefault="00B91A01" w:rsidP="00CF2EDD">
            <w:pPr>
              <w:rPr>
                <w:rFonts w:ascii="Times New Roman" w:eastAsia="Times New Roman" w:hAnsi="Times New Roman" w:cs="Times New Roman"/>
                <w:color w:val="000000"/>
                <w:lang w:eastAsia="es-HN"/>
              </w:rPr>
            </w:pPr>
          </w:p>
        </w:tc>
        <w:tc>
          <w:tcPr>
            <w:tcW w:w="1701" w:type="dxa"/>
            <w:vMerge/>
            <w:vAlign w:val="center"/>
            <w:hideMark/>
          </w:tcPr>
          <w:p w14:paraId="0F85D8A9" w14:textId="77777777" w:rsidR="00B91A01" w:rsidRPr="008B234F" w:rsidRDefault="00B91A01" w:rsidP="00CF2EDD">
            <w:pPr>
              <w:rPr>
                <w:rFonts w:ascii="Times New Roman" w:eastAsia="Times New Roman" w:hAnsi="Times New Roman" w:cs="Times New Roman"/>
                <w:color w:val="000000"/>
                <w:lang w:eastAsia="es-HN"/>
              </w:rPr>
            </w:pPr>
          </w:p>
        </w:tc>
        <w:tc>
          <w:tcPr>
            <w:tcW w:w="1777" w:type="dxa"/>
            <w:vMerge/>
            <w:vAlign w:val="center"/>
            <w:hideMark/>
          </w:tcPr>
          <w:p w14:paraId="1CD58757" w14:textId="77777777" w:rsidR="00B91A01" w:rsidRPr="008B234F" w:rsidRDefault="00B91A01" w:rsidP="00CF2EDD">
            <w:pPr>
              <w:rPr>
                <w:rFonts w:ascii="Times New Roman" w:eastAsia="Times New Roman" w:hAnsi="Times New Roman" w:cs="Times New Roman"/>
                <w:color w:val="000000"/>
                <w:lang w:eastAsia="es-HN"/>
              </w:rPr>
            </w:pPr>
          </w:p>
        </w:tc>
        <w:tc>
          <w:tcPr>
            <w:tcW w:w="1949" w:type="dxa"/>
            <w:vMerge/>
            <w:vAlign w:val="center"/>
            <w:hideMark/>
          </w:tcPr>
          <w:p w14:paraId="46B5D412" w14:textId="77777777" w:rsidR="00B91A01" w:rsidRPr="008B234F" w:rsidRDefault="00B91A01" w:rsidP="00CF2EDD">
            <w:pPr>
              <w:rPr>
                <w:rFonts w:ascii="Times New Roman" w:eastAsia="Times New Roman" w:hAnsi="Times New Roman" w:cs="Times New Roman"/>
                <w:color w:val="000000"/>
                <w:lang w:eastAsia="es-HN"/>
              </w:rPr>
            </w:pPr>
          </w:p>
        </w:tc>
        <w:tc>
          <w:tcPr>
            <w:tcW w:w="1992" w:type="dxa"/>
            <w:shd w:val="clear" w:color="auto" w:fill="auto"/>
            <w:vAlign w:val="center"/>
            <w:hideMark/>
          </w:tcPr>
          <w:p w14:paraId="48958A9C" w14:textId="77777777" w:rsidR="00B91A01" w:rsidRPr="008B234F" w:rsidRDefault="00B91A01" w:rsidP="00CF2EDD">
            <w:pPr>
              <w:rPr>
                <w:rFonts w:ascii="Times New Roman" w:eastAsia="Times New Roman" w:hAnsi="Times New Roman" w:cs="Times New Roman"/>
                <w:color w:val="000000"/>
                <w:lang w:eastAsia="es-HN"/>
              </w:rPr>
            </w:pPr>
            <w:r w:rsidRPr="008B234F">
              <w:rPr>
                <w:rFonts w:ascii="Times New Roman" w:eastAsia="Times New Roman" w:hAnsi="Times New Roman" w:cs="Times New Roman"/>
                <w:color w:val="000000"/>
                <w:lang w:eastAsia="es-HN"/>
              </w:rPr>
              <w:t>2. ¿Qué medidas se toman para verificar que la información proporcionada por los clientes sea la correcta?</w:t>
            </w:r>
          </w:p>
        </w:tc>
        <w:tc>
          <w:tcPr>
            <w:tcW w:w="1106" w:type="dxa"/>
            <w:vMerge/>
            <w:vAlign w:val="center"/>
            <w:hideMark/>
          </w:tcPr>
          <w:p w14:paraId="2BF354DF" w14:textId="77777777" w:rsidR="00B91A01" w:rsidRPr="008B234F" w:rsidRDefault="00B91A01" w:rsidP="00CF2EDD">
            <w:pPr>
              <w:rPr>
                <w:rFonts w:ascii="Times New Roman" w:eastAsia="Times New Roman" w:hAnsi="Times New Roman" w:cs="Times New Roman"/>
                <w:color w:val="000000"/>
                <w:lang w:eastAsia="es-HN"/>
              </w:rPr>
            </w:pPr>
          </w:p>
        </w:tc>
        <w:tc>
          <w:tcPr>
            <w:tcW w:w="996" w:type="dxa"/>
            <w:vMerge/>
            <w:vAlign w:val="center"/>
            <w:hideMark/>
          </w:tcPr>
          <w:p w14:paraId="310BAC74" w14:textId="77777777" w:rsidR="00B91A01" w:rsidRPr="008B234F" w:rsidRDefault="00B91A01" w:rsidP="00CF2EDD">
            <w:pPr>
              <w:rPr>
                <w:rFonts w:ascii="Times New Roman" w:eastAsia="Times New Roman" w:hAnsi="Times New Roman" w:cs="Times New Roman"/>
                <w:color w:val="000000"/>
                <w:lang w:eastAsia="es-HN"/>
              </w:rPr>
            </w:pPr>
          </w:p>
        </w:tc>
        <w:tc>
          <w:tcPr>
            <w:tcW w:w="969" w:type="dxa"/>
            <w:vMerge/>
            <w:vAlign w:val="center"/>
            <w:hideMark/>
          </w:tcPr>
          <w:p w14:paraId="27E3B5E2" w14:textId="77777777" w:rsidR="00B91A01" w:rsidRPr="008B234F" w:rsidRDefault="00B91A01" w:rsidP="00CF2EDD">
            <w:pPr>
              <w:rPr>
                <w:rFonts w:ascii="Times New Roman" w:eastAsia="Times New Roman" w:hAnsi="Times New Roman" w:cs="Times New Roman"/>
                <w:color w:val="000000"/>
                <w:lang w:eastAsia="es-HN"/>
              </w:rPr>
            </w:pPr>
          </w:p>
        </w:tc>
      </w:tr>
      <w:tr w:rsidR="00B91A01" w:rsidRPr="008B234F" w14:paraId="34D676BF" w14:textId="77777777" w:rsidTr="00B91A01">
        <w:trPr>
          <w:trHeight w:val="1260"/>
        </w:trPr>
        <w:tc>
          <w:tcPr>
            <w:tcW w:w="1521" w:type="dxa"/>
            <w:vMerge/>
            <w:vAlign w:val="center"/>
            <w:hideMark/>
          </w:tcPr>
          <w:p w14:paraId="6205BB02" w14:textId="77777777" w:rsidR="00B91A01" w:rsidRPr="008B234F" w:rsidRDefault="00B91A01" w:rsidP="00B91A01">
            <w:pPr>
              <w:jc w:val="center"/>
              <w:rPr>
                <w:rFonts w:ascii="Times New Roman" w:eastAsia="Times New Roman" w:hAnsi="Times New Roman" w:cs="Times New Roman"/>
                <w:color w:val="000000"/>
                <w:lang w:eastAsia="es-HN"/>
              </w:rPr>
            </w:pPr>
          </w:p>
        </w:tc>
        <w:tc>
          <w:tcPr>
            <w:tcW w:w="1939" w:type="dxa"/>
            <w:vMerge/>
            <w:vAlign w:val="center"/>
            <w:hideMark/>
          </w:tcPr>
          <w:p w14:paraId="10E425D4" w14:textId="77777777" w:rsidR="00B91A01" w:rsidRPr="008B234F" w:rsidRDefault="00B91A01" w:rsidP="00CF2EDD">
            <w:pPr>
              <w:rPr>
                <w:rFonts w:ascii="Times New Roman" w:eastAsia="Times New Roman" w:hAnsi="Times New Roman" w:cs="Times New Roman"/>
                <w:color w:val="000000"/>
                <w:lang w:eastAsia="es-HN"/>
              </w:rPr>
            </w:pPr>
          </w:p>
        </w:tc>
        <w:tc>
          <w:tcPr>
            <w:tcW w:w="1701" w:type="dxa"/>
            <w:vMerge/>
            <w:vAlign w:val="center"/>
            <w:hideMark/>
          </w:tcPr>
          <w:p w14:paraId="1B8BF149" w14:textId="77777777" w:rsidR="00B91A01" w:rsidRPr="008B234F" w:rsidRDefault="00B91A01" w:rsidP="00CF2EDD">
            <w:pPr>
              <w:rPr>
                <w:rFonts w:ascii="Times New Roman" w:eastAsia="Times New Roman" w:hAnsi="Times New Roman" w:cs="Times New Roman"/>
                <w:color w:val="000000"/>
                <w:lang w:eastAsia="es-HN"/>
              </w:rPr>
            </w:pPr>
          </w:p>
        </w:tc>
        <w:tc>
          <w:tcPr>
            <w:tcW w:w="1777" w:type="dxa"/>
            <w:vMerge/>
            <w:vAlign w:val="center"/>
            <w:hideMark/>
          </w:tcPr>
          <w:p w14:paraId="62B44AFE" w14:textId="77777777" w:rsidR="00B91A01" w:rsidRPr="008B234F" w:rsidRDefault="00B91A01" w:rsidP="00CF2EDD">
            <w:pPr>
              <w:rPr>
                <w:rFonts w:ascii="Times New Roman" w:eastAsia="Times New Roman" w:hAnsi="Times New Roman" w:cs="Times New Roman"/>
                <w:color w:val="000000"/>
                <w:lang w:eastAsia="es-HN"/>
              </w:rPr>
            </w:pPr>
          </w:p>
        </w:tc>
        <w:tc>
          <w:tcPr>
            <w:tcW w:w="1949" w:type="dxa"/>
            <w:vMerge/>
            <w:vAlign w:val="center"/>
            <w:hideMark/>
          </w:tcPr>
          <w:p w14:paraId="39ADEB6F" w14:textId="77777777" w:rsidR="00B91A01" w:rsidRPr="008B234F" w:rsidRDefault="00B91A01" w:rsidP="00CF2EDD">
            <w:pPr>
              <w:rPr>
                <w:rFonts w:ascii="Times New Roman" w:eastAsia="Times New Roman" w:hAnsi="Times New Roman" w:cs="Times New Roman"/>
                <w:color w:val="000000"/>
                <w:lang w:eastAsia="es-HN"/>
              </w:rPr>
            </w:pPr>
          </w:p>
        </w:tc>
        <w:tc>
          <w:tcPr>
            <w:tcW w:w="1992" w:type="dxa"/>
            <w:shd w:val="clear" w:color="auto" w:fill="auto"/>
            <w:vAlign w:val="center"/>
            <w:hideMark/>
          </w:tcPr>
          <w:p w14:paraId="602DD026" w14:textId="77777777" w:rsidR="00B91A01" w:rsidRPr="008B234F" w:rsidRDefault="00B91A01" w:rsidP="00CF2EDD">
            <w:pPr>
              <w:rPr>
                <w:rFonts w:ascii="Times New Roman" w:eastAsia="Times New Roman" w:hAnsi="Times New Roman" w:cs="Times New Roman"/>
                <w:color w:val="000000"/>
                <w:lang w:eastAsia="es-HN"/>
              </w:rPr>
            </w:pPr>
            <w:r w:rsidRPr="008B234F">
              <w:rPr>
                <w:rFonts w:ascii="Times New Roman" w:eastAsia="Times New Roman" w:hAnsi="Times New Roman" w:cs="Times New Roman"/>
                <w:color w:val="000000"/>
                <w:lang w:eastAsia="es-HN"/>
              </w:rPr>
              <w:t>3. ¿Cómo determinan los montos y plazos de los préstamos otorgados?</w:t>
            </w:r>
          </w:p>
        </w:tc>
        <w:tc>
          <w:tcPr>
            <w:tcW w:w="1106" w:type="dxa"/>
            <w:vMerge/>
            <w:vAlign w:val="center"/>
            <w:hideMark/>
          </w:tcPr>
          <w:p w14:paraId="58971EF0" w14:textId="77777777" w:rsidR="00B91A01" w:rsidRPr="008B234F" w:rsidRDefault="00B91A01" w:rsidP="00CF2EDD">
            <w:pPr>
              <w:rPr>
                <w:rFonts w:ascii="Times New Roman" w:eastAsia="Times New Roman" w:hAnsi="Times New Roman" w:cs="Times New Roman"/>
                <w:color w:val="000000"/>
                <w:lang w:eastAsia="es-HN"/>
              </w:rPr>
            </w:pPr>
          </w:p>
        </w:tc>
        <w:tc>
          <w:tcPr>
            <w:tcW w:w="996" w:type="dxa"/>
            <w:vMerge/>
            <w:vAlign w:val="center"/>
            <w:hideMark/>
          </w:tcPr>
          <w:p w14:paraId="388AD4EC" w14:textId="77777777" w:rsidR="00B91A01" w:rsidRPr="008B234F" w:rsidRDefault="00B91A01" w:rsidP="00CF2EDD">
            <w:pPr>
              <w:rPr>
                <w:rFonts w:ascii="Times New Roman" w:eastAsia="Times New Roman" w:hAnsi="Times New Roman" w:cs="Times New Roman"/>
                <w:color w:val="000000"/>
                <w:lang w:eastAsia="es-HN"/>
              </w:rPr>
            </w:pPr>
          </w:p>
        </w:tc>
        <w:tc>
          <w:tcPr>
            <w:tcW w:w="969" w:type="dxa"/>
            <w:vMerge/>
            <w:vAlign w:val="center"/>
            <w:hideMark/>
          </w:tcPr>
          <w:p w14:paraId="4117459D" w14:textId="77777777" w:rsidR="00B91A01" w:rsidRPr="008B234F" w:rsidRDefault="00B91A01" w:rsidP="00CF2EDD">
            <w:pPr>
              <w:rPr>
                <w:rFonts w:ascii="Times New Roman" w:eastAsia="Times New Roman" w:hAnsi="Times New Roman" w:cs="Times New Roman"/>
                <w:color w:val="000000"/>
                <w:lang w:eastAsia="es-HN"/>
              </w:rPr>
            </w:pPr>
          </w:p>
        </w:tc>
      </w:tr>
      <w:tr w:rsidR="00B91A01" w:rsidRPr="008B234F" w14:paraId="461A4978" w14:textId="77777777" w:rsidTr="00B91A01">
        <w:trPr>
          <w:trHeight w:val="1575"/>
        </w:trPr>
        <w:tc>
          <w:tcPr>
            <w:tcW w:w="1521" w:type="dxa"/>
            <w:vMerge/>
            <w:vAlign w:val="center"/>
            <w:hideMark/>
          </w:tcPr>
          <w:p w14:paraId="229647A5" w14:textId="77777777" w:rsidR="00B91A01" w:rsidRPr="008B234F" w:rsidRDefault="00B91A01" w:rsidP="00B91A01">
            <w:pPr>
              <w:jc w:val="center"/>
              <w:rPr>
                <w:rFonts w:ascii="Times New Roman" w:eastAsia="Times New Roman" w:hAnsi="Times New Roman" w:cs="Times New Roman"/>
                <w:color w:val="000000"/>
                <w:lang w:eastAsia="es-HN"/>
              </w:rPr>
            </w:pPr>
          </w:p>
        </w:tc>
        <w:tc>
          <w:tcPr>
            <w:tcW w:w="1939" w:type="dxa"/>
            <w:vMerge/>
            <w:vAlign w:val="center"/>
            <w:hideMark/>
          </w:tcPr>
          <w:p w14:paraId="7A4738A4" w14:textId="77777777" w:rsidR="00B91A01" w:rsidRPr="008B234F" w:rsidRDefault="00B91A01" w:rsidP="00CF2EDD">
            <w:pPr>
              <w:rPr>
                <w:rFonts w:ascii="Times New Roman" w:eastAsia="Times New Roman" w:hAnsi="Times New Roman" w:cs="Times New Roman"/>
                <w:color w:val="000000"/>
                <w:lang w:eastAsia="es-HN"/>
              </w:rPr>
            </w:pPr>
          </w:p>
        </w:tc>
        <w:tc>
          <w:tcPr>
            <w:tcW w:w="1701" w:type="dxa"/>
            <w:vMerge/>
            <w:vAlign w:val="center"/>
            <w:hideMark/>
          </w:tcPr>
          <w:p w14:paraId="1954D228" w14:textId="77777777" w:rsidR="00B91A01" w:rsidRPr="008B234F" w:rsidRDefault="00B91A01" w:rsidP="00CF2EDD">
            <w:pPr>
              <w:rPr>
                <w:rFonts w:ascii="Times New Roman" w:eastAsia="Times New Roman" w:hAnsi="Times New Roman" w:cs="Times New Roman"/>
                <w:color w:val="000000"/>
                <w:lang w:eastAsia="es-HN"/>
              </w:rPr>
            </w:pPr>
          </w:p>
        </w:tc>
        <w:tc>
          <w:tcPr>
            <w:tcW w:w="1777" w:type="dxa"/>
            <w:vMerge/>
            <w:vAlign w:val="center"/>
            <w:hideMark/>
          </w:tcPr>
          <w:p w14:paraId="660F15A1" w14:textId="77777777" w:rsidR="00B91A01" w:rsidRPr="008B234F" w:rsidRDefault="00B91A01" w:rsidP="00CF2EDD">
            <w:pPr>
              <w:rPr>
                <w:rFonts w:ascii="Times New Roman" w:eastAsia="Times New Roman" w:hAnsi="Times New Roman" w:cs="Times New Roman"/>
                <w:color w:val="000000"/>
                <w:lang w:eastAsia="es-HN"/>
              </w:rPr>
            </w:pPr>
          </w:p>
        </w:tc>
        <w:tc>
          <w:tcPr>
            <w:tcW w:w="1949" w:type="dxa"/>
            <w:vMerge/>
            <w:vAlign w:val="center"/>
            <w:hideMark/>
          </w:tcPr>
          <w:p w14:paraId="6BBDBE2B" w14:textId="77777777" w:rsidR="00B91A01" w:rsidRPr="008B234F" w:rsidRDefault="00B91A01" w:rsidP="00CF2EDD">
            <w:pPr>
              <w:rPr>
                <w:rFonts w:ascii="Times New Roman" w:eastAsia="Times New Roman" w:hAnsi="Times New Roman" w:cs="Times New Roman"/>
                <w:color w:val="000000"/>
                <w:lang w:eastAsia="es-HN"/>
              </w:rPr>
            </w:pPr>
          </w:p>
        </w:tc>
        <w:tc>
          <w:tcPr>
            <w:tcW w:w="1992" w:type="dxa"/>
            <w:shd w:val="clear" w:color="auto" w:fill="auto"/>
            <w:vAlign w:val="center"/>
            <w:hideMark/>
          </w:tcPr>
          <w:p w14:paraId="69355B0C" w14:textId="77777777" w:rsidR="00B91A01" w:rsidRPr="008B234F" w:rsidRDefault="00B91A01" w:rsidP="00CF2EDD">
            <w:pPr>
              <w:rPr>
                <w:rFonts w:ascii="Times New Roman" w:eastAsia="Times New Roman" w:hAnsi="Times New Roman" w:cs="Times New Roman"/>
                <w:color w:val="000000"/>
                <w:lang w:eastAsia="es-HN"/>
              </w:rPr>
            </w:pPr>
            <w:r w:rsidRPr="008B234F">
              <w:rPr>
                <w:rFonts w:ascii="Times New Roman" w:eastAsia="Times New Roman" w:hAnsi="Times New Roman" w:cs="Times New Roman"/>
                <w:color w:val="000000"/>
                <w:lang w:eastAsia="es-HN"/>
              </w:rPr>
              <w:t>4. ¿Qué estrategias utilizan para mitigar los riesgos crediticios, como el incumplimiento de pagos?</w:t>
            </w:r>
          </w:p>
        </w:tc>
        <w:tc>
          <w:tcPr>
            <w:tcW w:w="1106" w:type="dxa"/>
            <w:vMerge/>
            <w:vAlign w:val="center"/>
            <w:hideMark/>
          </w:tcPr>
          <w:p w14:paraId="3EF2DD10" w14:textId="77777777" w:rsidR="00B91A01" w:rsidRPr="008B234F" w:rsidRDefault="00B91A01" w:rsidP="00CF2EDD">
            <w:pPr>
              <w:rPr>
                <w:rFonts w:ascii="Times New Roman" w:eastAsia="Times New Roman" w:hAnsi="Times New Roman" w:cs="Times New Roman"/>
                <w:color w:val="000000"/>
                <w:lang w:eastAsia="es-HN"/>
              </w:rPr>
            </w:pPr>
          </w:p>
        </w:tc>
        <w:tc>
          <w:tcPr>
            <w:tcW w:w="996" w:type="dxa"/>
            <w:vMerge/>
            <w:vAlign w:val="center"/>
            <w:hideMark/>
          </w:tcPr>
          <w:p w14:paraId="06177267" w14:textId="77777777" w:rsidR="00B91A01" w:rsidRPr="008B234F" w:rsidRDefault="00B91A01" w:rsidP="00CF2EDD">
            <w:pPr>
              <w:rPr>
                <w:rFonts w:ascii="Times New Roman" w:eastAsia="Times New Roman" w:hAnsi="Times New Roman" w:cs="Times New Roman"/>
                <w:color w:val="000000"/>
                <w:lang w:eastAsia="es-HN"/>
              </w:rPr>
            </w:pPr>
          </w:p>
        </w:tc>
        <w:tc>
          <w:tcPr>
            <w:tcW w:w="969" w:type="dxa"/>
            <w:vMerge/>
            <w:vAlign w:val="center"/>
            <w:hideMark/>
          </w:tcPr>
          <w:p w14:paraId="4C8C86C0" w14:textId="77777777" w:rsidR="00B91A01" w:rsidRPr="008B234F" w:rsidRDefault="00B91A01" w:rsidP="00CF2EDD">
            <w:pPr>
              <w:rPr>
                <w:rFonts w:ascii="Times New Roman" w:eastAsia="Times New Roman" w:hAnsi="Times New Roman" w:cs="Times New Roman"/>
                <w:color w:val="000000"/>
                <w:lang w:eastAsia="es-HN"/>
              </w:rPr>
            </w:pPr>
          </w:p>
        </w:tc>
      </w:tr>
      <w:tr w:rsidR="00B91A01" w:rsidRPr="008B234F" w14:paraId="4033BDA3" w14:textId="77777777" w:rsidTr="00B91A01">
        <w:trPr>
          <w:trHeight w:val="1575"/>
        </w:trPr>
        <w:tc>
          <w:tcPr>
            <w:tcW w:w="1521" w:type="dxa"/>
            <w:vMerge/>
            <w:vAlign w:val="center"/>
            <w:hideMark/>
          </w:tcPr>
          <w:p w14:paraId="798152A3" w14:textId="77777777" w:rsidR="00B91A01" w:rsidRPr="008B234F" w:rsidRDefault="00B91A01" w:rsidP="00B91A01">
            <w:pPr>
              <w:jc w:val="center"/>
              <w:rPr>
                <w:rFonts w:ascii="Times New Roman" w:eastAsia="Times New Roman" w:hAnsi="Times New Roman" w:cs="Times New Roman"/>
                <w:color w:val="000000"/>
                <w:lang w:eastAsia="es-HN"/>
              </w:rPr>
            </w:pPr>
          </w:p>
        </w:tc>
        <w:tc>
          <w:tcPr>
            <w:tcW w:w="1939" w:type="dxa"/>
            <w:vMerge/>
            <w:vAlign w:val="center"/>
            <w:hideMark/>
          </w:tcPr>
          <w:p w14:paraId="714C3371" w14:textId="77777777" w:rsidR="00B91A01" w:rsidRPr="008B234F" w:rsidRDefault="00B91A01" w:rsidP="00CF2EDD">
            <w:pPr>
              <w:rPr>
                <w:rFonts w:ascii="Times New Roman" w:eastAsia="Times New Roman" w:hAnsi="Times New Roman" w:cs="Times New Roman"/>
                <w:color w:val="000000"/>
                <w:lang w:eastAsia="es-HN"/>
              </w:rPr>
            </w:pPr>
          </w:p>
        </w:tc>
        <w:tc>
          <w:tcPr>
            <w:tcW w:w="1701" w:type="dxa"/>
            <w:vMerge/>
            <w:vAlign w:val="center"/>
            <w:hideMark/>
          </w:tcPr>
          <w:p w14:paraId="135E7C8D" w14:textId="77777777" w:rsidR="00B91A01" w:rsidRPr="008B234F" w:rsidRDefault="00B91A01" w:rsidP="00CF2EDD">
            <w:pPr>
              <w:rPr>
                <w:rFonts w:ascii="Times New Roman" w:eastAsia="Times New Roman" w:hAnsi="Times New Roman" w:cs="Times New Roman"/>
                <w:color w:val="000000"/>
                <w:lang w:eastAsia="es-HN"/>
              </w:rPr>
            </w:pPr>
          </w:p>
        </w:tc>
        <w:tc>
          <w:tcPr>
            <w:tcW w:w="1777" w:type="dxa"/>
            <w:vMerge/>
            <w:vAlign w:val="center"/>
            <w:hideMark/>
          </w:tcPr>
          <w:p w14:paraId="2ADCE280" w14:textId="77777777" w:rsidR="00B91A01" w:rsidRPr="008B234F" w:rsidRDefault="00B91A01" w:rsidP="00CF2EDD">
            <w:pPr>
              <w:rPr>
                <w:rFonts w:ascii="Times New Roman" w:eastAsia="Times New Roman" w:hAnsi="Times New Roman" w:cs="Times New Roman"/>
                <w:color w:val="000000"/>
                <w:lang w:eastAsia="es-HN"/>
              </w:rPr>
            </w:pPr>
          </w:p>
        </w:tc>
        <w:tc>
          <w:tcPr>
            <w:tcW w:w="1949" w:type="dxa"/>
            <w:vMerge/>
            <w:vAlign w:val="center"/>
            <w:hideMark/>
          </w:tcPr>
          <w:p w14:paraId="76EA0198" w14:textId="77777777" w:rsidR="00B91A01" w:rsidRPr="008B234F" w:rsidRDefault="00B91A01" w:rsidP="00CF2EDD">
            <w:pPr>
              <w:rPr>
                <w:rFonts w:ascii="Times New Roman" w:eastAsia="Times New Roman" w:hAnsi="Times New Roman" w:cs="Times New Roman"/>
                <w:color w:val="000000"/>
                <w:lang w:eastAsia="es-HN"/>
              </w:rPr>
            </w:pPr>
          </w:p>
        </w:tc>
        <w:tc>
          <w:tcPr>
            <w:tcW w:w="1992" w:type="dxa"/>
            <w:shd w:val="clear" w:color="auto" w:fill="auto"/>
            <w:vAlign w:val="center"/>
            <w:hideMark/>
          </w:tcPr>
          <w:p w14:paraId="0A4C0DCC" w14:textId="4A265862" w:rsidR="00B91A01" w:rsidRPr="008B234F" w:rsidRDefault="00B91A01" w:rsidP="00CF2EDD">
            <w:pPr>
              <w:rPr>
                <w:rFonts w:ascii="Times New Roman" w:eastAsia="Times New Roman" w:hAnsi="Times New Roman" w:cs="Times New Roman"/>
                <w:color w:val="000000"/>
                <w:lang w:eastAsia="es-HN"/>
              </w:rPr>
            </w:pPr>
            <w:r w:rsidRPr="008B234F">
              <w:rPr>
                <w:rFonts w:ascii="Times New Roman" w:eastAsia="Times New Roman" w:hAnsi="Times New Roman" w:cs="Times New Roman"/>
                <w:color w:val="000000"/>
                <w:lang w:eastAsia="es-HN"/>
              </w:rPr>
              <w:t>5. </w:t>
            </w:r>
            <w:r w:rsidR="00741050" w:rsidRPr="00741050">
              <w:rPr>
                <w:rFonts w:ascii="Times New Roman" w:eastAsia="Times New Roman" w:hAnsi="Times New Roman" w:cs="Times New Roman"/>
                <w:color w:val="000000"/>
                <w:lang w:eastAsia="es-HN"/>
              </w:rPr>
              <w:t>¿Qué estrategias se utilizan para evaluar el riesgo crediticio de los clientes?</w:t>
            </w:r>
          </w:p>
        </w:tc>
        <w:tc>
          <w:tcPr>
            <w:tcW w:w="1106" w:type="dxa"/>
            <w:vMerge/>
            <w:vAlign w:val="center"/>
            <w:hideMark/>
          </w:tcPr>
          <w:p w14:paraId="22B9FC0A" w14:textId="77777777" w:rsidR="00B91A01" w:rsidRPr="008B234F" w:rsidRDefault="00B91A01" w:rsidP="00CF2EDD">
            <w:pPr>
              <w:rPr>
                <w:rFonts w:ascii="Times New Roman" w:eastAsia="Times New Roman" w:hAnsi="Times New Roman" w:cs="Times New Roman"/>
                <w:color w:val="000000"/>
                <w:lang w:eastAsia="es-HN"/>
              </w:rPr>
            </w:pPr>
          </w:p>
        </w:tc>
        <w:tc>
          <w:tcPr>
            <w:tcW w:w="996" w:type="dxa"/>
            <w:vMerge/>
            <w:vAlign w:val="center"/>
            <w:hideMark/>
          </w:tcPr>
          <w:p w14:paraId="5406D68F" w14:textId="77777777" w:rsidR="00B91A01" w:rsidRPr="008B234F" w:rsidRDefault="00B91A01" w:rsidP="00CF2EDD">
            <w:pPr>
              <w:rPr>
                <w:rFonts w:ascii="Times New Roman" w:eastAsia="Times New Roman" w:hAnsi="Times New Roman" w:cs="Times New Roman"/>
                <w:color w:val="000000"/>
                <w:lang w:eastAsia="es-HN"/>
              </w:rPr>
            </w:pPr>
          </w:p>
        </w:tc>
        <w:tc>
          <w:tcPr>
            <w:tcW w:w="969" w:type="dxa"/>
            <w:vMerge/>
            <w:vAlign w:val="center"/>
            <w:hideMark/>
          </w:tcPr>
          <w:p w14:paraId="25621E5E" w14:textId="77777777" w:rsidR="00B91A01" w:rsidRPr="008B234F" w:rsidRDefault="00B91A01" w:rsidP="00CF2EDD">
            <w:pPr>
              <w:rPr>
                <w:rFonts w:ascii="Times New Roman" w:eastAsia="Times New Roman" w:hAnsi="Times New Roman" w:cs="Times New Roman"/>
                <w:color w:val="000000"/>
                <w:lang w:eastAsia="es-HN"/>
              </w:rPr>
            </w:pPr>
          </w:p>
        </w:tc>
      </w:tr>
      <w:tr w:rsidR="00B91A01" w:rsidRPr="008B234F" w14:paraId="11AE0EFB" w14:textId="77777777" w:rsidTr="00B91A01">
        <w:trPr>
          <w:trHeight w:val="1575"/>
        </w:trPr>
        <w:tc>
          <w:tcPr>
            <w:tcW w:w="1521" w:type="dxa"/>
            <w:vMerge/>
            <w:vAlign w:val="center"/>
            <w:hideMark/>
          </w:tcPr>
          <w:p w14:paraId="1BFEE69E" w14:textId="77777777" w:rsidR="00B91A01" w:rsidRPr="008B234F" w:rsidRDefault="00B91A01" w:rsidP="00B91A01">
            <w:pPr>
              <w:jc w:val="center"/>
              <w:rPr>
                <w:rFonts w:ascii="Times New Roman" w:eastAsia="Times New Roman" w:hAnsi="Times New Roman" w:cs="Times New Roman"/>
                <w:color w:val="000000"/>
                <w:lang w:eastAsia="es-HN"/>
              </w:rPr>
            </w:pPr>
          </w:p>
        </w:tc>
        <w:tc>
          <w:tcPr>
            <w:tcW w:w="1939" w:type="dxa"/>
            <w:vMerge/>
            <w:vAlign w:val="center"/>
            <w:hideMark/>
          </w:tcPr>
          <w:p w14:paraId="1CE1EB0E" w14:textId="77777777" w:rsidR="00B91A01" w:rsidRPr="008B234F" w:rsidRDefault="00B91A01" w:rsidP="00CF2EDD">
            <w:pPr>
              <w:rPr>
                <w:rFonts w:ascii="Times New Roman" w:eastAsia="Times New Roman" w:hAnsi="Times New Roman" w:cs="Times New Roman"/>
                <w:color w:val="000000"/>
                <w:lang w:eastAsia="es-HN"/>
              </w:rPr>
            </w:pPr>
          </w:p>
        </w:tc>
        <w:tc>
          <w:tcPr>
            <w:tcW w:w="1701" w:type="dxa"/>
            <w:vMerge/>
            <w:vAlign w:val="center"/>
            <w:hideMark/>
          </w:tcPr>
          <w:p w14:paraId="22033FA5" w14:textId="77777777" w:rsidR="00B91A01" w:rsidRPr="008B234F" w:rsidRDefault="00B91A01" w:rsidP="00CF2EDD">
            <w:pPr>
              <w:rPr>
                <w:rFonts w:ascii="Times New Roman" w:eastAsia="Times New Roman" w:hAnsi="Times New Roman" w:cs="Times New Roman"/>
                <w:color w:val="000000"/>
                <w:lang w:eastAsia="es-HN"/>
              </w:rPr>
            </w:pPr>
          </w:p>
        </w:tc>
        <w:tc>
          <w:tcPr>
            <w:tcW w:w="1777" w:type="dxa"/>
            <w:vMerge/>
            <w:vAlign w:val="center"/>
            <w:hideMark/>
          </w:tcPr>
          <w:p w14:paraId="71AD6253" w14:textId="77777777" w:rsidR="00B91A01" w:rsidRPr="008B234F" w:rsidRDefault="00B91A01" w:rsidP="00CF2EDD">
            <w:pPr>
              <w:rPr>
                <w:rFonts w:ascii="Times New Roman" w:eastAsia="Times New Roman" w:hAnsi="Times New Roman" w:cs="Times New Roman"/>
                <w:color w:val="000000"/>
                <w:lang w:eastAsia="es-HN"/>
              </w:rPr>
            </w:pPr>
          </w:p>
        </w:tc>
        <w:tc>
          <w:tcPr>
            <w:tcW w:w="1949" w:type="dxa"/>
            <w:vMerge/>
            <w:vAlign w:val="center"/>
            <w:hideMark/>
          </w:tcPr>
          <w:p w14:paraId="23A1EBA3" w14:textId="77777777" w:rsidR="00B91A01" w:rsidRPr="008B234F" w:rsidRDefault="00B91A01" w:rsidP="00CF2EDD">
            <w:pPr>
              <w:rPr>
                <w:rFonts w:ascii="Times New Roman" w:eastAsia="Times New Roman" w:hAnsi="Times New Roman" w:cs="Times New Roman"/>
                <w:color w:val="000000"/>
                <w:lang w:eastAsia="es-HN"/>
              </w:rPr>
            </w:pPr>
          </w:p>
        </w:tc>
        <w:tc>
          <w:tcPr>
            <w:tcW w:w="1992" w:type="dxa"/>
            <w:shd w:val="clear" w:color="auto" w:fill="auto"/>
            <w:vAlign w:val="center"/>
            <w:hideMark/>
          </w:tcPr>
          <w:p w14:paraId="15D98BD5" w14:textId="4D2AD608" w:rsidR="00B91A01" w:rsidRPr="008B234F" w:rsidRDefault="00B91A01" w:rsidP="00CF2EDD">
            <w:pPr>
              <w:rPr>
                <w:rFonts w:ascii="Times New Roman" w:eastAsia="Times New Roman" w:hAnsi="Times New Roman" w:cs="Times New Roman"/>
                <w:color w:val="000000"/>
                <w:lang w:eastAsia="es-HN"/>
              </w:rPr>
            </w:pPr>
            <w:r w:rsidRPr="008B234F">
              <w:rPr>
                <w:rFonts w:ascii="Times New Roman" w:eastAsia="Times New Roman" w:hAnsi="Times New Roman" w:cs="Times New Roman"/>
                <w:color w:val="000000"/>
                <w:lang w:eastAsia="es-HN"/>
              </w:rPr>
              <w:t xml:space="preserve">6. ¿Qué herramientas o sistemas se utilizan para monitorear el </w:t>
            </w:r>
            <w:r w:rsidR="007705C4">
              <w:rPr>
                <w:rFonts w:ascii="Times New Roman" w:eastAsia="Times New Roman" w:hAnsi="Times New Roman" w:cs="Times New Roman"/>
                <w:color w:val="000000"/>
                <w:lang w:eastAsia="es-HN"/>
              </w:rPr>
              <w:t>seguimiento de recuperación</w:t>
            </w:r>
            <w:r w:rsidRPr="008B234F">
              <w:rPr>
                <w:rFonts w:ascii="Times New Roman" w:eastAsia="Times New Roman" w:hAnsi="Times New Roman" w:cs="Times New Roman"/>
                <w:color w:val="000000"/>
                <w:lang w:eastAsia="es-HN"/>
              </w:rPr>
              <w:t xml:space="preserve"> de la cartera de créditos?</w:t>
            </w:r>
          </w:p>
        </w:tc>
        <w:tc>
          <w:tcPr>
            <w:tcW w:w="1106" w:type="dxa"/>
            <w:vMerge/>
            <w:vAlign w:val="center"/>
            <w:hideMark/>
          </w:tcPr>
          <w:p w14:paraId="55D62605" w14:textId="77777777" w:rsidR="00B91A01" w:rsidRPr="008B234F" w:rsidRDefault="00B91A01" w:rsidP="00CF2EDD">
            <w:pPr>
              <w:rPr>
                <w:rFonts w:ascii="Times New Roman" w:eastAsia="Times New Roman" w:hAnsi="Times New Roman" w:cs="Times New Roman"/>
                <w:color w:val="000000"/>
                <w:lang w:eastAsia="es-HN"/>
              </w:rPr>
            </w:pPr>
          </w:p>
        </w:tc>
        <w:tc>
          <w:tcPr>
            <w:tcW w:w="996" w:type="dxa"/>
            <w:vMerge/>
            <w:vAlign w:val="center"/>
            <w:hideMark/>
          </w:tcPr>
          <w:p w14:paraId="137D7E23" w14:textId="77777777" w:rsidR="00B91A01" w:rsidRPr="008B234F" w:rsidRDefault="00B91A01" w:rsidP="00CF2EDD">
            <w:pPr>
              <w:rPr>
                <w:rFonts w:ascii="Times New Roman" w:eastAsia="Times New Roman" w:hAnsi="Times New Roman" w:cs="Times New Roman"/>
                <w:color w:val="000000"/>
                <w:lang w:eastAsia="es-HN"/>
              </w:rPr>
            </w:pPr>
          </w:p>
        </w:tc>
        <w:tc>
          <w:tcPr>
            <w:tcW w:w="969" w:type="dxa"/>
            <w:vMerge/>
            <w:vAlign w:val="center"/>
            <w:hideMark/>
          </w:tcPr>
          <w:p w14:paraId="505CC2E8" w14:textId="77777777" w:rsidR="00B91A01" w:rsidRPr="008B234F" w:rsidRDefault="00B91A01" w:rsidP="00CF2EDD">
            <w:pPr>
              <w:rPr>
                <w:rFonts w:ascii="Times New Roman" w:eastAsia="Times New Roman" w:hAnsi="Times New Roman" w:cs="Times New Roman"/>
                <w:color w:val="000000"/>
                <w:lang w:eastAsia="es-HN"/>
              </w:rPr>
            </w:pPr>
          </w:p>
        </w:tc>
      </w:tr>
      <w:tr w:rsidR="00B91A01" w:rsidRPr="008B234F" w14:paraId="79E74C13" w14:textId="77777777" w:rsidTr="00B91A01">
        <w:trPr>
          <w:trHeight w:val="1575"/>
        </w:trPr>
        <w:tc>
          <w:tcPr>
            <w:tcW w:w="1521" w:type="dxa"/>
            <w:vMerge/>
            <w:vAlign w:val="center"/>
            <w:hideMark/>
          </w:tcPr>
          <w:p w14:paraId="5D817EB6" w14:textId="77777777" w:rsidR="00B91A01" w:rsidRPr="008B234F" w:rsidRDefault="00B91A01" w:rsidP="00B91A01">
            <w:pPr>
              <w:jc w:val="center"/>
              <w:rPr>
                <w:rFonts w:ascii="Times New Roman" w:eastAsia="Times New Roman" w:hAnsi="Times New Roman" w:cs="Times New Roman"/>
                <w:color w:val="000000"/>
                <w:lang w:eastAsia="es-HN"/>
              </w:rPr>
            </w:pPr>
          </w:p>
        </w:tc>
        <w:tc>
          <w:tcPr>
            <w:tcW w:w="1939" w:type="dxa"/>
            <w:vMerge/>
            <w:vAlign w:val="center"/>
            <w:hideMark/>
          </w:tcPr>
          <w:p w14:paraId="4BE6E98D" w14:textId="77777777" w:rsidR="00B91A01" w:rsidRPr="008B234F" w:rsidRDefault="00B91A01" w:rsidP="00CF2EDD">
            <w:pPr>
              <w:rPr>
                <w:rFonts w:ascii="Times New Roman" w:eastAsia="Times New Roman" w:hAnsi="Times New Roman" w:cs="Times New Roman"/>
                <w:color w:val="000000"/>
                <w:lang w:eastAsia="es-HN"/>
              </w:rPr>
            </w:pPr>
          </w:p>
        </w:tc>
        <w:tc>
          <w:tcPr>
            <w:tcW w:w="1701" w:type="dxa"/>
            <w:vMerge/>
            <w:vAlign w:val="center"/>
            <w:hideMark/>
          </w:tcPr>
          <w:p w14:paraId="749AB377" w14:textId="77777777" w:rsidR="00B91A01" w:rsidRPr="008B234F" w:rsidRDefault="00B91A01" w:rsidP="00CF2EDD">
            <w:pPr>
              <w:rPr>
                <w:rFonts w:ascii="Times New Roman" w:eastAsia="Times New Roman" w:hAnsi="Times New Roman" w:cs="Times New Roman"/>
                <w:color w:val="000000"/>
                <w:lang w:eastAsia="es-HN"/>
              </w:rPr>
            </w:pPr>
          </w:p>
        </w:tc>
        <w:tc>
          <w:tcPr>
            <w:tcW w:w="1777" w:type="dxa"/>
            <w:vMerge/>
            <w:vAlign w:val="center"/>
            <w:hideMark/>
          </w:tcPr>
          <w:p w14:paraId="6DE3D5FD" w14:textId="77777777" w:rsidR="00B91A01" w:rsidRPr="008B234F" w:rsidRDefault="00B91A01" w:rsidP="00CF2EDD">
            <w:pPr>
              <w:rPr>
                <w:rFonts w:ascii="Times New Roman" w:eastAsia="Times New Roman" w:hAnsi="Times New Roman" w:cs="Times New Roman"/>
                <w:color w:val="000000"/>
                <w:lang w:eastAsia="es-HN"/>
              </w:rPr>
            </w:pPr>
          </w:p>
        </w:tc>
        <w:tc>
          <w:tcPr>
            <w:tcW w:w="1949" w:type="dxa"/>
            <w:vMerge/>
            <w:vAlign w:val="center"/>
            <w:hideMark/>
          </w:tcPr>
          <w:p w14:paraId="58952B31" w14:textId="77777777" w:rsidR="00B91A01" w:rsidRPr="008B234F" w:rsidRDefault="00B91A01" w:rsidP="00CF2EDD">
            <w:pPr>
              <w:rPr>
                <w:rFonts w:ascii="Times New Roman" w:eastAsia="Times New Roman" w:hAnsi="Times New Roman" w:cs="Times New Roman"/>
                <w:color w:val="000000"/>
                <w:lang w:eastAsia="es-HN"/>
              </w:rPr>
            </w:pPr>
          </w:p>
        </w:tc>
        <w:tc>
          <w:tcPr>
            <w:tcW w:w="1992" w:type="dxa"/>
            <w:shd w:val="clear" w:color="auto" w:fill="auto"/>
            <w:vAlign w:val="center"/>
            <w:hideMark/>
          </w:tcPr>
          <w:p w14:paraId="6DA6E05F" w14:textId="7D910DC3" w:rsidR="00B91A01" w:rsidRPr="008B234F" w:rsidRDefault="00B91A01" w:rsidP="00CF2EDD">
            <w:pPr>
              <w:rPr>
                <w:rFonts w:ascii="Times New Roman" w:eastAsia="Times New Roman" w:hAnsi="Times New Roman" w:cs="Times New Roman"/>
                <w:color w:val="000000"/>
                <w:lang w:eastAsia="es-HN"/>
              </w:rPr>
            </w:pPr>
            <w:r w:rsidRPr="008B234F">
              <w:rPr>
                <w:rFonts w:ascii="Times New Roman" w:eastAsia="Times New Roman" w:hAnsi="Times New Roman" w:cs="Times New Roman"/>
                <w:color w:val="000000"/>
                <w:lang w:eastAsia="es-HN"/>
              </w:rPr>
              <w:t>7. ¿Qué políticas y procedimientos se han implementado para mejorar la gestión de c</w:t>
            </w:r>
            <w:r w:rsidR="007705C4">
              <w:rPr>
                <w:rFonts w:ascii="Times New Roman" w:eastAsia="Times New Roman" w:hAnsi="Times New Roman" w:cs="Times New Roman"/>
                <w:color w:val="000000"/>
                <w:lang w:eastAsia="es-HN"/>
              </w:rPr>
              <w:t>obro</w:t>
            </w:r>
            <w:r w:rsidRPr="008B234F">
              <w:rPr>
                <w:rFonts w:ascii="Times New Roman" w:eastAsia="Times New Roman" w:hAnsi="Times New Roman" w:cs="Times New Roman"/>
                <w:color w:val="000000"/>
                <w:lang w:eastAsia="es-HN"/>
              </w:rPr>
              <w:t>?</w:t>
            </w:r>
          </w:p>
        </w:tc>
        <w:tc>
          <w:tcPr>
            <w:tcW w:w="1106" w:type="dxa"/>
            <w:vMerge/>
            <w:vAlign w:val="center"/>
            <w:hideMark/>
          </w:tcPr>
          <w:p w14:paraId="35FA9A18" w14:textId="77777777" w:rsidR="00B91A01" w:rsidRPr="008B234F" w:rsidRDefault="00B91A01" w:rsidP="00CF2EDD">
            <w:pPr>
              <w:rPr>
                <w:rFonts w:ascii="Times New Roman" w:eastAsia="Times New Roman" w:hAnsi="Times New Roman" w:cs="Times New Roman"/>
                <w:color w:val="000000"/>
                <w:lang w:eastAsia="es-HN"/>
              </w:rPr>
            </w:pPr>
          </w:p>
        </w:tc>
        <w:tc>
          <w:tcPr>
            <w:tcW w:w="996" w:type="dxa"/>
            <w:vMerge/>
            <w:vAlign w:val="center"/>
            <w:hideMark/>
          </w:tcPr>
          <w:p w14:paraId="69F64EAD" w14:textId="77777777" w:rsidR="00B91A01" w:rsidRPr="008B234F" w:rsidRDefault="00B91A01" w:rsidP="00CF2EDD">
            <w:pPr>
              <w:rPr>
                <w:rFonts w:ascii="Times New Roman" w:eastAsia="Times New Roman" w:hAnsi="Times New Roman" w:cs="Times New Roman"/>
                <w:color w:val="000000"/>
                <w:lang w:eastAsia="es-HN"/>
              </w:rPr>
            </w:pPr>
          </w:p>
        </w:tc>
        <w:tc>
          <w:tcPr>
            <w:tcW w:w="969" w:type="dxa"/>
            <w:vMerge/>
            <w:vAlign w:val="center"/>
            <w:hideMark/>
          </w:tcPr>
          <w:p w14:paraId="29353963" w14:textId="77777777" w:rsidR="00B91A01" w:rsidRPr="008B234F" w:rsidRDefault="00B91A01" w:rsidP="00CF2EDD">
            <w:pPr>
              <w:rPr>
                <w:rFonts w:ascii="Times New Roman" w:eastAsia="Times New Roman" w:hAnsi="Times New Roman" w:cs="Times New Roman"/>
                <w:color w:val="000000"/>
                <w:lang w:eastAsia="es-HN"/>
              </w:rPr>
            </w:pPr>
          </w:p>
        </w:tc>
      </w:tr>
      <w:tr w:rsidR="00B91A01" w:rsidRPr="008B234F" w14:paraId="53EA3497" w14:textId="77777777" w:rsidTr="00B91A01">
        <w:trPr>
          <w:trHeight w:val="1575"/>
        </w:trPr>
        <w:tc>
          <w:tcPr>
            <w:tcW w:w="1521" w:type="dxa"/>
            <w:vMerge/>
            <w:vAlign w:val="center"/>
            <w:hideMark/>
          </w:tcPr>
          <w:p w14:paraId="395E6F30" w14:textId="77777777" w:rsidR="00B91A01" w:rsidRPr="008B234F" w:rsidRDefault="00B91A01" w:rsidP="00B91A01">
            <w:pPr>
              <w:jc w:val="center"/>
              <w:rPr>
                <w:rFonts w:ascii="Times New Roman" w:eastAsia="Times New Roman" w:hAnsi="Times New Roman" w:cs="Times New Roman"/>
                <w:color w:val="000000"/>
                <w:lang w:eastAsia="es-HN"/>
              </w:rPr>
            </w:pPr>
          </w:p>
        </w:tc>
        <w:tc>
          <w:tcPr>
            <w:tcW w:w="1939" w:type="dxa"/>
            <w:vMerge/>
            <w:vAlign w:val="center"/>
            <w:hideMark/>
          </w:tcPr>
          <w:p w14:paraId="76DC48B2" w14:textId="77777777" w:rsidR="00B91A01" w:rsidRPr="008B234F" w:rsidRDefault="00B91A01" w:rsidP="00CF2EDD">
            <w:pPr>
              <w:rPr>
                <w:rFonts w:ascii="Times New Roman" w:eastAsia="Times New Roman" w:hAnsi="Times New Roman" w:cs="Times New Roman"/>
                <w:color w:val="000000"/>
                <w:lang w:eastAsia="es-HN"/>
              </w:rPr>
            </w:pPr>
          </w:p>
        </w:tc>
        <w:tc>
          <w:tcPr>
            <w:tcW w:w="1701" w:type="dxa"/>
            <w:vMerge/>
            <w:vAlign w:val="center"/>
            <w:hideMark/>
          </w:tcPr>
          <w:p w14:paraId="7BDDC0B5" w14:textId="77777777" w:rsidR="00B91A01" w:rsidRPr="008B234F" w:rsidRDefault="00B91A01" w:rsidP="00CF2EDD">
            <w:pPr>
              <w:rPr>
                <w:rFonts w:ascii="Times New Roman" w:eastAsia="Times New Roman" w:hAnsi="Times New Roman" w:cs="Times New Roman"/>
                <w:color w:val="000000"/>
                <w:lang w:eastAsia="es-HN"/>
              </w:rPr>
            </w:pPr>
          </w:p>
        </w:tc>
        <w:tc>
          <w:tcPr>
            <w:tcW w:w="1777" w:type="dxa"/>
            <w:vMerge/>
            <w:vAlign w:val="center"/>
            <w:hideMark/>
          </w:tcPr>
          <w:p w14:paraId="0536DD43" w14:textId="77777777" w:rsidR="00B91A01" w:rsidRPr="008B234F" w:rsidRDefault="00B91A01" w:rsidP="00CF2EDD">
            <w:pPr>
              <w:rPr>
                <w:rFonts w:ascii="Times New Roman" w:eastAsia="Times New Roman" w:hAnsi="Times New Roman" w:cs="Times New Roman"/>
                <w:color w:val="000000"/>
                <w:lang w:eastAsia="es-HN"/>
              </w:rPr>
            </w:pPr>
          </w:p>
        </w:tc>
        <w:tc>
          <w:tcPr>
            <w:tcW w:w="1949" w:type="dxa"/>
            <w:vMerge/>
            <w:vAlign w:val="center"/>
            <w:hideMark/>
          </w:tcPr>
          <w:p w14:paraId="24D31069" w14:textId="77777777" w:rsidR="00B91A01" w:rsidRPr="008B234F" w:rsidRDefault="00B91A01" w:rsidP="00CF2EDD">
            <w:pPr>
              <w:rPr>
                <w:rFonts w:ascii="Times New Roman" w:eastAsia="Times New Roman" w:hAnsi="Times New Roman" w:cs="Times New Roman"/>
                <w:color w:val="000000"/>
                <w:lang w:eastAsia="es-HN"/>
              </w:rPr>
            </w:pPr>
          </w:p>
        </w:tc>
        <w:tc>
          <w:tcPr>
            <w:tcW w:w="1992" w:type="dxa"/>
            <w:shd w:val="clear" w:color="auto" w:fill="auto"/>
            <w:vAlign w:val="center"/>
            <w:hideMark/>
          </w:tcPr>
          <w:p w14:paraId="5029410B" w14:textId="77777777" w:rsidR="00B91A01" w:rsidRPr="008B234F" w:rsidRDefault="00B91A01" w:rsidP="00CF2EDD">
            <w:pPr>
              <w:rPr>
                <w:rFonts w:ascii="Times New Roman" w:eastAsia="Times New Roman" w:hAnsi="Times New Roman" w:cs="Times New Roman"/>
                <w:color w:val="000000"/>
                <w:lang w:eastAsia="es-HN"/>
              </w:rPr>
            </w:pPr>
            <w:r w:rsidRPr="008B234F">
              <w:rPr>
                <w:rFonts w:ascii="Times New Roman" w:eastAsia="Times New Roman" w:hAnsi="Times New Roman" w:cs="Times New Roman"/>
                <w:color w:val="000000"/>
                <w:lang w:eastAsia="es-HN"/>
              </w:rPr>
              <w:t>8. ¿Cómo se manejan las situaciones de morosidad o préstamos en riesgo de no pago?</w:t>
            </w:r>
          </w:p>
        </w:tc>
        <w:tc>
          <w:tcPr>
            <w:tcW w:w="1106" w:type="dxa"/>
            <w:vMerge/>
            <w:vAlign w:val="center"/>
            <w:hideMark/>
          </w:tcPr>
          <w:p w14:paraId="59B125FA" w14:textId="77777777" w:rsidR="00B91A01" w:rsidRPr="008B234F" w:rsidRDefault="00B91A01" w:rsidP="00CF2EDD">
            <w:pPr>
              <w:rPr>
                <w:rFonts w:ascii="Times New Roman" w:eastAsia="Times New Roman" w:hAnsi="Times New Roman" w:cs="Times New Roman"/>
                <w:color w:val="000000"/>
                <w:lang w:eastAsia="es-HN"/>
              </w:rPr>
            </w:pPr>
          </w:p>
        </w:tc>
        <w:tc>
          <w:tcPr>
            <w:tcW w:w="996" w:type="dxa"/>
            <w:vMerge/>
            <w:vAlign w:val="center"/>
            <w:hideMark/>
          </w:tcPr>
          <w:p w14:paraId="7C0ABFA2" w14:textId="77777777" w:rsidR="00B91A01" w:rsidRPr="008B234F" w:rsidRDefault="00B91A01" w:rsidP="00CF2EDD">
            <w:pPr>
              <w:rPr>
                <w:rFonts w:ascii="Times New Roman" w:eastAsia="Times New Roman" w:hAnsi="Times New Roman" w:cs="Times New Roman"/>
                <w:color w:val="000000"/>
                <w:lang w:eastAsia="es-HN"/>
              </w:rPr>
            </w:pPr>
          </w:p>
        </w:tc>
        <w:tc>
          <w:tcPr>
            <w:tcW w:w="969" w:type="dxa"/>
            <w:vMerge/>
            <w:vAlign w:val="center"/>
            <w:hideMark/>
          </w:tcPr>
          <w:p w14:paraId="4366A58F" w14:textId="77777777" w:rsidR="00B91A01" w:rsidRPr="008B234F" w:rsidRDefault="00B91A01" w:rsidP="00CF2EDD">
            <w:pPr>
              <w:rPr>
                <w:rFonts w:ascii="Times New Roman" w:eastAsia="Times New Roman" w:hAnsi="Times New Roman" w:cs="Times New Roman"/>
                <w:color w:val="000000"/>
                <w:lang w:eastAsia="es-HN"/>
              </w:rPr>
            </w:pPr>
          </w:p>
        </w:tc>
      </w:tr>
      <w:tr w:rsidR="00B91A01" w:rsidRPr="008B234F" w14:paraId="2650DB59" w14:textId="77777777" w:rsidTr="00B91A01">
        <w:trPr>
          <w:trHeight w:val="1575"/>
        </w:trPr>
        <w:tc>
          <w:tcPr>
            <w:tcW w:w="1521" w:type="dxa"/>
            <w:vMerge/>
            <w:vAlign w:val="center"/>
            <w:hideMark/>
          </w:tcPr>
          <w:p w14:paraId="5AF0764C" w14:textId="77777777" w:rsidR="00B91A01" w:rsidRPr="008B234F" w:rsidRDefault="00B91A01" w:rsidP="00B91A01">
            <w:pPr>
              <w:jc w:val="center"/>
              <w:rPr>
                <w:rFonts w:ascii="Times New Roman" w:eastAsia="Times New Roman" w:hAnsi="Times New Roman" w:cs="Times New Roman"/>
                <w:color w:val="000000"/>
                <w:lang w:eastAsia="es-HN"/>
              </w:rPr>
            </w:pPr>
          </w:p>
        </w:tc>
        <w:tc>
          <w:tcPr>
            <w:tcW w:w="1939" w:type="dxa"/>
            <w:vMerge/>
            <w:vAlign w:val="center"/>
            <w:hideMark/>
          </w:tcPr>
          <w:p w14:paraId="55F71B99" w14:textId="77777777" w:rsidR="00B91A01" w:rsidRPr="008B234F" w:rsidRDefault="00B91A01" w:rsidP="00CF2EDD">
            <w:pPr>
              <w:rPr>
                <w:rFonts w:ascii="Times New Roman" w:eastAsia="Times New Roman" w:hAnsi="Times New Roman" w:cs="Times New Roman"/>
                <w:color w:val="000000"/>
                <w:lang w:eastAsia="es-HN"/>
              </w:rPr>
            </w:pPr>
          </w:p>
        </w:tc>
        <w:tc>
          <w:tcPr>
            <w:tcW w:w="1701" w:type="dxa"/>
            <w:vMerge/>
            <w:vAlign w:val="center"/>
            <w:hideMark/>
          </w:tcPr>
          <w:p w14:paraId="03EA9C32" w14:textId="77777777" w:rsidR="00B91A01" w:rsidRPr="008B234F" w:rsidRDefault="00B91A01" w:rsidP="00CF2EDD">
            <w:pPr>
              <w:rPr>
                <w:rFonts w:ascii="Times New Roman" w:eastAsia="Times New Roman" w:hAnsi="Times New Roman" w:cs="Times New Roman"/>
                <w:color w:val="000000"/>
                <w:lang w:eastAsia="es-HN"/>
              </w:rPr>
            </w:pPr>
          </w:p>
        </w:tc>
        <w:tc>
          <w:tcPr>
            <w:tcW w:w="1777" w:type="dxa"/>
            <w:vMerge/>
            <w:vAlign w:val="center"/>
            <w:hideMark/>
          </w:tcPr>
          <w:p w14:paraId="5A76D4F2" w14:textId="77777777" w:rsidR="00B91A01" w:rsidRPr="008B234F" w:rsidRDefault="00B91A01" w:rsidP="00CF2EDD">
            <w:pPr>
              <w:rPr>
                <w:rFonts w:ascii="Times New Roman" w:eastAsia="Times New Roman" w:hAnsi="Times New Roman" w:cs="Times New Roman"/>
                <w:color w:val="000000"/>
                <w:lang w:eastAsia="es-HN"/>
              </w:rPr>
            </w:pPr>
          </w:p>
        </w:tc>
        <w:tc>
          <w:tcPr>
            <w:tcW w:w="1949" w:type="dxa"/>
            <w:vMerge/>
            <w:vAlign w:val="center"/>
            <w:hideMark/>
          </w:tcPr>
          <w:p w14:paraId="1BD43D41" w14:textId="77777777" w:rsidR="00B91A01" w:rsidRPr="008B234F" w:rsidRDefault="00B91A01" w:rsidP="00CF2EDD">
            <w:pPr>
              <w:rPr>
                <w:rFonts w:ascii="Times New Roman" w:eastAsia="Times New Roman" w:hAnsi="Times New Roman" w:cs="Times New Roman"/>
                <w:color w:val="000000"/>
                <w:lang w:eastAsia="es-HN"/>
              </w:rPr>
            </w:pPr>
          </w:p>
        </w:tc>
        <w:tc>
          <w:tcPr>
            <w:tcW w:w="1992" w:type="dxa"/>
            <w:shd w:val="clear" w:color="auto" w:fill="auto"/>
            <w:vAlign w:val="center"/>
            <w:hideMark/>
          </w:tcPr>
          <w:p w14:paraId="383EAB53" w14:textId="2E0DD175" w:rsidR="00B91A01" w:rsidRPr="008B234F" w:rsidRDefault="007705C4" w:rsidP="00CF2EDD">
            <w:pPr>
              <w:rPr>
                <w:rFonts w:ascii="Times New Roman" w:eastAsia="Times New Roman" w:hAnsi="Times New Roman" w:cs="Times New Roman"/>
                <w:color w:val="000000"/>
                <w:lang w:eastAsia="es-HN"/>
              </w:rPr>
            </w:pPr>
            <w:r>
              <w:rPr>
                <w:rFonts w:ascii="Times New Roman" w:eastAsia="Times New Roman" w:hAnsi="Times New Roman" w:cs="Times New Roman"/>
                <w:color w:val="000000"/>
                <w:lang w:eastAsia="es-HN"/>
              </w:rPr>
              <w:t>9</w:t>
            </w:r>
            <w:r w:rsidRPr="008B234F">
              <w:rPr>
                <w:rFonts w:ascii="Times New Roman" w:eastAsia="Times New Roman" w:hAnsi="Times New Roman" w:cs="Times New Roman"/>
                <w:color w:val="000000"/>
                <w:lang w:eastAsia="es-HN"/>
              </w:rPr>
              <w:t>. ¿Cómo se manejan los casos de clientes con problemas para cumplir con sus obligaciones de pago?</w:t>
            </w:r>
          </w:p>
        </w:tc>
        <w:tc>
          <w:tcPr>
            <w:tcW w:w="1106" w:type="dxa"/>
            <w:vMerge/>
            <w:vAlign w:val="center"/>
            <w:hideMark/>
          </w:tcPr>
          <w:p w14:paraId="573F5848" w14:textId="77777777" w:rsidR="00B91A01" w:rsidRPr="008B234F" w:rsidRDefault="00B91A01" w:rsidP="00CF2EDD">
            <w:pPr>
              <w:rPr>
                <w:rFonts w:ascii="Times New Roman" w:eastAsia="Times New Roman" w:hAnsi="Times New Roman" w:cs="Times New Roman"/>
                <w:color w:val="000000"/>
                <w:lang w:eastAsia="es-HN"/>
              </w:rPr>
            </w:pPr>
          </w:p>
        </w:tc>
        <w:tc>
          <w:tcPr>
            <w:tcW w:w="996" w:type="dxa"/>
            <w:vMerge/>
            <w:vAlign w:val="center"/>
            <w:hideMark/>
          </w:tcPr>
          <w:p w14:paraId="342AA6C9" w14:textId="77777777" w:rsidR="00B91A01" w:rsidRPr="008B234F" w:rsidRDefault="00B91A01" w:rsidP="00CF2EDD">
            <w:pPr>
              <w:rPr>
                <w:rFonts w:ascii="Times New Roman" w:eastAsia="Times New Roman" w:hAnsi="Times New Roman" w:cs="Times New Roman"/>
                <w:color w:val="000000"/>
                <w:lang w:eastAsia="es-HN"/>
              </w:rPr>
            </w:pPr>
          </w:p>
        </w:tc>
        <w:tc>
          <w:tcPr>
            <w:tcW w:w="969" w:type="dxa"/>
            <w:vMerge/>
            <w:vAlign w:val="center"/>
            <w:hideMark/>
          </w:tcPr>
          <w:p w14:paraId="634D44AF" w14:textId="77777777" w:rsidR="00B91A01" w:rsidRPr="008B234F" w:rsidRDefault="00B91A01" w:rsidP="00CF2EDD">
            <w:pPr>
              <w:rPr>
                <w:rFonts w:ascii="Times New Roman" w:eastAsia="Times New Roman" w:hAnsi="Times New Roman" w:cs="Times New Roman"/>
                <w:color w:val="000000"/>
                <w:lang w:eastAsia="es-HN"/>
              </w:rPr>
            </w:pPr>
          </w:p>
        </w:tc>
      </w:tr>
      <w:tr w:rsidR="00B91A01" w:rsidRPr="008B234F" w14:paraId="67E8F229" w14:textId="77777777" w:rsidTr="00B91A01">
        <w:trPr>
          <w:trHeight w:val="1260"/>
        </w:trPr>
        <w:tc>
          <w:tcPr>
            <w:tcW w:w="1521" w:type="dxa"/>
            <w:vMerge/>
            <w:vAlign w:val="center"/>
            <w:hideMark/>
          </w:tcPr>
          <w:p w14:paraId="06FB9CC8" w14:textId="77777777" w:rsidR="00B91A01" w:rsidRPr="008B234F" w:rsidRDefault="00B91A01" w:rsidP="00B91A01">
            <w:pPr>
              <w:jc w:val="center"/>
              <w:rPr>
                <w:rFonts w:ascii="Times New Roman" w:eastAsia="Times New Roman" w:hAnsi="Times New Roman" w:cs="Times New Roman"/>
                <w:color w:val="000000"/>
                <w:lang w:eastAsia="es-HN"/>
              </w:rPr>
            </w:pPr>
          </w:p>
        </w:tc>
        <w:tc>
          <w:tcPr>
            <w:tcW w:w="1939" w:type="dxa"/>
            <w:vMerge/>
            <w:vAlign w:val="center"/>
            <w:hideMark/>
          </w:tcPr>
          <w:p w14:paraId="7DBA6803" w14:textId="77777777" w:rsidR="00B91A01" w:rsidRPr="008B234F" w:rsidRDefault="00B91A01" w:rsidP="00CF2EDD">
            <w:pPr>
              <w:rPr>
                <w:rFonts w:ascii="Times New Roman" w:eastAsia="Times New Roman" w:hAnsi="Times New Roman" w:cs="Times New Roman"/>
                <w:color w:val="000000"/>
                <w:lang w:eastAsia="es-HN"/>
              </w:rPr>
            </w:pPr>
          </w:p>
        </w:tc>
        <w:tc>
          <w:tcPr>
            <w:tcW w:w="1701" w:type="dxa"/>
            <w:vMerge/>
            <w:vAlign w:val="center"/>
            <w:hideMark/>
          </w:tcPr>
          <w:p w14:paraId="7335469B" w14:textId="77777777" w:rsidR="00B91A01" w:rsidRPr="008B234F" w:rsidRDefault="00B91A01" w:rsidP="00CF2EDD">
            <w:pPr>
              <w:rPr>
                <w:rFonts w:ascii="Times New Roman" w:eastAsia="Times New Roman" w:hAnsi="Times New Roman" w:cs="Times New Roman"/>
                <w:color w:val="000000"/>
                <w:lang w:eastAsia="es-HN"/>
              </w:rPr>
            </w:pPr>
          </w:p>
        </w:tc>
        <w:tc>
          <w:tcPr>
            <w:tcW w:w="1777" w:type="dxa"/>
            <w:vMerge/>
            <w:vAlign w:val="center"/>
            <w:hideMark/>
          </w:tcPr>
          <w:p w14:paraId="5DE28A8A" w14:textId="77777777" w:rsidR="00B91A01" w:rsidRPr="008B234F" w:rsidRDefault="00B91A01" w:rsidP="00CF2EDD">
            <w:pPr>
              <w:rPr>
                <w:rFonts w:ascii="Times New Roman" w:eastAsia="Times New Roman" w:hAnsi="Times New Roman" w:cs="Times New Roman"/>
                <w:color w:val="000000"/>
                <w:lang w:eastAsia="es-HN"/>
              </w:rPr>
            </w:pPr>
          </w:p>
        </w:tc>
        <w:tc>
          <w:tcPr>
            <w:tcW w:w="1949" w:type="dxa"/>
            <w:vMerge/>
            <w:vAlign w:val="center"/>
            <w:hideMark/>
          </w:tcPr>
          <w:p w14:paraId="56E9AF11" w14:textId="77777777" w:rsidR="00B91A01" w:rsidRPr="008B234F" w:rsidRDefault="00B91A01" w:rsidP="00CF2EDD">
            <w:pPr>
              <w:rPr>
                <w:rFonts w:ascii="Times New Roman" w:eastAsia="Times New Roman" w:hAnsi="Times New Roman" w:cs="Times New Roman"/>
                <w:color w:val="000000"/>
                <w:lang w:eastAsia="es-HN"/>
              </w:rPr>
            </w:pPr>
          </w:p>
        </w:tc>
        <w:tc>
          <w:tcPr>
            <w:tcW w:w="1992" w:type="dxa"/>
            <w:shd w:val="clear" w:color="auto" w:fill="auto"/>
            <w:vAlign w:val="center"/>
            <w:hideMark/>
          </w:tcPr>
          <w:p w14:paraId="5DEDFE55" w14:textId="77777777" w:rsidR="00B91A01" w:rsidRPr="008B234F" w:rsidRDefault="00B91A01" w:rsidP="00CF2EDD">
            <w:pPr>
              <w:rPr>
                <w:rFonts w:ascii="Times New Roman" w:eastAsia="Times New Roman" w:hAnsi="Times New Roman" w:cs="Times New Roman"/>
                <w:color w:val="000000"/>
                <w:lang w:eastAsia="es-HN"/>
              </w:rPr>
            </w:pPr>
            <w:r w:rsidRPr="008B234F">
              <w:rPr>
                <w:rFonts w:ascii="Times New Roman" w:eastAsia="Times New Roman" w:hAnsi="Times New Roman" w:cs="Times New Roman"/>
                <w:color w:val="000000"/>
                <w:lang w:eastAsia="es-HN"/>
              </w:rPr>
              <w:t>10.</w:t>
            </w:r>
            <w:r>
              <w:rPr>
                <w:rFonts w:ascii="Times New Roman" w:eastAsia="Times New Roman" w:hAnsi="Times New Roman" w:cs="Times New Roman"/>
                <w:color w:val="000000"/>
                <w:lang w:eastAsia="es-HN"/>
              </w:rPr>
              <w:t xml:space="preserve"> </w:t>
            </w:r>
            <w:r w:rsidRPr="008B234F">
              <w:rPr>
                <w:rFonts w:ascii="Times New Roman" w:eastAsia="Times New Roman" w:hAnsi="Times New Roman" w:cs="Times New Roman"/>
                <w:color w:val="000000"/>
                <w:lang w:eastAsia="es-HN"/>
              </w:rPr>
              <w:t>¿Qué aspectos regulatorios o legales han tenido un impacto en la gestión de crédito?</w:t>
            </w:r>
          </w:p>
        </w:tc>
        <w:tc>
          <w:tcPr>
            <w:tcW w:w="1106" w:type="dxa"/>
            <w:vMerge/>
            <w:vAlign w:val="center"/>
            <w:hideMark/>
          </w:tcPr>
          <w:p w14:paraId="0E42F6F2" w14:textId="77777777" w:rsidR="00B91A01" w:rsidRPr="008B234F" w:rsidRDefault="00B91A01" w:rsidP="00CF2EDD">
            <w:pPr>
              <w:rPr>
                <w:rFonts w:ascii="Times New Roman" w:eastAsia="Times New Roman" w:hAnsi="Times New Roman" w:cs="Times New Roman"/>
                <w:color w:val="000000"/>
                <w:lang w:eastAsia="es-HN"/>
              </w:rPr>
            </w:pPr>
          </w:p>
        </w:tc>
        <w:tc>
          <w:tcPr>
            <w:tcW w:w="996" w:type="dxa"/>
            <w:vMerge/>
            <w:vAlign w:val="center"/>
            <w:hideMark/>
          </w:tcPr>
          <w:p w14:paraId="3A086341" w14:textId="77777777" w:rsidR="00B91A01" w:rsidRPr="008B234F" w:rsidRDefault="00B91A01" w:rsidP="00CF2EDD">
            <w:pPr>
              <w:rPr>
                <w:rFonts w:ascii="Times New Roman" w:eastAsia="Times New Roman" w:hAnsi="Times New Roman" w:cs="Times New Roman"/>
                <w:color w:val="000000"/>
                <w:lang w:eastAsia="es-HN"/>
              </w:rPr>
            </w:pPr>
          </w:p>
        </w:tc>
        <w:tc>
          <w:tcPr>
            <w:tcW w:w="969" w:type="dxa"/>
            <w:vMerge/>
            <w:vAlign w:val="center"/>
            <w:hideMark/>
          </w:tcPr>
          <w:p w14:paraId="6ED47712" w14:textId="77777777" w:rsidR="00B91A01" w:rsidRPr="008B234F" w:rsidRDefault="00B91A01" w:rsidP="00CF2EDD">
            <w:pPr>
              <w:rPr>
                <w:rFonts w:ascii="Times New Roman" w:eastAsia="Times New Roman" w:hAnsi="Times New Roman" w:cs="Times New Roman"/>
                <w:color w:val="000000"/>
                <w:lang w:eastAsia="es-HN"/>
              </w:rPr>
            </w:pPr>
          </w:p>
        </w:tc>
      </w:tr>
      <w:tr w:rsidR="00B91A01" w:rsidRPr="008B234F" w14:paraId="649B07D0" w14:textId="77777777" w:rsidTr="00B91A01">
        <w:trPr>
          <w:trHeight w:val="2295"/>
        </w:trPr>
        <w:tc>
          <w:tcPr>
            <w:tcW w:w="1521" w:type="dxa"/>
            <w:vMerge w:val="restart"/>
            <w:shd w:val="clear" w:color="auto" w:fill="auto"/>
            <w:vAlign w:val="center"/>
            <w:hideMark/>
          </w:tcPr>
          <w:p w14:paraId="6E9EFC36" w14:textId="77777777" w:rsidR="00B91A01" w:rsidRPr="008B234F" w:rsidRDefault="00B91A01" w:rsidP="00B91A01">
            <w:pPr>
              <w:jc w:val="center"/>
              <w:rPr>
                <w:rFonts w:ascii="Times New Roman" w:eastAsia="Times New Roman" w:hAnsi="Times New Roman" w:cs="Times New Roman"/>
                <w:color w:val="000000"/>
                <w:lang w:eastAsia="es-HN"/>
              </w:rPr>
            </w:pPr>
            <w:r w:rsidRPr="008B234F">
              <w:rPr>
                <w:rFonts w:ascii="Times New Roman" w:eastAsia="Times New Roman" w:hAnsi="Times New Roman" w:cs="Times New Roman"/>
                <w:color w:val="000000"/>
                <w:lang w:eastAsia="es-HN"/>
              </w:rPr>
              <w:lastRenderedPageBreak/>
              <w:t>Rentabilidad</w:t>
            </w:r>
          </w:p>
        </w:tc>
        <w:tc>
          <w:tcPr>
            <w:tcW w:w="1939" w:type="dxa"/>
            <w:vMerge w:val="restart"/>
            <w:shd w:val="clear" w:color="auto" w:fill="auto"/>
            <w:vAlign w:val="center"/>
            <w:hideMark/>
          </w:tcPr>
          <w:p w14:paraId="643EA458" w14:textId="77777777" w:rsidR="00B91A01" w:rsidRPr="00F03EE8" w:rsidRDefault="00B91A01" w:rsidP="00CF2EDD">
            <w:pPr>
              <w:rPr>
                <w:rFonts w:ascii="Times New Roman" w:eastAsia="Times New Roman" w:hAnsi="Times New Roman" w:cs="Times New Roman"/>
                <w:color w:val="000000"/>
                <w:sz w:val="24"/>
                <w:szCs w:val="24"/>
                <w:lang w:eastAsia="es-HN"/>
              </w:rPr>
            </w:pPr>
            <w:r w:rsidRPr="00F03EE8">
              <w:rPr>
                <w:rFonts w:ascii="Times New Roman" w:eastAsia="Times New Roman" w:hAnsi="Times New Roman" w:cs="Times New Roman"/>
                <w:color w:val="000000"/>
                <w:sz w:val="24"/>
                <w:szCs w:val="24"/>
                <w:lang w:eastAsia="es-HN"/>
              </w:rPr>
              <w:t>Posibilidad de generar beneficios, reinversión y crecimiento. Cuando se habla de rentabilidad, debemos tener presentes tres conceptos importantes: el costo de oportunidad, el valor del dinero en el tiempo y el análisis de los estados financieros” (Chu Rubio, 2016, p. 13)</w:t>
            </w:r>
          </w:p>
        </w:tc>
        <w:tc>
          <w:tcPr>
            <w:tcW w:w="1701" w:type="dxa"/>
            <w:vMerge w:val="restart"/>
            <w:shd w:val="clear" w:color="auto" w:fill="auto"/>
            <w:vAlign w:val="center"/>
            <w:hideMark/>
          </w:tcPr>
          <w:p w14:paraId="5233A034" w14:textId="77777777" w:rsidR="00B91A01" w:rsidRPr="008B234F" w:rsidRDefault="00B91A01" w:rsidP="00CF2EDD">
            <w:pPr>
              <w:rPr>
                <w:rFonts w:ascii="Times New Roman" w:eastAsia="Times New Roman" w:hAnsi="Times New Roman" w:cs="Times New Roman"/>
                <w:color w:val="000000"/>
                <w:lang w:eastAsia="es-HN"/>
              </w:rPr>
            </w:pPr>
            <w:r w:rsidRPr="008B234F">
              <w:rPr>
                <w:rFonts w:ascii="Times New Roman" w:eastAsia="Times New Roman" w:hAnsi="Times New Roman" w:cs="Times New Roman"/>
                <w:color w:val="000000"/>
                <w:lang w:eastAsia="es-HN"/>
              </w:rPr>
              <w:t xml:space="preserve">La rentabilidad se refiere a la medida de la eficiencia y el éxito financiero de una inversión, un negocio o una actividad económica en relación con la ganancia o retorno obtenido en comparación con los costos o la inversión inicial. </w:t>
            </w:r>
          </w:p>
        </w:tc>
        <w:tc>
          <w:tcPr>
            <w:tcW w:w="1777" w:type="dxa"/>
            <w:vMerge w:val="restart"/>
            <w:shd w:val="clear" w:color="auto" w:fill="auto"/>
            <w:vAlign w:val="center"/>
            <w:hideMark/>
          </w:tcPr>
          <w:p w14:paraId="2195DBBC" w14:textId="77777777" w:rsidR="00B91A01" w:rsidRPr="008B234F" w:rsidRDefault="00B91A01" w:rsidP="00CF2EDD">
            <w:pPr>
              <w:jc w:val="center"/>
              <w:rPr>
                <w:rFonts w:ascii="Times New Roman" w:eastAsia="Times New Roman" w:hAnsi="Times New Roman" w:cs="Times New Roman"/>
                <w:color w:val="000000"/>
                <w:lang w:eastAsia="es-HN"/>
              </w:rPr>
            </w:pPr>
            <w:r w:rsidRPr="008B234F">
              <w:rPr>
                <w:rFonts w:ascii="Times New Roman" w:eastAsia="Times New Roman" w:hAnsi="Times New Roman" w:cs="Times New Roman"/>
                <w:color w:val="000000"/>
                <w:lang w:eastAsia="es-HN"/>
              </w:rPr>
              <w:t>Financiera</w:t>
            </w:r>
          </w:p>
        </w:tc>
        <w:tc>
          <w:tcPr>
            <w:tcW w:w="1949" w:type="dxa"/>
            <w:shd w:val="clear" w:color="auto" w:fill="auto"/>
            <w:vAlign w:val="center"/>
            <w:hideMark/>
          </w:tcPr>
          <w:p w14:paraId="0D1B83E8" w14:textId="77777777" w:rsidR="00B91A01" w:rsidRPr="008B234F" w:rsidRDefault="00B91A01" w:rsidP="00CF2EDD">
            <w:pPr>
              <w:rPr>
                <w:rFonts w:ascii="Times New Roman" w:eastAsia="Times New Roman" w:hAnsi="Times New Roman" w:cs="Times New Roman"/>
                <w:color w:val="000000"/>
                <w:lang w:eastAsia="es-HN"/>
              </w:rPr>
            </w:pPr>
            <w:r w:rsidRPr="008B234F">
              <w:rPr>
                <w:rFonts w:ascii="Times New Roman" w:eastAsia="Times New Roman" w:hAnsi="Times New Roman" w:cs="Times New Roman"/>
                <w:color w:val="000000"/>
                <w:lang w:eastAsia="es-HN"/>
              </w:rPr>
              <w:t>ROA = (Utilidad Neta / Activo Total) x100</w:t>
            </w:r>
          </w:p>
        </w:tc>
        <w:tc>
          <w:tcPr>
            <w:tcW w:w="1992" w:type="dxa"/>
            <w:vMerge w:val="restart"/>
            <w:shd w:val="clear" w:color="auto" w:fill="auto"/>
            <w:vAlign w:val="center"/>
            <w:hideMark/>
          </w:tcPr>
          <w:p w14:paraId="73A00F21" w14:textId="77777777" w:rsidR="00B91A01" w:rsidRPr="008B234F" w:rsidRDefault="00B91A01" w:rsidP="00CF2EDD">
            <w:pPr>
              <w:jc w:val="center"/>
              <w:rPr>
                <w:rFonts w:ascii="Times New Roman" w:eastAsia="Times New Roman" w:hAnsi="Times New Roman" w:cs="Times New Roman"/>
                <w:color w:val="000000"/>
                <w:lang w:eastAsia="es-HN"/>
              </w:rPr>
            </w:pPr>
            <w:r w:rsidRPr="008B234F">
              <w:rPr>
                <w:rFonts w:ascii="Times New Roman" w:eastAsia="Times New Roman" w:hAnsi="Times New Roman" w:cs="Times New Roman"/>
                <w:color w:val="000000"/>
                <w:lang w:eastAsia="es-HN"/>
              </w:rPr>
              <w:t>N/A</w:t>
            </w:r>
          </w:p>
        </w:tc>
        <w:tc>
          <w:tcPr>
            <w:tcW w:w="1106" w:type="dxa"/>
            <w:vMerge w:val="restart"/>
            <w:shd w:val="clear" w:color="auto" w:fill="auto"/>
            <w:vAlign w:val="center"/>
            <w:hideMark/>
          </w:tcPr>
          <w:p w14:paraId="5E715980" w14:textId="77777777" w:rsidR="00B91A01" w:rsidRPr="008B234F" w:rsidRDefault="00B91A01" w:rsidP="00CF2EDD">
            <w:pPr>
              <w:rPr>
                <w:rFonts w:ascii="Times New Roman" w:eastAsia="Times New Roman" w:hAnsi="Times New Roman" w:cs="Times New Roman"/>
                <w:color w:val="000000"/>
                <w:lang w:eastAsia="es-HN"/>
              </w:rPr>
            </w:pPr>
            <w:r w:rsidRPr="008B234F">
              <w:rPr>
                <w:rFonts w:ascii="Times New Roman" w:eastAsia="Times New Roman" w:hAnsi="Times New Roman" w:cs="Times New Roman"/>
                <w:color w:val="000000"/>
                <w:lang w:eastAsia="es-HN"/>
              </w:rPr>
              <w:t>Revisión de Data Histórica (Análisis de Bases de Datos)</w:t>
            </w:r>
          </w:p>
        </w:tc>
        <w:tc>
          <w:tcPr>
            <w:tcW w:w="996" w:type="dxa"/>
            <w:vMerge w:val="restart"/>
            <w:shd w:val="clear" w:color="auto" w:fill="auto"/>
            <w:vAlign w:val="center"/>
            <w:hideMark/>
          </w:tcPr>
          <w:p w14:paraId="3D836EB9" w14:textId="77777777" w:rsidR="00B91A01" w:rsidRPr="008B234F" w:rsidRDefault="00B91A01" w:rsidP="00CF2EDD">
            <w:pPr>
              <w:jc w:val="center"/>
              <w:rPr>
                <w:rFonts w:ascii="Times New Roman" w:eastAsia="Times New Roman" w:hAnsi="Times New Roman" w:cs="Times New Roman"/>
                <w:color w:val="000000"/>
                <w:lang w:eastAsia="es-HN"/>
              </w:rPr>
            </w:pPr>
            <w:r w:rsidRPr="008B234F">
              <w:rPr>
                <w:rFonts w:ascii="Times New Roman" w:eastAsia="Times New Roman" w:hAnsi="Times New Roman" w:cs="Times New Roman"/>
                <w:color w:val="000000"/>
                <w:lang w:eastAsia="es-HN"/>
              </w:rPr>
              <w:t>N/A</w:t>
            </w:r>
          </w:p>
        </w:tc>
        <w:tc>
          <w:tcPr>
            <w:tcW w:w="969" w:type="dxa"/>
            <w:vMerge w:val="restart"/>
            <w:shd w:val="clear" w:color="auto" w:fill="auto"/>
            <w:vAlign w:val="center"/>
            <w:hideMark/>
          </w:tcPr>
          <w:p w14:paraId="763B8645" w14:textId="77777777" w:rsidR="00B91A01" w:rsidRPr="008B234F" w:rsidRDefault="00B91A01" w:rsidP="00CF2EDD">
            <w:pPr>
              <w:jc w:val="center"/>
              <w:rPr>
                <w:rFonts w:ascii="Times New Roman" w:eastAsia="Times New Roman" w:hAnsi="Times New Roman" w:cs="Times New Roman"/>
                <w:color w:val="000000"/>
                <w:lang w:eastAsia="es-HN"/>
              </w:rPr>
            </w:pPr>
            <w:r w:rsidRPr="008B234F">
              <w:rPr>
                <w:rFonts w:ascii="Times New Roman" w:eastAsia="Times New Roman" w:hAnsi="Times New Roman" w:cs="Times New Roman"/>
                <w:color w:val="000000"/>
                <w:lang w:eastAsia="es-HN"/>
              </w:rPr>
              <w:t>NA</w:t>
            </w:r>
          </w:p>
        </w:tc>
      </w:tr>
      <w:tr w:rsidR="00B91A01" w:rsidRPr="008B234F" w14:paraId="12DE91D3" w14:textId="77777777" w:rsidTr="00B91A01">
        <w:trPr>
          <w:trHeight w:val="2295"/>
        </w:trPr>
        <w:tc>
          <w:tcPr>
            <w:tcW w:w="1521" w:type="dxa"/>
            <w:vMerge/>
            <w:vAlign w:val="center"/>
            <w:hideMark/>
          </w:tcPr>
          <w:p w14:paraId="2A87B56B" w14:textId="77777777" w:rsidR="00B91A01" w:rsidRPr="008B234F" w:rsidRDefault="00B91A01" w:rsidP="00B91A01">
            <w:pPr>
              <w:jc w:val="center"/>
              <w:rPr>
                <w:rFonts w:ascii="Times New Roman" w:eastAsia="Times New Roman" w:hAnsi="Times New Roman" w:cs="Times New Roman"/>
                <w:color w:val="000000"/>
                <w:lang w:eastAsia="es-HN"/>
              </w:rPr>
            </w:pPr>
          </w:p>
        </w:tc>
        <w:tc>
          <w:tcPr>
            <w:tcW w:w="1939" w:type="dxa"/>
            <w:vMerge/>
            <w:vAlign w:val="center"/>
            <w:hideMark/>
          </w:tcPr>
          <w:p w14:paraId="33479134" w14:textId="77777777" w:rsidR="00B91A01" w:rsidRPr="00F03EE8" w:rsidRDefault="00B91A01" w:rsidP="00CF2EDD">
            <w:pPr>
              <w:rPr>
                <w:rFonts w:ascii="Times New Roman" w:eastAsia="Times New Roman" w:hAnsi="Times New Roman" w:cs="Times New Roman"/>
                <w:color w:val="000000"/>
                <w:sz w:val="24"/>
                <w:szCs w:val="24"/>
                <w:lang w:eastAsia="es-HN"/>
              </w:rPr>
            </w:pPr>
          </w:p>
        </w:tc>
        <w:tc>
          <w:tcPr>
            <w:tcW w:w="1701" w:type="dxa"/>
            <w:vMerge/>
            <w:vAlign w:val="center"/>
            <w:hideMark/>
          </w:tcPr>
          <w:p w14:paraId="5B9A4EBB" w14:textId="77777777" w:rsidR="00B91A01" w:rsidRPr="008B234F" w:rsidRDefault="00B91A01" w:rsidP="00CF2EDD">
            <w:pPr>
              <w:rPr>
                <w:rFonts w:ascii="Times New Roman" w:eastAsia="Times New Roman" w:hAnsi="Times New Roman" w:cs="Times New Roman"/>
                <w:color w:val="000000"/>
                <w:lang w:eastAsia="es-HN"/>
              </w:rPr>
            </w:pPr>
          </w:p>
        </w:tc>
        <w:tc>
          <w:tcPr>
            <w:tcW w:w="1777" w:type="dxa"/>
            <w:vMerge/>
            <w:vAlign w:val="center"/>
            <w:hideMark/>
          </w:tcPr>
          <w:p w14:paraId="49CB49C7" w14:textId="77777777" w:rsidR="00B91A01" w:rsidRPr="008B234F" w:rsidRDefault="00B91A01" w:rsidP="00CF2EDD">
            <w:pPr>
              <w:rPr>
                <w:rFonts w:ascii="Times New Roman" w:eastAsia="Times New Roman" w:hAnsi="Times New Roman" w:cs="Times New Roman"/>
                <w:color w:val="000000"/>
                <w:lang w:eastAsia="es-HN"/>
              </w:rPr>
            </w:pPr>
          </w:p>
        </w:tc>
        <w:tc>
          <w:tcPr>
            <w:tcW w:w="1949" w:type="dxa"/>
            <w:shd w:val="clear" w:color="auto" w:fill="auto"/>
            <w:vAlign w:val="center"/>
            <w:hideMark/>
          </w:tcPr>
          <w:p w14:paraId="16DA3C13" w14:textId="77777777" w:rsidR="00B91A01" w:rsidRPr="008B234F" w:rsidRDefault="00B91A01" w:rsidP="00CF2EDD">
            <w:pPr>
              <w:rPr>
                <w:rFonts w:ascii="Times New Roman" w:eastAsia="Times New Roman" w:hAnsi="Times New Roman" w:cs="Times New Roman"/>
                <w:color w:val="000000"/>
                <w:lang w:eastAsia="es-HN"/>
              </w:rPr>
            </w:pPr>
            <w:r w:rsidRPr="008B234F">
              <w:rPr>
                <w:rFonts w:ascii="Times New Roman" w:eastAsia="Times New Roman" w:hAnsi="Times New Roman" w:cs="Times New Roman"/>
                <w:color w:val="000000"/>
                <w:lang w:eastAsia="es-HN"/>
              </w:rPr>
              <w:t>ROE = (Utilidad Neta / Patrimonio) x 100</w:t>
            </w:r>
          </w:p>
        </w:tc>
        <w:tc>
          <w:tcPr>
            <w:tcW w:w="1992" w:type="dxa"/>
            <w:vMerge/>
            <w:vAlign w:val="center"/>
            <w:hideMark/>
          </w:tcPr>
          <w:p w14:paraId="4D3F6424" w14:textId="77777777" w:rsidR="00B91A01" w:rsidRPr="008B234F" w:rsidRDefault="00B91A01" w:rsidP="00CF2EDD">
            <w:pPr>
              <w:rPr>
                <w:rFonts w:ascii="Times New Roman" w:eastAsia="Times New Roman" w:hAnsi="Times New Roman" w:cs="Times New Roman"/>
                <w:color w:val="000000"/>
                <w:lang w:eastAsia="es-HN"/>
              </w:rPr>
            </w:pPr>
          </w:p>
        </w:tc>
        <w:tc>
          <w:tcPr>
            <w:tcW w:w="1106" w:type="dxa"/>
            <w:vMerge/>
            <w:vAlign w:val="center"/>
            <w:hideMark/>
          </w:tcPr>
          <w:p w14:paraId="13F19E9C" w14:textId="77777777" w:rsidR="00B91A01" w:rsidRPr="008B234F" w:rsidRDefault="00B91A01" w:rsidP="00CF2EDD">
            <w:pPr>
              <w:rPr>
                <w:rFonts w:ascii="Times New Roman" w:eastAsia="Times New Roman" w:hAnsi="Times New Roman" w:cs="Times New Roman"/>
                <w:color w:val="000000"/>
                <w:lang w:eastAsia="es-HN"/>
              </w:rPr>
            </w:pPr>
          </w:p>
        </w:tc>
        <w:tc>
          <w:tcPr>
            <w:tcW w:w="996" w:type="dxa"/>
            <w:vMerge/>
            <w:vAlign w:val="center"/>
            <w:hideMark/>
          </w:tcPr>
          <w:p w14:paraId="375E7EDE" w14:textId="77777777" w:rsidR="00B91A01" w:rsidRPr="008B234F" w:rsidRDefault="00B91A01" w:rsidP="00CF2EDD">
            <w:pPr>
              <w:rPr>
                <w:rFonts w:ascii="Times New Roman" w:eastAsia="Times New Roman" w:hAnsi="Times New Roman" w:cs="Times New Roman"/>
                <w:color w:val="000000"/>
                <w:lang w:eastAsia="es-HN"/>
              </w:rPr>
            </w:pPr>
          </w:p>
        </w:tc>
        <w:tc>
          <w:tcPr>
            <w:tcW w:w="969" w:type="dxa"/>
            <w:vMerge/>
            <w:vAlign w:val="center"/>
            <w:hideMark/>
          </w:tcPr>
          <w:p w14:paraId="3F35ED54" w14:textId="77777777" w:rsidR="00B91A01" w:rsidRPr="008B234F" w:rsidRDefault="00B91A01" w:rsidP="00CF2EDD">
            <w:pPr>
              <w:rPr>
                <w:rFonts w:ascii="Times New Roman" w:eastAsia="Times New Roman" w:hAnsi="Times New Roman" w:cs="Times New Roman"/>
                <w:color w:val="000000"/>
                <w:lang w:eastAsia="es-HN"/>
              </w:rPr>
            </w:pPr>
          </w:p>
        </w:tc>
      </w:tr>
      <w:tr w:rsidR="00B91A01" w:rsidRPr="008B234F" w14:paraId="65E92B83" w14:textId="77777777" w:rsidTr="00B91A01">
        <w:trPr>
          <w:trHeight w:val="920"/>
        </w:trPr>
        <w:tc>
          <w:tcPr>
            <w:tcW w:w="1521" w:type="dxa"/>
            <w:vMerge/>
            <w:vAlign w:val="center"/>
            <w:hideMark/>
          </w:tcPr>
          <w:p w14:paraId="7F8D0B1D" w14:textId="77777777" w:rsidR="00B91A01" w:rsidRPr="008B234F" w:rsidRDefault="00B91A01" w:rsidP="00B91A01">
            <w:pPr>
              <w:jc w:val="center"/>
              <w:rPr>
                <w:rFonts w:ascii="Times New Roman" w:eastAsia="Times New Roman" w:hAnsi="Times New Roman" w:cs="Times New Roman"/>
                <w:color w:val="000000"/>
                <w:lang w:eastAsia="es-HN"/>
              </w:rPr>
            </w:pPr>
          </w:p>
        </w:tc>
        <w:tc>
          <w:tcPr>
            <w:tcW w:w="1939" w:type="dxa"/>
            <w:vMerge/>
            <w:vAlign w:val="center"/>
            <w:hideMark/>
          </w:tcPr>
          <w:p w14:paraId="60F051F7" w14:textId="77777777" w:rsidR="00B91A01" w:rsidRPr="00F03EE8" w:rsidRDefault="00B91A01" w:rsidP="00CF2EDD">
            <w:pPr>
              <w:rPr>
                <w:rFonts w:ascii="Times New Roman" w:eastAsia="Times New Roman" w:hAnsi="Times New Roman" w:cs="Times New Roman"/>
                <w:color w:val="000000"/>
                <w:sz w:val="24"/>
                <w:szCs w:val="24"/>
                <w:lang w:eastAsia="es-HN"/>
              </w:rPr>
            </w:pPr>
          </w:p>
        </w:tc>
        <w:tc>
          <w:tcPr>
            <w:tcW w:w="1701" w:type="dxa"/>
            <w:vMerge/>
            <w:vAlign w:val="center"/>
            <w:hideMark/>
          </w:tcPr>
          <w:p w14:paraId="7E856970" w14:textId="77777777" w:rsidR="00B91A01" w:rsidRPr="008B234F" w:rsidRDefault="00B91A01" w:rsidP="00CF2EDD">
            <w:pPr>
              <w:rPr>
                <w:rFonts w:ascii="Times New Roman" w:eastAsia="Times New Roman" w:hAnsi="Times New Roman" w:cs="Times New Roman"/>
                <w:color w:val="000000"/>
                <w:lang w:eastAsia="es-HN"/>
              </w:rPr>
            </w:pPr>
          </w:p>
        </w:tc>
        <w:tc>
          <w:tcPr>
            <w:tcW w:w="1777" w:type="dxa"/>
            <w:vMerge/>
            <w:vAlign w:val="center"/>
            <w:hideMark/>
          </w:tcPr>
          <w:p w14:paraId="5F2ADF6D" w14:textId="77777777" w:rsidR="00B91A01" w:rsidRPr="008B234F" w:rsidRDefault="00B91A01" w:rsidP="00CF2EDD">
            <w:pPr>
              <w:rPr>
                <w:rFonts w:ascii="Times New Roman" w:eastAsia="Times New Roman" w:hAnsi="Times New Roman" w:cs="Times New Roman"/>
                <w:color w:val="000000"/>
                <w:lang w:eastAsia="es-HN"/>
              </w:rPr>
            </w:pPr>
          </w:p>
        </w:tc>
        <w:tc>
          <w:tcPr>
            <w:tcW w:w="1949" w:type="dxa"/>
            <w:shd w:val="clear" w:color="auto" w:fill="auto"/>
            <w:vAlign w:val="center"/>
            <w:hideMark/>
          </w:tcPr>
          <w:p w14:paraId="0ACA4E9D" w14:textId="77777777" w:rsidR="00B91A01" w:rsidRPr="008B234F" w:rsidRDefault="00B91A01" w:rsidP="00CF2EDD">
            <w:pPr>
              <w:rPr>
                <w:rFonts w:ascii="Times New Roman" w:eastAsia="Times New Roman" w:hAnsi="Times New Roman" w:cs="Times New Roman"/>
                <w:color w:val="000000"/>
                <w:lang w:eastAsia="es-HN"/>
              </w:rPr>
            </w:pPr>
            <w:r w:rsidRPr="008B234F">
              <w:rPr>
                <w:rFonts w:ascii="Times New Roman" w:eastAsia="Times New Roman" w:hAnsi="Times New Roman" w:cs="Times New Roman"/>
                <w:color w:val="000000"/>
                <w:lang w:eastAsia="es-HN"/>
              </w:rPr>
              <w:t xml:space="preserve">Margen de Utilidad = Utilidad Neta / Ventas </w:t>
            </w:r>
          </w:p>
        </w:tc>
        <w:tc>
          <w:tcPr>
            <w:tcW w:w="1992" w:type="dxa"/>
            <w:vMerge/>
            <w:vAlign w:val="center"/>
            <w:hideMark/>
          </w:tcPr>
          <w:p w14:paraId="0E3693BC" w14:textId="77777777" w:rsidR="00B91A01" w:rsidRPr="008B234F" w:rsidRDefault="00B91A01" w:rsidP="00CF2EDD">
            <w:pPr>
              <w:rPr>
                <w:rFonts w:ascii="Times New Roman" w:eastAsia="Times New Roman" w:hAnsi="Times New Roman" w:cs="Times New Roman"/>
                <w:color w:val="000000"/>
                <w:lang w:eastAsia="es-HN"/>
              </w:rPr>
            </w:pPr>
          </w:p>
        </w:tc>
        <w:tc>
          <w:tcPr>
            <w:tcW w:w="1106" w:type="dxa"/>
            <w:vMerge/>
            <w:vAlign w:val="center"/>
            <w:hideMark/>
          </w:tcPr>
          <w:p w14:paraId="5ECE5DB3" w14:textId="77777777" w:rsidR="00B91A01" w:rsidRPr="008B234F" w:rsidRDefault="00B91A01" w:rsidP="00CF2EDD">
            <w:pPr>
              <w:rPr>
                <w:rFonts w:ascii="Times New Roman" w:eastAsia="Times New Roman" w:hAnsi="Times New Roman" w:cs="Times New Roman"/>
                <w:color w:val="000000"/>
                <w:lang w:eastAsia="es-HN"/>
              </w:rPr>
            </w:pPr>
          </w:p>
        </w:tc>
        <w:tc>
          <w:tcPr>
            <w:tcW w:w="996" w:type="dxa"/>
            <w:vMerge/>
            <w:vAlign w:val="center"/>
            <w:hideMark/>
          </w:tcPr>
          <w:p w14:paraId="2DED8407" w14:textId="77777777" w:rsidR="00B91A01" w:rsidRPr="008B234F" w:rsidRDefault="00B91A01" w:rsidP="00CF2EDD">
            <w:pPr>
              <w:rPr>
                <w:rFonts w:ascii="Times New Roman" w:eastAsia="Times New Roman" w:hAnsi="Times New Roman" w:cs="Times New Roman"/>
                <w:color w:val="000000"/>
                <w:lang w:eastAsia="es-HN"/>
              </w:rPr>
            </w:pPr>
          </w:p>
        </w:tc>
        <w:tc>
          <w:tcPr>
            <w:tcW w:w="969" w:type="dxa"/>
            <w:vMerge/>
            <w:vAlign w:val="center"/>
            <w:hideMark/>
          </w:tcPr>
          <w:p w14:paraId="0BEEDEE2" w14:textId="77777777" w:rsidR="00B91A01" w:rsidRPr="008B234F" w:rsidRDefault="00B91A01" w:rsidP="00CF2EDD">
            <w:pPr>
              <w:rPr>
                <w:rFonts w:ascii="Times New Roman" w:eastAsia="Times New Roman" w:hAnsi="Times New Roman" w:cs="Times New Roman"/>
                <w:color w:val="000000"/>
                <w:lang w:eastAsia="es-HN"/>
              </w:rPr>
            </w:pPr>
          </w:p>
        </w:tc>
      </w:tr>
      <w:tr w:rsidR="005736BB" w:rsidRPr="008B234F" w14:paraId="2DA7584B" w14:textId="77777777" w:rsidTr="00CF2EDD">
        <w:trPr>
          <w:trHeight w:val="2650"/>
        </w:trPr>
        <w:tc>
          <w:tcPr>
            <w:tcW w:w="1521" w:type="dxa"/>
            <w:vMerge w:val="restart"/>
            <w:shd w:val="clear" w:color="auto" w:fill="auto"/>
            <w:vAlign w:val="center"/>
            <w:hideMark/>
          </w:tcPr>
          <w:p w14:paraId="3D372F42" w14:textId="77777777" w:rsidR="005736BB" w:rsidRPr="008B234F" w:rsidRDefault="005736BB" w:rsidP="00B91A01">
            <w:pPr>
              <w:jc w:val="center"/>
              <w:rPr>
                <w:rFonts w:ascii="Times New Roman" w:eastAsia="Times New Roman" w:hAnsi="Times New Roman" w:cs="Times New Roman"/>
                <w:color w:val="000000"/>
                <w:lang w:eastAsia="es-HN"/>
              </w:rPr>
            </w:pPr>
            <w:r w:rsidRPr="008B234F">
              <w:rPr>
                <w:rFonts w:ascii="Times New Roman" w:eastAsia="Times New Roman" w:hAnsi="Times New Roman" w:cs="Times New Roman"/>
                <w:color w:val="000000"/>
                <w:lang w:eastAsia="es-HN"/>
              </w:rPr>
              <w:t>Liquidez</w:t>
            </w:r>
          </w:p>
        </w:tc>
        <w:tc>
          <w:tcPr>
            <w:tcW w:w="1939" w:type="dxa"/>
            <w:vMerge w:val="restart"/>
            <w:shd w:val="clear" w:color="auto" w:fill="auto"/>
            <w:vAlign w:val="center"/>
            <w:hideMark/>
          </w:tcPr>
          <w:p w14:paraId="091CDBAF" w14:textId="27D687F3" w:rsidR="005736BB" w:rsidRPr="00F03EE8" w:rsidRDefault="00F03EE8" w:rsidP="00CF2EDD">
            <w:pPr>
              <w:rPr>
                <w:rFonts w:ascii="Times New Roman" w:eastAsia="Times New Roman" w:hAnsi="Times New Roman" w:cs="Times New Roman"/>
                <w:color w:val="000000"/>
                <w:sz w:val="24"/>
                <w:szCs w:val="24"/>
                <w:lang w:eastAsia="es-HN"/>
              </w:rPr>
            </w:pPr>
            <w:r w:rsidRPr="00F03EE8">
              <w:rPr>
                <w:rFonts w:ascii="Times New Roman" w:hAnsi="Times New Roman" w:cs="Times New Roman"/>
                <w:sz w:val="24"/>
                <w:szCs w:val="24"/>
              </w:rPr>
              <w:t xml:space="preserve">La liquidez mide qué tan rápido y fácil es convertir el bien o servicio de una cuenta en efectivo (teniendo en cuenta que el efectivo es el activo más líquido </w:t>
            </w:r>
            <w:r w:rsidRPr="00F03EE8">
              <w:rPr>
                <w:rFonts w:ascii="Times New Roman" w:hAnsi="Times New Roman" w:cs="Times New Roman"/>
                <w:sz w:val="24"/>
                <w:szCs w:val="24"/>
              </w:rPr>
              <w:lastRenderedPageBreak/>
              <w:t>que existe)</w:t>
            </w:r>
            <w:r>
              <w:rPr>
                <w:rFonts w:ascii="Times New Roman" w:hAnsi="Times New Roman" w:cs="Times New Roman"/>
                <w:sz w:val="24"/>
                <w:szCs w:val="24"/>
              </w:rPr>
              <w:t xml:space="preserve"> </w:t>
            </w:r>
            <w:r w:rsidRPr="00F03EE8">
              <w:rPr>
                <w:rFonts w:ascii="Times New Roman" w:hAnsi="Times New Roman" w:cs="Times New Roman"/>
                <w:sz w:val="24"/>
                <w:szCs w:val="24"/>
              </w:rPr>
              <w:fldChar w:fldCharType="begin"/>
            </w:r>
            <w:r w:rsidR="00C52841">
              <w:rPr>
                <w:rFonts w:ascii="Times New Roman" w:hAnsi="Times New Roman" w:cs="Times New Roman"/>
                <w:sz w:val="24"/>
                <w:szCs w:val="24"/>
              </w:rPr>
              <w:instrText xml:space="preserve"> ADDIN ZOTERO_ITEM CSL_CITATION {"citationID":"VAY3eYEW","properties":{"formattedCitation":"(Nobles &amp; Mattison, 2016, p. 234)","plainCitation":"(Nobles &amp; Mattison, 2016, p. 234)","noteIndex":0},"citationItems":[{"id":"mhK3fgOx/2Vz1Tfq9","uris":["http://zotero.org/users/local/rewjbDUP/items/MVYDJ26I"],"itemData":{"id":38,"type":"book","edition":"10","event-place":"Colombia","ISBN":"978-958-699-305-0","language":"Español","publisher":"Pearson Educación","publisher-place":"Colombia","title":"Contabilidad de Horngren","author":[{"family":"Nobles","given":"Tracie"},{"family":"Mattison","given":"Brenda"}],"issued":{"date-parts":[["2016"]]}},"locator":"234","label":"page"}],"schema":"https://github.com/citation-style-language/schema/raw/master/csl-citation.json"} </w:instrText>
            </w:r>
            <w:r w:rsidRPr="00F03EE8">
              <w:rPr>
                <w:rFonts w:ascii="Times New Roman" w:hAnsi="Times New Roman" w:cs="Times New Roman"/>
                <w:sz w:val="24"/>
                <w:szCs w:val="24"/>
              </w:rPr>
              <w:fldChar w:fldCharType="separate"/>
            </w:r>
            <w:r w:rsidRPr="00F03EE8">
              <w:rPr>
                <w:rFonts w:ascii="Times New Roman" w:hAnsi="Times New Roman" w:cs="Times New Roman"/>
                <w:sz w:val="24"/>
                <w:szCs w:val="24"/>
              </w:rPr>
              <w:t xml:space="preserve">(Nobles &amp; </w:t>
            </w:r>
            <w:proofErr w:type="spellStart"/>
            <w:r w:rsidRPr="00F03EE8">
              <w:rPr>
                <w:rFonts w:ascii="Times New Roman" w:hAnsi="Times New Roman" w:cs="Times New Roman"/>
                <w:sz w:val="24"/>
                <w:szCs w:val="24"/>
              </w:rPr>
              <w:t>Mattison</w:t>
            </w:r>
            <w:proofErr w:type="spellEnd"/>
            <w:r w:rsidRPr="00F03EE8">
              <w:rPr>
                <w:rFonts w:ascii="Times New Roman" w:hAnsi="Times New Roman" w:cs="Times New Roman"/>
                <w:sz w:val="24"/>
                <w:szCs w:val="24"/>
              </w:rPr>
              <w:t>, 2016, p. 234)</w:t>
            </w:r>
            <w:r w:rsidRPr="00F03EE8">
              <w:rPr>
                <w:rFonts w:ascii="Times New Roman" w:hAnsi="Times New Roman" w:cs="Times New Roman"/>
                <w:sz w:val="24"/>
                <w:szCs w:val="24"/>
              </w:rPr>
              <w:fldChar w:fldCharType="end"/>
            </w:r>
            <w:r w:rsidRPr="00F03EE8">
              <w:rPr>
                <w:rFonts w:ascii="Times New Roman" w:hAnsi="Times New Roman" w:cs="Times New Roman"/>
                <w:sz w:val="24"/>
                <w:szCs w:val="24"/>
              </w:rPr>
              <w:t>.</w:t>
            </w:r>
          </w:p>
        </w:tc>
        <w:tc>
          <w:tcPr>
            <w:tcW w:w="1701" w:type="dxa"/>
            <w:vMerge w:val="restart"/>
            <w:shd w:val="clear" w:color="auto" w:fill="auto"/>
            <w:vAlign w:val="center"/>
            <w:hideMark/>
          </w:tcPr>
          <w:p w14:paraId="332480D9" w14:textId="77777777" w:rsidR="005736BB" w:rsidRPr="008B234F" w:rsidRDefault="005736BB" w:rsidP="00CF2EDD">
            <w:pPr>
              <w:rPr>
                <w:rFonts w:ascii="Times New Roman" w:eastAsia="Times New Roman" w:hAnsi="Times New Roman" w:cs="Times New Roman"/>
                <w:color w:val="000000"/>
                <w:lang w:eastAsia="es-HN"/>
              </w:rPr>
            </w:pPr>
            <w:r w:rsidRPr="008B234F">
              <w:rPr>
                <w:rFonts w:ascii="Times New Roman" w:eastAsia="Times New Roman" w:hAnsi="Times New Roman" w:cs="Times New Roman"/>
                <w:color w:val="000000"/>
                <w:lang w:eastAsia="es-HN"/>
              </w:rPr>
              <w:lastRenderedPageBreak/>
              <w:t xml:space="preserve">La liquidez se refiere a la capacidad de una entidad, ya sea una empresa o un individuo, para convertir sus activos en efectivo o en equivalentes de </w:t>
            </w:r>
            <w:r w:rsidRPr="008B234F">
              <w:rPr>
                <w:rFonts w:ascii="Times New Roman" w:eastAsia="Times New Roman" w:hAnsi="Times New Roman" w:cs="Times New Roman"/>
                <w:color w:val="000000"/>
                <w:lang w:eastAsia="es-HN"/>
              </w:rPr>
              <w:lastRenderedPageBreak/>
              <w:t>efectivo de manera rápida y sin pérdida significativa de valor.</w:t>
            </w:r>
          </w:p>
        </w:tc>
        <w:tc>
          <w:tcPr>
            <w:tcW w:w="1777" w:type="dxa"/>
            <w:vMerge w:val="restart"/>
            <w:shd w:val="clear" w:color="auto" w:fill="auto"/>
            <w:vAlign w:val="center"/>
            <w:hideMark/>
          </w:tcPr>
          <w:p w14:paraId="1A6FC81F" w14:textId="77777777" w:rsidR="005736BB" w:rsidRPr="008B234F" w:rsidRDefault="005736BB" w:rsidP="00CF2EDD">
            <w:pPr>
              <w:jc w:val="center"/>
              <w:rPr>
                <w:rFonts w:ascii="Times New Roman" w:eastAsia="Times New Roman" w:hAnsi="Times New Roman" w:cs="Times New Roman"/>
                <w:color w:val="000000"/>
                <w:lang w:eastAsia="es-HN"/>
              </w:rPr>
            </w:pPr>
            <w:r w:rsidRPr="008B234F">
              <w:rPr>
                <w:rFonts w:ascii="Times New Roman" w:eastAsia="Times New Roman" w:hAnsi="Times New Roman" w:cs="Times New Roman"/>
                <w:color w:val="000000"/>
                <w:lang w:eastAsia="es-HN"/>
              </w:rPr>
              <w:lastRenderedPageBreak/>
              <w:t>Disponibilidad Inmediata</w:t>
            </w:r>
          </w:p>
        </w:tc>
        <w:tc>
          <w:tcPr>
            <w:tcW w:w="1949" w:type="dxa"/>
            <w:shd w:val="clear" w:color="auto" w:fill="auto"/>
            <w:vAlign w:val="center"/>
            <w:hideMark/>
          </w:tcPr>
          <w:p w14:paraId="4D5D0515" w14:textId="77777777" w:rsidR="005736BB" w:rsidRPr="008B234F" w:rsidRDefault="005736BB" w:rsidP="00CF2EDD">
            <w:pPr>
              <w:rPr>
                <w:rFonts w:ascii="Times New Roman" w:eastAsia="Times New Roman" w:hAnsi="Times New Roman" w:cs="Times New Roman"/>
                <w:color w:val="000000"/>
                <w:lang w:eastAsia="es-HN"/>
              </w:rPr>
            </w:pPr>
            <w:r w:rsidRPr="008B234F">
              <w:rPr>
                <w:rFonts w:ascii="Times New Roman" w:eastAsia="Times New Roman" w:hAnsi="Times New Roman" w:cs="Times New Roman"/>
                <w:color w:val="000000"/>
                <w:lang w:eastAsia="es-HN"/>
              </w:rPr>
              <w:t xml:space="preserve">Ratio de </w:t>
            </w:r>
            <w:r>
              <w:rPr>
                <w:rFonts w:ascii="Times New Roman" w:eastAsia="Times New Roman" w:hAnsi="Times New Roman" w:cs="Times New Roman"/>
                <w:color w:val="000000"/>
                <w:lang w:eastAsia="es-HN"/>
              </w:rPr>
              <w:t>L</w:t>
            </w:r>
            <w:r w:rsidRPr="008B234F">
              <w:rPr>
                <w:rFonts w:ascii="Times New Roman" w:eastAsia="Times New Roman" w:hAnsi="Times New Roman" w:cs="Times New Roman"/>
                <w:color w:val="000000"/>
                <w:lang w:eastAsia="es-HN"/>
              </w:rPr>
              <w:t>iquidez = Activo Corriente / Pasivo Corriente</w:t>
            </w:r>
          </w:p>
        </w:tc>
        <w:tc>
          <w:tcPr>
            <w:tcW w:w="1992" w:type="dxa"/>
            <w:vMerge w:val="restart"/>
            <w:shd w:val="clear" w:color="auto" w:fill="auto"/>
            <w:vAlign w:val="center"/>
            <w:hideMark/>
          </w:tcPr>
          <w:p w14:paraId="0498DCD6" w14:textId="77777777" w:rsidR="005736BB" w:rsidRPr="008B234F" w:rsidRDefault="005736BB" w:rsidP="00CF2EDD">
            <w:pPr>
              <w:jc w:val="center"/>
              <w:rPr>
                <w:rFonts w:ascii="Times New Roman" w:eastAsia="Times New Roman" w:hAnsi="Times New Roman" w:cs="Times New Roman"/>
                <w:color w:val="000000"/>
                <w:lang w:eastAsia="es-HN"/>
              </w:rPr>
            </w:pPr>
            <w:r w:rsidRPr="008B234F">
              <w:rPr>
                <w:rFonts w:ascii="Times New Roman" w:eastAsia="Times New Roman" w:hAnsi="Times New Roman" w:cs="Times New Roman"/>
                <w:color w:val="000000"/>
                <w:lang w:eastAsia="es-HN"/>
              </w:rPr>
              <w:t>N/A</w:t>
            </w:r>
          </w:p>
        </w:tc>
        <w:tc>
          <w:tcPr>
            <w:tcW w:w="1106" w:type="dxa"/>
            <w:vMerge w:val="restart"/>
            <w:shd w:val="clear" w:color="auto" w:fill="auto"/>
            <w:vAlign w:val="center"/>
            <w:hideMark/>
          </w:tcPr>
          <w:p w14:paraId="775CA7EC" w14:textId="77777777" w:rsidR="005736BB" w:rsidRPr="008B234F" w:rsidRDefault="005736BB" w:rsidP="00CF2EDD">
            <w:pPr>
              <w:rPr>
                <w:rFonts w:ascii="Times New Roman" w:eastAsia="Times New Roman" w:hAnsi="Times New Roman" w:cs="Times New Roman"/>
                <w:color w:val="000000"/>
                <w:lang w:eastAsia="es-HN"/>
              </w:rPr>
            </w:pPr>
            <w:r w:rsidRPr="008B234F">
              <w:rPr>
                <w:rFonts w:ascii="Times New Roman" w:eastAsia="Times New Roman" w:hAnsi="Times New Roman" w:cs="Times New Roman"/>
                <w:color w:val="000000"/>
                <w:lang w:eastAsia="es-HN"/>
              </w:rPr>
              <w:t>Revisión de Data Histórica (Análisis de Bases de Datos)</w:t>
            </w:r>
          </w:p>
        </w:tc>
        <w:tc>
          <w:tcPr>
            <w:tcW w:w="996" w:type="dxa"/>
            <w:vMerge w:val="restart"/>
            <w:shd w:val="clear" w:color="auto" w:fill="auto"/>
            <w:vAlign w:val="center"/>
            <w:hideMark/>
          </w:tcPr>
          <w:p w14:paraId="38A3130E" w14:textId="77777777" w:rsidR="005736BB" w:rsidRPr="008B234F" w:rsidRDefault="005736BB" w:rsidP="00CF2EDD">
            <w:pPr>
              <w:jc w:val="center"/>
              <w:rPr>
                <w:rFonts w:ascii="Times New Roman" w:eastAsia="Times New Roman" w:hAnsi="Times New Roman" w:cs="Times New Roman"/>
                <w:color w:val="000000"/>
                <w:lang w:eastAsia="es-HN"/>
              </w:rPr>
            </w:pPr>
            <w:r w:rsidRPr="008B234F">
              <w:rPr>
                <w:rFonts w:ascii="Times New Roman" w:eastAsia="Times New Roman" w:hAnsi="Times New Roman" w:cs="Times New Roman"/>
                <w:color w:val="000000"/>
                <w:lang w:eastAsia="es-HN"/>
              </w:rPr>
              <w:t>N/A</w:t>
            </w:r>
          </w:p>
        </w:tc>
        <w:tc>
          <w:tcPr>
            <w:tcW w:w="969" w:type="dxa"/>
            <w:vMerge w:val="restart"/>
            <w:shd w:val="clear" w:color="auto" w:fill="auto"/>
            <w:vAlign w:val="center"/>
            <w:hideMark/>
          </w:tcPr>
          <w:p w14:paraId="631EBF8C" w14:textId="77777777" w:rsidR="005736BB" w:rsidRPr="008B234F" w:rsidRDefault="005736BB" w:rsidP="00CF2EDD">
            <w:pPr>
              <w:jc w:val="center"/>
              <w:rPr>
                <w:rFonts w:ascii="Times New Roman" w:eastAsia="Times New Roman" w:hAnsi="Times New Roman" w:cs="Times New Roman"/>
                <w:color w:val="000000"/>
                <w:lang w:eastAsia="es-HN"/>
              </w:rPr>
            </w:pPr>
            <w:r w:rsidRPr="008B234F">
              <w:rPr>
                <w:rFonts w:ascii="Times New Roman" w:eastAsia="Times New Roman" w:hAnsi="Times New Roman" w:cs="Times New Roman"/>
                <w:color w:val="000000"/>
                <w:lang w:eastAsia="es-HN"/>
              </w:rPr>
              <w:t>NA</w:t>
            </w:r>
          </w:p>
        </w:tc>
      </w:tr>
      <w:tr w:rsidR="00B91A01" w:rsidRPr="008B234F" w14:paraId="45FFAE94" w14:textId="77777777" w:rsidTr="00B91A01">
        <w:trPr>
          <w:trHeight w:val="1320"/>
        </w:trPr>
        <w:tc>
          <w:tcPr>
            <w:tcW w:w="1521" w:type="dxa"/>
            <w:vMerge/>
            <w:vAlign w:val="center"/>
            <w:hideMark/>
          </w:tcPr>
          <w:p w14:paraId="6740E63B" w14:textId="77777777" w:rsidR="00B91A01" w:rsidRPr="008B234F" w:rsidRDefault="00B91A01" w:rsidP="00B91A01">
            <w:pPr>
              <w:jc w:val="center"/>
              <w:rPr>
                <w:rFonts w:ascii="Times New Roman" w:eastAsia="Times New Roman" w:hAnsi="Times New Roman" w:cs="Times New Roman"/>
                <w:color w:val="000000"/>
                <w:lang w:eastAsia="es-HN"/>
              </w:rPr>
            </w:pPr>
          </w:p>
        </w:tc>
        <w:tc>
          <w:tcPr>
            <w:tcW w:w="1939" w:type="dxa"/>
            <w:vMerge/>
            <w:vAlign w:val="center"/>
            <w:hideMark/>
          </w:tcPr>
          <w:p w14:paraId="3FCD5D3F" w14:textId="77777777" w:rsidR="00B91A01" w:rsidRPr="008B234F" w:rsidRDefault="00B91A01" w:rsidP="00CF2EDD">
            <w:pPr>
              <w:rPr>
                <w:rFonts w:ascii="Times New Roman" w:eastAsia="Times New Roman" w:hAnsi="Times New Roman" w:cs="Times New Roman"/>
                <w:color w:val="000000"/>
                <w:lang w:eastAsia="es-HN"/>
              </w:rPr>
            </w:pPr>
          </w:p>
        </w:tc>
        <w:tc>
          <w:tcPr>
            <w:tcW w:w="1701" w:type="dxa"/>
            <w:vMerge/>
            <w:vAlign w:val="center"/>
            <w:hideMark/>
          </w:tcPr>
          <w:p w14:paraId="447EFE5F" w14:textId="77777777" w:rsidR="00B91A01" w:rsidRPr="008B234F" w:rsidRDefault="00B91A01" w:rsidP="00CF2EDD">
            <w:pPr>
              <w:rPr>
                <w:rFonts w:ascii="Times New Roman" w:eastAsia="Times New Roman" w:hAnsi="Times New Roman" w:cs="Times New Roman"/>
                <w:color w:val="000000"/>
                <w:lang w:eastAsia="es-HN"/>
              </w:rPr>
            </w:pPr>
          </w:p>
        </w:tc>
        <w:tc>
          <w:tcPr>
            <w:tcW w:w="1777" w:type="dxa"/>
            <w:vMerge/>
            <w:vAlign w:val="center"/>
            <w:hideMark/>
          </w:tcPr>
          <w:p w14:paraId="56F15D19" w14:textId="77777777" w:rsidR="00B91A01" w:rsidRPr="008B234F" w:rsidRDefault="00B91A01" w:rsidP="00CF2EDD">
            <w:pPr>
              <w:rPr>
                <w:rFonts w:ascii="Times New Roman" w:eastAsia="Times New Roman" w:hAnsi="Times New Roman" w:cs="Times New Roman"/>
                <w:color w:val="000000"/>
                <w:lang w:eastAsia="es-HN"/>
              </w:rPr>
            </w:pPr>
          </w:p>
        </w:tc>
        <w:tc>
          <w:tcPr>
            <w:tcW w:w="1949" w:type="dxa"/>
            <w:shd w:val="clear" w:color="auto" w:fill="auto"/>
            <w:vAlign w:val="center"/>
            <w:hideMark/>
          </w:tcPr>
          <w:p w14:paraId="048D7914" w14:textId="77777777" w:rsidR="00B91A01" w:rsidRPr="008B234F" w:rsidRDefault="00B91A01" w:rsidP="00CF2EDD">
            <w:pPr>
              <w:rPr>
                <w:rFonts w:ascii="Times New Roman" w:eastAsia="Times New Roman" w:hAnsi="Times New Roman" w:cs="Times New Roman"/>
                <w:color w:val="000000"/>
                <w:lang w:eastAsia="es-HN"/>
              </w:rPr>
            </w:pPr>
            <w:r w:rsidRPr="008B234F">
              <w:rPr>
                <w:rFonts w:ascii="Times New Roman" w:eastAsia="Times New Roman" w:hAnsi="Times New Roman" w:cs="Times New Roman"/>
                <w:color w:val="000000"/>
                <w:lang w:eastAsia="es-HN"/>
              </w:rPr>
              <w:t xml:space="preserve">Prueba </w:t>
            </w:r>
            <w:r>
              <w:rPr>
                <w:rFonts w:ascii="Times New Roman" w:eastAsia="Times New Roman" w:hAnsi="Times New Roman" w:cs="Times New Roman"/>
                <w:color w:val="000000"/>
                <w:lang w:eastAsia="es-HN"/>
              </w:rPr>
              <w:t>D</w:t>
            </w:r>
            <w:r w:rsidRPr="008B234F">
              <w:rPr>
                <w:rFonts w:ascii="Times New Roman" w:eastAsia="Times New Roman" w:hAnsi="Times New Roman" w:cs="Times New Roman"/>
                <w:color w:val="000000"/>
                <w:lang w:eastAsia="es-HN"/>
              </w:rPr>
              <w:t>efensiva = (Caja y Bancos / Pasivo Corriente) *100</w:t>
            </w:r>
          </w:p>
        </w:tc>
        <w:tc>
          <w:tcPr>
            <w:tcW w:w="1992" w:type="dxa"/>
            <w:vMerge/>
            <w:vAlign w:val="center"/>
            <w:hideMark/>
          </w:tcPr>
          <w:p w14:paraId="426AA472" w14:textId="77777777" w:rsidR="00B91A01" w:rsidRPr="008B234F" w:rsidRDefault="00B91A01" w:rsidP="00CF2EDD">
            <w:pPr>
              <w:rPr>
                <w:rFonts w:ascii="Times New Roman" w:eastAsia="Times New Roman" w:hAnsi="Times New Roman" w:cs="Times New Roman"/>
                <w:color w:val="000000"/>
                <w:lang w:eastAsia="es-HN"/>
              </w:rPr>
            </w:pPr>
          </w:p>
        </w:tc>
        <w:tc>
          <w:tcPr>
            <w:tcW w:w="1106" w:type="dxa"/>
            <w:vMerge/>
            <w:vAlign w:val="center"/>
            <w:hideMark/>
          </w:tcPr>
          <w:p w14:paraId="10337B64" w14:textId="77777777" w:rsidR="00B91A01" w:rsidRPr="008B234F" w:rsidRDefault="00B91A01" w:rsidP="00CF2EDD">
            <w:pPr>
              <w:rPr>
                <w:rFonts w:ascii="Times New Roman" w:eastAsia="Times New Roman" w:hAnsi="Times New Roman" w:cs="Times New Roman"/>
                <w:color w:val="000000"/>
                <w:lang w:eastAsia="es-HN"/>
              </w:rPr>
            </w:pPr>
          </w:p>
        </w:tc>
        <w:tc>
          <w:tcPr>
            <w:tcW w:w="996" w:type="dxa"/>
            <w:vMerge/>
            <w:vAlign w:val="center"/>
            <w:hideMark/>
          </w:tcPr>
          <w:p w14:paraId="221153DE" w14:textId="77777777" w:rsidR="00B91A01" w:rsidRPr="008B234F" w:rsidRDefault="00B91A01" w:rsidP="00CF2EDD">
            <w:pPr>
              <w:rPr>
                <w:rFonts w:ascii="Times New Roman" w:eastAsia="Times New Roman" w:hAnsi="Times New Roman" w:cs="Times New Roman"/>
                <w:color w:val="000000"/>
                <w:lang w:eastAsia="es-HN"/>
              </w:rPr>
            </w:pPr>
          </w:p>
        </w:tc>
        <w:tc>
          <w:tcPr>
            <w:tcW w:w="969" w:type="dxa"/>
            <w:vMerge/>
            <w:vAlign w:val="center"/>
            <w:hideMark/>
          </w:tcPr>
          <w:p w14:paraId="0DCB2965" w14:textId="77777777" w:rsidR="00B91A01" w:rsidRPr="008B234F" w:rsidRDefault="00B91A01" w:rsidP="00CF2EDD">
            <w:pPr>
              <w:rPr>
                <w:rFonts w:ascii="Times New Roman" w:eastAsia="Times New Roman" w:hAnsi="Times New Roman" w:cs="Times New Roman"/>
                <w:color w:val="000000"/>
                <w:lang w:eastAsia="es-HN"/>
              </w:rPr>
            </w:pPr>
          </w:p>
        </w:tc>
      </w:tr>
      <w:tr w:rsidR="00B91A01" w:rsidRPr="008B234F" w14:paraId="4116245D" w14:textId="77777777" w:rsidTr="00B91A01">
        <w:trPr>
          <w:trHeight w:val="1320"/>
        </w:trPr>
        <w:tc>
          <w:tcPr>
            <w:tcW w:w="1521" w:type="dxa"/>
            <w:vMerge/>
            <w:vAlign w:val="center"/>
            <w:hideMark/>
          </w:tcPr>
          <w:p w14:paraId="7CD94804" w14:textId="77777777" w:rsidR="00B91A01" w:rsidRPr="008B234F" w:rsidRDefault="00B91A01" w:rsidP="00B91A01">
            <w:pPr>
              <w:jc w:val="center"/>
              <w:rPr>
                <w:rFonts w:ascii="Times New Roman" w:eastAsia="Times New Roman" w:hAnsi="Times New Roman" w:cs="Times New Roman"/>
                <w:color w:val="000000"/>
                <w:lang w:eastAsia="es-HN"/>
              </w:rPr>
            </w:pPr>
          </w:p>
        </w:tc>
        <w:tc>
          <w:tcPr>
            <w:tcW w:w="1939" w:type="dxa"/>
            <w:vMerge/>
            <w:vAlign w:val="center"/>
            <w:hideMark/>
          </w:tcPr>
          <w:p w14:paraId="36ACC301" w14:textId="77777777" w:rsidR="00B91A01" w:rsidRPr="008B234F" w:rsidRDefault="00B91A01" w:rsidP="00CF2EDD">
            <w:pPr>
              <w:rPr>
                <w:rFonts w:ascii="Times New Roman" w:eastAsia="Times New Roman" w:hAnsi="Times New Roman" w:cs="Times New Roman"/>
                <w:color w:val="000000"/>
                <w:lang w:eastAsia="es-HN"/>
              </w:rPr>
            </w:pPr>
          </w:p>
        </w:tc>
        <w:tc>
          <w:tcPr>
            <w:tcW w:w="1701" w:type="dxa"/>
            <w:vMerge/>
            <w:vAlign w:val="center"/>
            <w:hideMark/>
          </w:tcPr>
          <w:p w14:paraId="1CC1D974" w14:textId="77777777" w:rsidR="00B91A01" w:rsidRPr="008B234F" w:rsidRDefault="00B91A01" w:rsidP="00CF2EDD">
            <w:pPr>
              <w:rPr>
                <w:rFonts w:ascii="Times New Roman" w:eastAsia="Times New Roman" w:hAnsi="Times New Roman" w:cs="Times New Roman"/>
                <w:color w:val="000000"/>
                <w:lang w:eastAsia="es-HN"/>
              </w:rPr>
            </w:pPr>
          </w:p>
        </w:tc>
        <w:tc>
          <w:tcPr>
            <w:tcW w:w="1777" w:type="dxa"/>
            <w:vMerge/>
            <w:vAlign w:val="center"/>
            <w:hideMark/>
          </w:tcPr>
          <w:p w14:paraId="53BFF3AF" w14:textId="77777777" w:rsidR="00B91A01" w:rsidRPr="008B234F" w:rsidRDefault="00B91A01" w:rsidP="00CF2EDD">
            <w:pPr>
              <w:rPr>
                <w:rFonts w:ascii="Times New Roman" w:eastAsia="Times New Roman" w:hAnsi="Times New Roman" w:cs="Times New Roman"/>
                <w:color w:val="000000"/>
                <w:lang w:eastAsia="es-HN"/>
              </w:rPr>
            </w:pPr>
          </w:p>
        </w:tc>
        <w:tc>
          <w:tcPr>
            <w:tcW w:w="1949" w:type="dxa"/>
            <w:shd w:val="clear" w:color="auto" w:fill="auto"/>
            <w:vAlign w:val="center"/>
            <w:hideMark/>
          </w:tcPr>
          <w:p w14:paraId="05F4516D" w14:textId="77777777" w:rsidR="00B91A01" w:rsidRPr="008B234F" w:rsidRDefault="00B91A01" w:rsidP="00CF2EDD">
            <w:pPr>
              <w:rPr>
                <w:rFonts w:ascii="Times New Roman" w:eastAsia="Times New Roman" w:hAnsi="Times New Roman" w:cs="Times New Roman"/>
                <w:color w:val="000000"/>
                <w:lang w:eastAsia="es-HN"/>
              </w:rPr>
            </w:pPr>
            <w:r w:rsidRPr="008B234F">
              <w:rPr>
                <w:rFonts w:ascii="Times New Roman" w:eastAsia="Times New Roman" w:hAnsi="Times New Roman" w:cs="Times New Roman"/>
                <w:color w:val="000000"/>
                <w:lang w:eastAsia="es-HN"/>
              </w:rPr>
              <w:t xml:space="preserve">Capital de </w:t>
            </w:r>
            <w:r>
              <w:rPr>
                <w:rFonts w:ascii="Times New Roman" w:eastAsia="Times New Roman" w:hAnsi="Times New Roman" w:cs="Times New Roman"/>
                <w:color w:val="000000"/>
                <w:lang w:eastAsia="es-HN"/>
              </w:rPr>
              <w:t>T</w:t>
            </w:r>
            <w:r w:rsidRPr="008B234F">
              <w:rPr>
                <w:rFonts w:ascii="Times New Roman" w:eastAsia="Times New Roman" w:hAnsi="Times New Roman" w:cs="Times New Roman"/>
                <w:color w:val="000000"/>
                <w:lang w:eastAsia="es-HN"/>
              </w:rPr>
              <w:t>rabajo = Activo Corriente – Pasivo Corriente</w:t>
            </w:r>
          </w:p>
        </w:tc>
        <w:tc>
          <w:tcPr>
            <w:tcW w:w="1992" w:type="dxa"/>
            <w:vMerge/>
            <w:vAlign w:val="center"/>
            <w:hideMark/>
          </w:tcPr>
          <w:p w14:paraId="08E475B4" w14:textId="77777777" w:rsidR="00B91A01" w:rsidRPr="008B234F" w:rsidRDefault="00B91A01" w:rsidP="00CF2EDD">
            <w:pPr>
              <w:rPr>
                <w:rFonts w:ascii="Times New Roman" w:eastAsia="Times New Roman" w:hAnsi="Times New Roman" w:cs="Times New Roman"/>
                <w:color w:val="000000"/>
                <w:lang w:eastAsia="es-HN"/>
              </w:rPr>
            </w:pPr>
          </w:p>
        </w:tc>
        <w:tc>
          <w:tcPr>
            <w:tcW w:w="1106" w:type="dxa"/>
            <w:vMerge/>
            <w:vAlign w:val="center"/>
            <w:hideMark/>
          </w:tcPr>
          <w:p w14:paraId="3F842939" w14:textId="77777777" w:rsidR="00B91A01" w:rsidRPr="008B234F" w:rsidRDefault="00B91A01" w:rsidP="00CF2EDD">
            <w:pPr>
              <w:rPr>
                <w:rFonts w:ascii="Times New Roman" w:eastAsia="Times New Roman" w:hAnsi="Times New Roman" w:cs="Times New Roman"/>
                <w:color w:val="000000"/>
                <w:lang w:eastAsia="es-HN"/>
              </w:rPr>
            </w:pPr>
          </w:p>
        </w:tc>
        <w:tc>
          <w:tcPr>
            <w:tcW w:w="996" w:type="dxa"/>
            <w:vMerge/>
            <w:vAlign w:val="center"/>
            <w:hideMark/>
          </w:tcPr>
          <w:p w14:paraId="4C2E3757" w14:textId="77777777" w:rsidR="00B91A01" w:rsidRPr="008B234F" w:rsidRDefault="00B91A01" w:rsidP="00CF2EDD">
            <w:pPr>
              <w:rPr>
                <w:rFonts w:ascii="Times New Roman" w:eastAsia="Times New Roman" w:hAnsi="Times New Roman" w:cs="Times New Roman"/>
                <w:color w:val="000000"/>
                <w:lang w:eastAsia="es-HN"/>
              </w:rPr>
            </w:pPr>
          </w:p>
        </w:tc>
        <w:tc>
          <w:tcPr>
            <w:tcW w:w="969" w:type="dxa"/>
            <w:vMerge/>
            <w:vAlign w:val="center"/>
            <w:hideMark/>
          </w:tcPr>
          <w:p w14:paraId="240DD0F6" w14:textId="77777777" w:rsidR="00B91A01" w:rsidRPr="008B234F" w:rsidRDefault="00B91A01" w:rsidP="00CF2EDD">
            <w:pPr>
              <w:rPr>
                <w:rFonts w:ascii="Times New Roman" w:eastAsia="Times New Roman" w:hAnsi="Times New Roman" w:cs="Times New Roman"/>
                <w:color w:val="000000"/>
                <w:lang w:eastAsia="es-HN"/>
              </w:rPr>
            </w:pPr>
          </w:p>
        </w:tc>
      </w:tr>
      <w:tr w:rsidR="00B91A01" w:rsidRPr="008B234F" w14:paraId="2A9122B8" w14:textId="77777777" w:rsidTr="00B91A01">
        <w:trPr>
          <w:trHeight w:val="870"/>
        </w:trPr>
        <w:tc>
          <w:tcPr>
            <w:tcW w:w="1521" w:type="dxa"/>
            <w:vMerge w:val="restart"/>
            <w:shd w:val="clear" w:color="auto" w:fill="auto"/>
            <w:vAlign w:val="center"/>
            <w:hideMark/>
          </w:tcPr>
          <w:p w14:paraId="0D17CF79" w14:textId="77777777" w:rsidR="00B91A01" w:rsidRDefault="00B91A01" w:rsidP="00B91A01">
            <w:pPr>
              <w:jc w:val="center"/>
              <w:rPr>
                <w:rFonts w:ascii="Times New Roman" w:eastAsia="Times New Roman" w:hAnsi="Times New Roman" w:cs="Times New Roman"/>
                <w:color w:val="000000"/>
                <w:lang w:eastAsia="es-HN"/>
              </w:rPr>
            </w:pPr>
            <w:r w:rsidRPr="008B234F">
              <w:rPr>
                <w:rFonts w:ascii="Times New Roman" w:eastAsia="Times New Roman" w:hAnsi="Times New Roman" w:cs="Times New Roman"/>
                <w:color w:val="000000"/>
                <w:lang w:eastAsia="es-HN"/>
              </w:rPr>
              <w:t>Solvencia Financiera</w:t>
            </w:r>
          </w:p>
          <w:p w14:paraId="54F21FDC" w14:textId="5D509D4F" w:rsidR="00C311D6" w:rsidRDefault="00C311D6" w:rsidP="00B91A01">
            <w:pPr>
              <w:jc w:val="center"/>
              <w:rPr>
                <w:rFonts w:ascii="Times New Roman" w:eastAsia="Times New Roman" w:hAnsi="Times New Roman" w:cs="Times New Roman"/>
                <w:color w:val="000000"/>
                <w:lang w:eastAsia="es-HN"/>
              </w:rPr>
            </w:pPr>
            <w:r>
              <w:rPr>
                <w:rFonts w:ascii="Times New Roman" w:eastAsia="Times New Roman" w:hAnsi="Times New Roman" w:cs="Times New Roman"/>
                <w:color w:val="000000"/>
                <w:lang w:eastAsia="es-HN"/>
              </w:rPr>
              <w:t>Y</w:t>
            </w:r>
          </w:p>
          <w:p w14:paraId="097DEA11" w14:textId="53793C5E" w:rsidR="00C311D6" w:rsidRPr="008B234F" w:rsidRDefault="00C311D6" w:rsidP="00B91A01">
            <w:pPr>
              <w:jc w:val="center"/>
              <w:rPr>
                <w:rFonts w:ascii="Times New Roman" w:eastAsia="Times New Roman" w:hAnsi="Times New Roman" w:cs="Times New Roman"/>
                <w:color w:val="000000"/>
                <w:lang w:eastAsia="es-HN"/>
              </w:rPr>
            </w:pPr>
            <w:r>
              <w:rPr>
                <w:rFonts w:ascii="Times New Roman" w:eastAsia="Times New Roman" w:hAnsi="Times New Roman" w:cs="Times New Roman"/>
                <w:color w:val="000000"/>
                <w:lang w:eastAsia="es-HN"/>
              </w:rPr>
              <w:t>Endeudamiento</w:t>
            </w:r>
          </w:p>
        </w:tc>
        <w:tc>
          <w:tcPr>
            <w:tcW w:w="1939" w:type="dxa"/>
            <w:vMerge w:val="restart"/>
            <w:shd w:val="clear" w:color="auto" w:fill="auto"/>
            <w:vAlign w:val="center"/>
            <w:hideMark/>
          </w:tcPr>
          <w:p w14:paraId="494C56C8" w14:textId="36F56D4E" w:rsidR="00B91A01" w:rsidRDefault="00F03EE8" w:rsidP="00CF2EDD">
            <w:pPr>
              <w:rPr>
                <w:rFonts w:ascii="Times New Roman" w:eastAsia="Times New Roman" w:hAnsi="Times New Roman" w:cs="Times New Roman"/>
                <w:color w:val="000000"/>
                <w:lang w:eastAsia="es-HN"/>
              </w:rPr>
            </w:pPr>
            <w:r>
              <w:rPr>
                <w:rFonts w:ascii="Times New Roman" w:eastAsia="Times New Roman" w:hAnsi="Times New Roman" w:cs="Times New Roman"/>
                <w:color w:val="000000"/>
                <w:lang w:eastAsia="es-HN"/>
              </w:rPr>
              <w:t>La solvencia financiera se define como la “</w:t>
            </w:r>
            <w:r w:rsidR="00B91A01" w:rsidRPr="000E6842">
              <w:rPr>
                <w:rFonts w:ascii="Times New Roman" w:eastAsia="Times New Roman" w:hAnsi="Times New Roman" w:cs="Times New Roman"/>
                <w:color w:val="000000"/>
                <w:lang w:eastAsia="es-HN"/>
              </w:rPr>
              <w:t>Capacidad económica para hacer frente a las deudas. Esta capacidad, en una empresa comercial, es una consecuencia directa de la relación existente entre los activos de rápida y fácil realización y los pasivos por obligaciones exigibles en un muy corto plazo. U capacidad de pago</w:t>
            </w:r>
            <w:r>
              <w:rPr>
                <w:rFonts w:ascii="Times New Roman" w:eastAsia="Times New Roman" w:hAnsi="Times New Roman" w:cs="Times New Roman"/>
                <w:color w:val="000000"/>
                <w:lang w:eastAsia="es-HN"/>
              </w:rPr>
              <w:t>”</w:t>
            </w:r>
            <w:r w:rsidR="00B91A01">
              <w:rPr>
                <w:rFonts w:ascii="Times New Roman" w:eastAsia="Times New Roman" w:hAnsi="Times New Roman" w:cs="Times New Roman"/>
                <w:color w:val="000000"/>
                <w:lang w:eastAsia="es-HN"/>
              </w:rPr>
              <w:t xml:space="preserve"> </w:t>
            </w:r>
            <w:r w:rsidR="00B91A01">
              <w:rPr>
                <w:rFonts w:ascii="Times New Roman" w:eastAsia="Times New Roman" w:hAnsi="Times New Roman" w:cs="Times New Roman"/>
                <w:color w:val="000000"/>
                <w:lang w:eastAsia="es-HN"/>
              </w:rPr>
              <w:fldChar w:fldCharType="begin"/>
            </w:r>
            <w:r w:rsidR="00C52841">
              <w:rPr>
                <w:rFonts w:ascii="Times New Roman" w:eastAsia="Times New Roman" w:hAnsi="Times New Roman" w:cs="Times New Roman"/>
                <w:color w:val="000000"/>
                <w:lang w:eastAsia="es-HN"/>
              </w:rPr>
              <w:instrText xml:space="preserve"> ADDIN ZOTERO_ITEM CSL_CITATION {"citationID":"CTzBEIlz","properties":{"formattedCitation":"(Greco, 2008)","plainCitation":"(Greco, 2008)","noteIndex":0},"citationItems":[{"id":"mhK3fgOx/clOIiVqH","uris":["http://zotero.org/users/local/rewjbDUP/items/5XT67QXV"],"itemData":{"id":24,"type":"book","edition":"2","event-place":"Argentina","ISBN":"978-950-743-302-3","language":"Español","license":"Valletta Ediciones S.R.L. .","number-of-pages":"447","publisher":"Valleta Ediciones","publisher-place":"Argentina","title":"Diccionario de Finanzas","author":[{"family":"Greco","given":"Orlando"}],"issued":{"date-parts":[["2008"]]}}}],"schema":"https://github.com/citation-style-language/schema/raw/master/csl-citation.json"} </w:instrText>
            </w:r>
            <w:r w:rsidR="00B91A01">
              <w:rPr>
                <w:rFonts w:ascii="Times New Roman" w:eastAsia="Times New Roman" w:hAnsi="Times New Roman" w:cs="Times New Roman"/>
                <w:color w:val="000000"/>
                <w:lang w:eastAsia="es-HN"/>
              </w:rPr>
              <w:fldChar w:fldCharType="separate"/>
            </w:r>
            <w:r w:rsidR="00B91A01" w:rsidRPr="000E6842">
              <w:rPr>
                <w:rFonts w:ascii="Times New Roman" w:hAnsi="Times New Roman" w:cs="Times New Roman"/>
              </w:rPr>
              <w:t>(Greco, 2008)</w:t>
            </w:r>
            <w:r w:rsidR="00B91A01">
              <w:rPr>
                <w:rFonts w:ascii="Times New Roman" w:eastAsia="Times New Roman" w:hAnsi="Times New Roman" w:cs="Times New Roman"/>
                <w:color w:val="000000"/>
                <w:lang w:eastAsia="es-HN"/>
              </w:rPr>
              <w:fldChar w:fldCharType="end"/>
            </w:r>
            <w:r>
              <w:rPr>
                <w:rFonts w:ascii="Times New Roman" w:eastAsia="Times New Roman" w:hAnsi="Times New Roman" w:cs="Times New Roman"/>
                <w:color w:val="000000"/>
                <w:lang w:eastAsia="es-HN"/>
              </w:rPr>
              <w:t>.</w:t>
            </w:r>
          </w:p>
          <w:p w14:paraId="657BD580" w14:textId="77777777" w:rsidR="00F03EE8" w:rsidRDefault="00F03EE8" w:rsidP="00CF2EDD">
            <w:pPr>
              <w:rPr>
                <w:rFonts w:ascii="Times New Roman" w:eastAsia="Times New Roman" w:hAnsi="Times New Roman" w:cs="Times New Roman"/>
                <w:color w:val="000000"/>
                <w:lang w:eastAsia="es-HN"/>
              </w:rPr>
            </w:pPr>
          </w:p>
          <w:p w14:paraId="3E893F54" w14:textId="64A5E967" w:rsidR="00F03EE8" w:rsidRPr="008B234F" w:rsidRDefault="00F03EE8" w:rsidP="00CF2EDD">
            <w:pPr>
              <w:rPr>
                <w:rFonts w:ascii="Times New Roman" w:eastAsia="Times New Roman" w:hAnsi="Times New Roman" w:cs="Times New Roman"/>
                <w:color w:val="000000"/>
                <w:lang w:eastAsia="es-HN"/>
              </w:rPr>
            </w:pPr>
            <w:r>
              <w:rPr>
                <w:rFonts w:ascii="Times New Roman" w:hAnsi="Times New Roman" w:cs="Times New Roman"/>
                <w:sz w:val="24"/>
                <w:szCs w:val="24"/>
              </w:rPr>
              <w:t>Por otra parte, “</w:t>
            </w:r>
            <w:r w:rsidRPr="007B461C">
              <w:rPr>
                <w:rFonts w:ascii="Times New Roman" w:hAnsi="Times New Roman" w:cs="Times New Roman"/>
                <w:sz w:val="24"/>
                <w:szCs w:val="24"/>
              </w:rPr>
              <w:t xml:space="preserve">Cuando hablamos de deuda nos </w:t>
            </w:r>
            <w:r w:rsidRPr="007B461C">
              <w:rPr>
                <w:rFonts w:ascii="Times New Roman" w:hAnsi="Times New Roman" w:cs="Times New Roman"/>
                <w:sz w:val="24"/>
                <w:szCs w:val="24"/>
              </w:rPr>
              <w:lastRenderedPageBreak/>
              <w:t>referimos a la financiación a largo y a corto que paga intereses. Normalmente es financiación bancaria, pero en grandes empresas puede ser también una emisión de bonos o de pagarés</w:t>
            </w:r>
            <w:r>
              <w:rPr>
                <w:rFonts w:ascii="Times New Roman" w:hAnsi="Times New Roman" w:cs="Times New Roman"/>
                <w:sz w:val="24"/>
                <w:szCs w:val="24"/>
              </w:rPr>
              <w:t>”</w:t>
            </w:r>
            <w:r w:rsidRPr="007B461C">
              <w:rPr>
                <w:rFonts w:ascii="Times New Roman" w:hAnsi="Times New Roman" w:cs="Times New Roman"/>
                <w:b/>
                <w:bCs/>
                <w:sz w:val="24"/>
                <w:szCs w:val="24"/>
              </w:rPr>
              <w:t xml:space="preserve"> </w:t>
            </w:r>
            <w:r w:rsidRPr="007B461C">
              <w:rPr>
                <w:rFonts w:ascii="Times New Roman" w:hAnsi="Times New Roman" w:cs="Times New Roman"/>
                <w:b/>
                <w:bCs/>
                <w:sz w:val="24"/>
                <w:szCs w:val="24"/>
              </w:rPr>
              <w:fldChar w:fldCharType="begin"/>
            </w:r>
            <w:r w:rsidR="00C52841">
              <w:rPr>
                <w:rFonts w:ascii="Times New Roman" w:hAnsi="Times New Roman" w:cs="Times New Roman"/>
                <w:b/>
                <w:bCs/>
                <w:sz w:val="24"/>
                <w:szCs w:val="24"/>
              </w:rPr>
              <w:instrText xml:space="preserve"> ADDIN ZOTERO_ITEM CSL_CITATION {"citationID":"ZucMl7BI","properties":{"formattedCitation":"(Mart\\uc0\\u237{}nez Abascal, 2017, p. 23)","plainCitation":"(Martínez Abascal, 2017, p. 23)","noteIndex":0},"citationItems":[{"id":"mhK3fgOx/VUTNTwex","uris":["http://zotero.org/users/local/rewjbDUP/items/6VAYXTZZ"],"itemData":{"id":44,"type":"book","call-number":"Economia y Comercio / General","edition":"2","event-place":"Madrid","ISBN":"978-84-481-9006-4","language":"Español","license":"McGraw-Hill Education","number-of-pages":"282","publisher":"McGraw-Hill España","publisher-place":"Madrid","title":"Finanzas para directivos","author":[{"family":"Martínez Abascal","given":"Eduardo"}],"issued":{"date-parts":[["2017"]]}},"locator":"23","label":"page"}],"schema":"https://github.com/citation-style-language/schema/raw/master/csl-citation.json"} </w:instrText>
            </w:r>
            <w:r w:rsidRPr="007B461C">
              <w:rPr>
                <w:rFonts w:ascii="Times New Roman" w:hAnsi="Times New Roman" w:cs="Times New Roman"/>
                <w:b/>
                <w:bCs/>
                <w:sz w:val="24"/>
                <w:szCs w:val="24"/>
              </w:rPr>
              <w:fldChar w:fldCharType="separate"/>
            </w:r>
            <w:r w:rsidRPr="007B461C">
              <w:rPr>
                <w:rFonts w:ascii="Times New Roman" w:hAnsi="Times New Roman" w:cs="Times New Roman"/>
                <w:sz w:val="24"/>
                <w:szCs w:val="24"/>
              </w:rPr>
              <w:t>(Martínez Abascal, 2017, p. 23)</w:t>
            </w:r>
            <w:r w:rsidRPr="007B461C">
              <w:rPr>
                <w:rFonts w:ascii="Times New Roman" w:hAnsi="Times New Roman" w:cs="Times New Roman"/>
                <w:b/>
                <w:bCs/>
                <w:sz w:val="24"/>
                <w:szCs w:val="24"/>
              </w:rPr>
              <w:fldChar w:fldCharType="end"/>
            </w:r>
            <w:r w:rsidRPr="007B461C">
              <w:rPr>
                <w:rFonts w:ascii="Times New Roman" w:hAnsi="Times New Roman" w:cs="Times New Roman"/>
                <w:b/>
                <w:bCs/>
                <w:sz w:val="24"/>
                <w:szCs w:val="24"/>
              </w:rPr>
              <w:t>.</w:t>
            </w:r>
          </w:p>
        </w:tc>
        <w:tc>
          <w:tcPr>
            <w:tcW w:w="1701" w:type="dxa"/>
            <w:vMerge w:val="restart"/>
            <w:shd w:val="clear" w:color="auto" w:fill="auto"/>
            <w:vAlign w:val="center"/>
            <w:hideMark/>
          </w:tcPr>
          <w:p w14:paraId="324F595A" w14:textId="77777777" w:rsidR="00B91A01" w:rsidRPr="008B234F" w:rsidRDefault="00B91A01" w:rsidP="00CF2EDD">
            <w:pPr>
              <w:rPr>
                <w:rFonts w:ascii="Times New Roman" w:eastAsia="Times New Roman" w:hAnsi="Times New Roman" w:cs="Times New Roman"/>
                <w:color w:val="000000"/>
                <w:lang w:eastAsia="es-HN"/>
              </w:rPr>
            </w:pPr>
            <w:r w:rsidRPr="008B234F">
              <w:rPr>
                <w:rFonts w:ascii="Times New Roman" w:eastAsia="Times New Roman" w:hAnsi="Times New Roman" w:cs="Times New Roman"/>
                <w:color w:val="000000"/>
                <w:lang w:eastAsia="es-HN"/>
              </w:rPr>
              <w:lastRenderedPageBreak/>
              <w:t>Solvencia Financiera es la capacidad que tiene una persona o empresa para poder cumplir con todas sus obligaciones.</w:t>
            </w:r>
          </w:p>
        </w:tc>
        <w:tc>
          <w:tcPr>
            <w:tcW w:w="1777" w:type="dxa"/>
            <w:vMerge w:val="restart"/>
            <w:shd w:val="clear" w:color="auto" w:fill="auto"/>
            <w:vAlign w:val="center"/>
            <w:hideMark/>
          </w:tcPr>
          <w:p w14:paraId="29239163" w14:textId="77777777" w:rsidR="00B91A01" w:rsidRPr="008B234F" w:rsidRDefault="00B91A01" w:rsidP="00CF2EDD">
            <w:pPr>
              <w:jc w:val="center"/>
              <w:rPr>
                <w:rFonts w:ascii="Times New Roman" w:eastAsia="Times New Roman" w:hAnsi="Times New Roman" w:cs="Times New Roman"/>
                <w:color w:val="000000"/>
                <w:lang w:eastAsia="es-HN"/>
              </w:rPr>
            </w:pPr>
            <w:r w:rsidRPr="008B234F">
              <w:rPr>
                <w:rFonts w:ascii="Times New Roman" w:eastAsia="Times New Roman" w:hAnsi="Times New Roman" w:cs="Times New Roman"/>
                <w:color w:val="000000"/>
                <w:lang w:eastAsia="es-HN"/>
              </w:rPr>
              <w:t>Financiera</w:t>
            </w:r>
          </w:p>
        </w:tc>
        <w:tc>
          <w:tcPr>
            <w:tcW w:w="1949" w:type="dxa"/>
            <w:shd w:val="clear" w:color="auto" w:fill="auto"/>
            <w:vAlign w:val="center"/>
            <w:hideMark/>
          </w:tcPr>
          <w:p w14:paraId="548D4593" w14:textId="77777777" w:rsidR="00B91A01" w:rsidRPr="008B234F" w:rsidRDefault="00B91A01" w:rsidP="00CF2EDD">
            <w:pPr>
              <w:rPr>
                <w:rFonts w:ascii="Times New Roman" w:eastAsia="Times New Roman" w:hAnsi="Times New Roman" w:cs="Times New Roman"/>
                <w:color w:val="000000"/>
                <w:lang w:eastAsia="es-HN"/>
              </w:rPr>
            </w:pPr>
            <w:r w:rsidRPr="008B234F">
              <w:rPr>
                <w:rFonts w:ascii="Times New Roman" w:eastAsia="Times New Roman" w:hAnsi="Times New Roman" w:cs="Times New Roman"/>
                <w:color w:val="000000"/>
                <w:lang w:eastAsia="es-HN"/>
              </w:rPr>
              <w:t>Ratio de Endeudamiento = pasivo/patrimonio neto</w:t>
            </w:r>
          </w:p>
        </w:tc>
        <w:tc>
          <w:tcPr>
            <w:tcW w:w="1992" w:type="dxa"/>
            <w:vMerge w:val="restart"/>
            <w:shd w:val="clear" w:color="auto" w:fill="auto"/>
            <w:vAlign w:val="center"/>
            <w:hideMark/>
          </w:tcPr>
          <w:p w14:paraId="4AB30499" w14:textId="77777777" w:rsidR="00B91A01" w:rsidRPr="008B234F" w:rsidRDefault="00B91A01" w:rsidP="00CF2EDD">
            <w:pPr>
              <w:jc w:val="center"/>
              <w:rPr>
                <w:rFonts w:ascii="Times New Roman" w:eastAsia="Times New Roman" w:hAnsi="Times New Roman" w:cs="Times New Roman"/>
                <w:color w:val="000000"/>
                <w:lang w:eastAsia="es-HN"/>
              </w:rPr>
            </w:pPr>
            <w:r w:rsidRPr="008B234F">
              <w:rPr>
                <w:rFonts w:ascii="Times New Roman" w:eastAsia="Times New Roman" w:hAnsi="Times New Roman" w:cs="Times New Roman"/>
                <w:color w:val="000000"/>
                <w:lang w:eastAsia="es-HN"/>
              </w:rPr>
              <w:t> </w:t>
            </w:r>
          </w:p>
        </w:tc>
        <w:tc>
          <w:tcPr>
            <w:tcW w:w="1106" w:type="dxa"/>
            <w:vMerge w:val="restart"/>
            <w:shd w:val="clear" w:color="auto" w:fill="auto"/>
            <w:vAlign w:val="center"/>
            <w:hideMark/>
          </w:tcPr>
          <w:p w14:paraId="50C44682" w14:textId="6BFA0AF1" w:rsidR="00B91A01" w:rsidRPr="008B234F" w:rsidRDefault="001B202F" w:rsidP="00CF2EDD">
            <w:pPr>
              <w:jc w:val="center"/>
              <w:rPr>
                <w:rFonts w:ascii="Times New Roman" w:eastAsia="Times New Roman" w:hAnsi="Times New Roman" w:cs="Times New Roman"/>
                <w:color w:val="000000"/>
                <w:lang w:eastAsia="es-HN"/>
              </w:rPr>
            </w:pPr>
            <w:r w:rsidRPr="008B234F">
              <w:rPr>
                <w:rFonts w:ascii="Times New Roman" w:eastAsia="Times New Roman" w:hAnsi="Times New Roman" w:cs="Times New Roman"/>
                <w:color w:val="000000"/>
                <w:lang w:eastAsia="es-HN"/>
              </w:rPr>
              <w:t>Revisión de Data Histórica (Análisis de Bases de Datos)</w:t>
            </w:r>
            <w:r w:rsidR="00B91A01" w:rsidRPr="008B234F">
              <w:rPr>
                <w:rFonts w:ascii="Times New Roman" w:eastAsia="Times New Roman" w:hAnsi="Times New Roman" w:cs="Times New Roman"/>
                <w:color w:val="000000"/>
                <w:lang w:eastAsia="es-HN"/>
              </w:rPr>
              <w:t> </w:t>
            </w:r>
          </w:p>
        </w:tc>
        <w:tc>
          <w:tcPr>
            <w:tcW w:w="996" w:type="dxa"/>
            <w:vMerge w:val="restart"/>
            <w:shd w:val="clear" w:color="auto" w:fill="auto"/>
            <w:vAlign w:val="center"/>
            <w:hideMark/>
          </w:tcPr>
          <w:p w14:paraId="14D1DCC5" w14:textId="77777777" w:rsidR="00B91A01" w:rsidRPr="008B234F" w:rsidRDefault="00B91A01" w:rsidP="00CF2EDD">
            <w:pPr>
              <w:jc w:val="center"/>
              <w:rPr>
                <w:rFonts w:ascii="Times New Roman" w:eastAsia="Times New Roman" w:hAnsi="Times New Roman" w:cs="Times New Roman"/>
                <w:color w:val="000000"/>
                <w:lang w:eastAsia="es-HN"/>
              </w:rPr>
            </w:pPr>
            <w:r w:rsidRPr="008B234F">
              <w:rPr>
                <w:rFonts w:ascii="Times New Roman" w:eastAsia="Times New Roman" w:hAnsi="Times New Roman" w:cs="Times New Roman"/>
                <w:color w:val="000000"/>
                <w:lang w:eastAsia="es-HN"/>
              </w:rPr>
              <w:t>N/A</w:t>
            </w:r>
          </w:p>
        </w:tc>
        <w:tc>
          <w:tcPr>
            <w:tcW w:w="969" w:type="dxa"/>
            <w:vMerge w:val="restart"/>
            <w:shd w:val="clear" w:color="auto" w:fill="auto"/>
            <w:vAlign w:val="center"/>
            <w:hideMark/>
          </w:tcPr>
          <w:p w14:paraId="520F287D" w14:textId="77777777" w:rsidR="00B91A01" w:rsidRPr="008B234F" w:rsidRDefault="00B91A01" w:rsidP="00CF2EDD">
            <w:pPr>
              <w:jc w:val="center"/>
              <w:rPr>
                <w:rFonts w:ascii="Times New Roman" w:eastAsia="Times New Roman" w:hAnsi="Times New Roman" w:cs="Times New Roman"/>
                <w:color w:val="000000"/>
                <w:lang w:eastAsia="es-HN"/>
              </w:rPr>
            </w:pPr>
            <w:r w:rsidRPr="008B234F">
              <w:rPr>
                <w:rFonts w:ascii="Times New Roman" w:eastAsia="Times New Roman" w:hAnsi="Times New Roman" w:cs="Times New Roman"/>
                <w:color w:val="000000"/>
                <w:lang w:eastAsia="es-HN"/>
              </w:rPr>
              <w:t>NA</w:t>
            </w:r>
          </w:p>
        </w:tc>
      </w:tr>
      <w:tr w:rsidR="00B91A01" w:rsidRPr="008B234F" w14:paraId="633142E7" w14:textId="77777777" w:rsidTr="00B91A01">
        <w:trPr>
          <w:trHeight w:val="990"/>
        </w:trPr>
        <w:tc>
          <w:tcPr>
            <w:tcW w:w="1521" w:type="dxa"/>
            <w:vMerge/>
            <w:vAlign w:val="center"/>
            <w:hideMark/>
          </w:tcPr>
          <w:p w14:paraId="1CEDC87C" w14:textId="77777777" w:rsidR="00B91A01" w:rsidRPr="008B234F" w:rsidRDefault="00B91A01" w:rsidP="00B91A01">
            <w:pPr>
              <w:jc w:val="center"/>
              <w:rPr>
                <w:rFonts w:ascii="Times New Roman" w:eastAsia="Times New Roman" w:hAnsi="Times New Roman" w:cs="Times New Roman"/>
                <w:color w:val="000000"/>
                <w:lang w:eastAsia="es-HN"/>
              </w:rPr>
            </w:pPr>
          </w:p>
        </w:tc>
        <w:tc>
          <w:tcPr>
            <w:tcW w:w="1939" w:type="dxa"/>
            <w:vMerge/>
            <w:vAlign w:val="center"/>
            <w:hideMark/>
          </w:tcPr>
          <w:p w14:paraId="6930F624" w14:textId="77777777" w:rsidR="00B91A01" w:rsidRPr="008B234F" w:rsidRDefault="00B91A01" w:rsidP="00CF2EDD">
            <w:pPr>
              <w:rPr>
                <w:rFonts w:ascii="Times New Roman" w:eastAsia="Times New Roman" w:hAnsi="Times New Roman" w:cs="Times New Roman"/>
                <w:color w:val="000000"/>
                <w:lang w:eastAsia="es-HN"/>
              </w:rPr>
            </w:pPr>
          </w:p>
        </w:tc>
        <w:tc>
          <w:tcPr>
            <w:tcW w:w="1701" w:type="dxa"/>
            <w:vMerge/>
            <w:vAlign w:val="center"/>
            <w:hideMark/>
          </w:tcPr>
          <w:p w14:paraId="165FACA8" w14:textId="77777777" w:rsidR="00B91A01" w:rsidRPr="008B234F" w:rsidRDefault="00B91A01" w:rsidP="00CF2EDD">
            <w:pPr>
              <w:rPr>
                <w:rFonts w:ascii="Times New Roman" w:eastAsia="Times New Roman" w:hAnsi="Times New Roman" w:cs="Times New Roman"/>
                <w:color w:val="000000"/>
                <w:lang w:eastAsia="es-HN"/>
              </w:rPr>
            </w:pPr>
          </w:p>
        </w:tc>
        <w:tc>
          <w:tcPr>
            <w:tcW w:w="1777" w:type="dxa"/>
            <w:vMerge/>
            <w:vAlign w:val="center"/>
            <w:hideMark/>
          </w:tcPr>
          <w:p w14:paraId="6F6F59E2" w14:textId="77777777" w:rsidR="00B91A01" w:rsidRPr="008B234F" w:rsidRDefault="00B91A01" w:rsidP="00CF2EDD">
            <w:pPr>
              <w:rPr>
                <w:rFonts w:ascii="Times New Roman" w:eastAsia="Times New Roman" w:hAnsi="Times New Roman" w:cs="Times New Roman"/>
                <w:color w:val="000000"/>
                <w:lang w:eastAsia="es-HN"/>
              </w:rPr>
            </w:pPr>
          </w:p>
        </w:tc>
        <w:tc>
          <w:tcPr>
            <w:tcW w:w="1949" w:type="dxa"/>
            <w:shd w:val="clear" w:color="auto" w:fill="auto"/>
            <w:vAlign w:val="center"/>
            <w:hideMark/>
          </w:tcPr>
          <w:p w14:paraId="1DD81D6D" w14:textId="77777777" w:rsidR="00B91A01" w:rsidRPr="008B234F" w:rsidRDefault="00B91A01" w:rsidP="00CF2EDD">
            <w:pPr>
              <w:rPr>
                <w:rFonts w:ascii="Times New Roman" w:eastAsia="Times New Roman" w:hAnsi="Times New Roman" w:cs="Times New Roman"/>
                <w:color w:val="000000"/>
                <w:lang w:eastAsia="es-HN"/>
              </w:rPr>
            </w:pPr>
            <w:r w:rsidRPr="008B234F">
              <w:rPr>
                <w:rFonts w:ascii="Times New Roman" w:eastAsia="Times New Roman" w:hAnsi="Times New Roman" w:cs="Times New Roman"/>
                <w:color w:val="000000"/>
                <w:lang w:eastAsia="es-HN"/>
              </w:rPr>
              <w:t>Ratio de Endeudamiento L/P = Pasivo no corriente/patrimonio neto</w:t>
            </w:r>
          </w:p>
        </w:tc>
        <w:tc>
          <w:tcPr>
            <w:tcW w:w="1992" w:type="dxa"/>
            <w:vMerge/>
            <w:vAlign w:val="center"/>
            <w:hideMark/>
          </w:tcPr>
          <w:p w14:paraId="06EDAEDA" w14:textId="77777777" w:rsidR="00B91A01" w:rsidRPr="008B234F" w:rsidRDefault="00B91A01" w:rsidP="00CF2EDD">
            <w:pPr>
              <w:rPr>
                <w:rFonts w:ascii="Times New Roman" w:eastAsia="Times New Roman" w:hAnsi="Times New Roman" w:cs="Times New Roman"/>
                <w:color w:val="000000"/>
                <w:lang w:eastAsia="es-HN"/>
              </w:rPr>
            </w:pPr>
          </w:p>
        </w:tc>
        <w:tc>
          <w:tcPr>
            <w:tcW w:w="1106" w:type="dxa"/>
            <w:vMerge/>
            <w:vAlign w:val="center"/>
            <w:hideMark/>
          </w:tcPr>
          <w:p w14:paraId="675982E9" w14:textId="77777777" w:rsidR="00B91A01" w:rsidRPr="008B234F" w:rsidRDefault="00B91A01" w:rsidP="00CF2EDD">
            <w:pPr>
              <w:rPr>
                <w:rFonts w:ascii="Times New Roman" w:eastAsia="Times New Roman" w:hAnsi="Times New Roman" w:cs="Times New Roman"/>
                <w:color w:val="000000"/>
                <w:lang w:eastAsia="es-HN"/>
              </w:rPr>
            </w:pPr>
          </w:p>
        </w:tc>
        <w:tc>
          <w:tcPr>
            <w:tcW w:w="996" w:type="dxa"/>
            <w:vMerge/>
            <w:vAlign w:val="center"/>
            <w:hideMark/>
          </w:tcPr>
          <w:p w14:paraId="70001ACE" w14:textId="77777777" w:rsidR="00B91A01" w:rsidRPr="008B234F" w:rsidRDefault="00B91A01" w:rsidP="00CF2EDD">
            <w:pPr>
              <w:rPr>
                <w:rFonts w:ascii="Times New Roman" w:eastAsia="Times New Roman" w:hAnsi="Times New Roman" w:cs="Times New Roman"/>
                <w:color w:val="000000"/>
                <w:lang w:eastAsia="es-HN"/>
              </w:rPr>
            </w:pPr>
          </w:p>
        </w:tc>
        <w:tc>
          <w:tcPr>
            <w:tcW w:w="969" w:type="dxa"/>
            <w:vMerge/>
            <w:vAlign w:val="center"/>
            <w:hideMark/>
          </w:tcPr>
          <w:p w14:paraId="4F113BD5" w14:textId="77777777" w:rsidR="00B91A01" w:rsidRPr="008B234F" w:rsidRDefault="00B91A01" w:rsidP="00CF2EDD">
            <w:pPr>
              <w:rPr>
                <w:rFonts w:ascii="Times New Roman" w:eastAsia="Times New Roman" w:hAnsi="Times New Roman" w:cs="Times New Roman"/>
                <w:color w:val="000000"/>
                <w:lang w:eastAsia="es-HN"/>
              </w:rPr>
            </w:pPr>
          </w:p>
        </w:tc>
      </w:tr>
      <w:tr w:rsidR="00B91A01" w:rsidRPr="008B234F" w14:paraId="1802AFEF" w14:textId="77777777" w:rsidTr="00B91A01">
        <w:trPr>
          <w:trHeight w:val="870"/>
        </w:trPr>
        <w:tc>
          <w:tcPr>
            <w:tcW w:w="1521" w:type="dxa"/>
            <w:vMerge/>
            <w:vAlign w:val="center"/>
            <w:hideMark/>
          </w:tcPr>
          <w:p w14:paraId="73E080AA" w14:textId="77777777" w:rsidR="00B91A01" w:rsidRPr="008B234F" w:rsidRDefault="00B91A01" w:rsidP="00B91A01">
            <w:pPr>
              <w:jc w:val="center"/>
              <w:rPr>
                <w:rFonts w:ascii="Times New Roman" w:eastAsia="Times New Roman" w:hAnsi="Times New Roman" w:cs="Times New Roman"/>
                <w:color w:val="000000"/>
                <w:lang w:eastAsia="es-HN"/>
              </w:rPr>
            </w:pPr>
          </w:p>
        </w:tc>
        <w:tc>
          <w:tcPr>
            <w:tcW w:w="1939" w:type="dxa"/>
            <w:vMerge/>
            <w:vAlign w:val="center"/>
            <w:hideMark/>
          </w:tcPr>
          <w:p w14:paraId="06B4F76B" w14:textId="77777777" w:rsidR="00B91A01" w:rsidRPr="008B234F" w:rsidRDefault="00B91A01" w:rsidP="00CF2EDD">
            <w:pPr>
              <w:rPr>
                <w:rFonts w:ascii="Times New Roman" w:eastAsia="Times New Roman" w:hAnsi="Times New Roman" w:cs="Times New Roman"/>
                <w:color w:val="000000"/>
                <w:lang w:eastAsia="es-HN"/>
              </w:rPr>
            </w:pPr>
          </w:p>
        </w:tc>
        <w:tc>
          <w:tcPr>
            <w:tcW w:w="1701" w:type="dxa"/>
            <w:vMerge/>
            <w:vAlign w:val="center"/>
            <w:hideMark/>
          </w:tcPr>
          <w:p w14:paraId="67846882" w14:textId="77777777" w:rsidR="00B91A01" w:rsidRPr="008B234F" w:rsidRDefault="00B91A01" w:rsidP="00CF2EDD">
            <w:pPr>
              <w:rPr>
                <w:rFonts w:ascii="Times New Roman" w:eastAsia="Times New Roman" w:hAnsi="Times New Roman" w:cs="Times New Roman"/>
                <w:color w:val="000000"/>
                <w:lang w:eastAsia="es-HN"/>
              </w:rPr>
            </w:pPr>
          </w:p>
        </w:tc>
        <w:tc>
          <w:tcPr>
            <w:tcW w:w="1777" w:type="dxa"/>
            <w:vMerge/>
            <w:vAlign w:val="center"/>
            <w:hideMark/>
          </w:tcPr>
          <w:p w14:paraId="5DAA3C9C" w14:textId="77777777" w:rsidR="00B91A01" w:rsidRPr="008B234F" w:rsidRDefault="00B91A01" w:rsidP="00CF2EDD">
            <w:pPr>
              <w:rPr>
                <w:rFonts w:ascii="Times New Roman" w:eastAsia="Times New Roman" w:hAnsi="Times New Roman" w:cs="Times New Roman"/>
                <w:color w:val="000000"/>
                <w:lang w:eastAsia="es-HN"/>
              </w:rPr>
            </w:pPr>
          </w:p>
        </w:tc>
        <w:tc>
          <w:tcPr>
            <w:tcW w:w="1949" w:type="dxa"/>
            <w:shd w:val="clear" w:color="auto" w:fill="auto"/>
            <w:vAlign w:val="center"/>
            <w:hideMark/>
          </w:tcPr>
          <w:p w14:paraId="66E41066" w14:textId="77777777" w:rsidR="00B91A01" w:rsidRPr="008B234F" w:rsidRDefault="00B91A01" w:rsidP="00CF2EDD">
            <w:pPr>
              <w:rPr>
                <w:rFonts w:ascii="Times New Roman" w:eastAsia="Times New Roman" w:hAnsi="Times New Roman" w:cs="Times New Roman"/>
                <w:color w:val="000000"/>
                <w:lang w:eastAsia="es-HN"/>
              </w:rPr>
            </w:pPr>
            <w:r w:rsidRPr="008B234F">
              <w:rPr>
                <w:rFonts w:ascii="Times New Roman" w:eastAsia="Times New Roman" w:hAnsi="Times New Roman" w:cs="Times New Roman"/>
                <w:color w:val="000000"/>
                <w:lang w:eastAsia="es-HN"/>
              </w:rPr>
              <w:t>Ratio de solvencia = activo/pasivo.</w:t>
            </w:r>
          </w:p>
        </w:tc>
        <w:tc>
          <w:tcPr>
            <w:tcW w:w="1992" w:type="dxa"/>
            <w:vMerge/>
            <w:vAlign w:val="center"/>
            <w:hideMark/>
          </w:tcPr>
          <w:p w14:paraId="56561031" w14:textId="77777777" w:rsidR="00B91A01" w:rsidRPr="008B234F" w:rsidRDefault="00B91A01" w:rsidP="00CF2EDD">
            <w:pPr>
              <w:rPr>
                <w:rFonts w:ascii="Times New Roman" w:eastAsia="Times New Roman" w:hAnsi="Times New Roman" w:cs="Times New Roman"/>
                <w:color w:val="000000"/>
                <w:lang w:eastAsia="es-HN"/>
              </w:rPr>
            </w:pPr>
          </w:p>
        </w:tc>
        <w:tc>
          <w:tcPr>
            <w:tcW w:w="1106" w:type="dxa"/>
            <w:vMerge/>
            <w:vAlign w:val="center"/>
            <w:hideMark/>
          </w:tcPr>
          <w:p w14:paraId="3EB7FA4C" w14:textId="77777777" w:rsidR="00B91A01" w:rsidRPr="008B234F" w:rsidRDefault="00B91A01" w:rsidP="00CF2EDD">
            <w:pPr>
              <w:rPr>
                <w:rFonts w:ascii="Times New Roman" w:eastAsia="Times New Roman" w:hAnsi="Times New Roman" w:cs="Times New Roman"/>
                <w:color w:val="000000"/>
                <w:lang w:eastAsia="es-HN"/>
              </w:rPr>
            </w:pPr>
          </w:p>
        </w:tc>
        <w:tc>
          <w:tcPr>
            <w:tcW w:w="996" w:type="dxa"/>
            <w:vMerge/>
            <w:vAlign w:val="center"/>
            <w:hideMark/>
          </w:tcPr>
          <w:p w14:paraId="330A0EED" w14:textId="77777777" w:rsidR="00B91A01" w:rsidRPr="008B234F" w:rsidRDefault="00B91A01" w:rsidP="00CF2EDD">
            <w:pPr>
              <w:rPr>
                <w:rFonts w:ascii="Times New Roman" w:eastAsia="Times New Roman" w:hAnsi="Times New Roman" w:cs="Times New Roman"/>
                <w:color w:val="000000"/>
                <w:lang w:eastAsia="es-HN"/>
              </w:rPr>
            </w:pPr>
          </w:p>
        </w:tc>
        <w:tc>
          <w:tcPr>
            <w:tcW w:w="969" w:type="dxa"/>
            <w:vMerge/>
            <w:vAlign w:val="center"/>
            <w:hideMark/>
          </w:tcPr>
          <w:p w14:paraId="23EB615B" w14:textId="77777777" w:rsidR="00B91A01" w:rsidRPr="008B234F" w:rsidRDefault="00B91A01" w:rsidP="00CF2EDD">
            <w:pPr>
              <w:rPr>
                <w:rFonts w:ascii="Times New Roman" w:eastAsia="Times New Roman" w:hAnsi="Times New Roman" w:cs="Times New Roman"/>
                <w:color w:val="000000"/>
                <w:lang w:eastAsia="es-HN"/>
              </w:rPr>
            </w:pPr>
          </w:p>
        </w:tc>
      </w:tr>
      <w:tr w:rsidR="00B91A01" w:rsidRPr="008B234F" w14:paraId="391F5E19" w14:textId="77777777" w:rsidTr="00B91A01">
        <w:trPr>
          <w:trHeight w:val="1095"/>
        </w:trPr>
        <w:tc>
          <w:tcPr>
            <w:tcW w:w="1521" w:type="dxa"/>
            <w:vMerge/>
            <w:vAlign w:val="center"/>
            <w:hideMark/>
          </w:tcPr>
          <w:p w14:paraId="3A242F6D" w14:textId="77777777" w:rsidR="00B91A01" w:rsidRPr="008B234F" w:rsidRDefault="00B91A01" w:rsidP="00B91A01">
            <w:pPr>
              <w:jc w:val="center"/>
              <w:rPr>
                <w:rFonts w:ascii="Times New Roman" w:eastAsia="Times New Roman" w:hAnsi="Times New Roman" w:cs="Times New Roman"/>
                <w:color w:val="000000"/>
                <w:lang w:eastAsia="es-HN"/>
              </w:rPr>
            </w:pPr>
          </w:p>
        </w:tc>
        <w:tc>
          <w:tcPr>
            <w:tcW w:w="1939" w:type="dxa"/>
            <w:vMerge/>
            <w:vAlign w:val="center"/>
            <w:hideMark/>
          </w:tcPr>
          <w:p w14:paraId="193C4D01" w14:textId="77777777" w:rsidR="00B91A01" w:rsidRPr="008B234F" w:rsidRDefault="00B91A01" w:rsidP="00CF2EDD">
            <w:pPr>
              <w:rPr>
                <w:rFonts w:ascii="Times New Roman" w:eastAsia="Times New Roman" w:hAnsi="Times New Roman" w:cs="Times New Roman"/>
                <w:color w:val="000000"/>
                <w:lang w:eastAsia="es-HN"/>
              </w:rPr>
            </w:pPr>
          </w:p>
        </w:tc>
        <w:tc>
          <w:tcPr>
            <w:tcW w:w="1701" w:type="dxa"/>
            <w:vMerge/>
            <w:vAlign w:val="center"/>
            <w:hideMark/>
          </w:tcPr>
          <w:p w14:paraId="3962E220" w14:textId="77777777" w:rsidR="00B91A01" w:rsidRPr="008B234F" w:rsidRDefault="00B91A01" w:rsidP="00CF2EDD">
            <w:pPr>
              <w:rPr>
                <w:rFonts w:ascii="Times New Roman" w:eastAsia="Times New Roman" w:hAnsi="Times New Roman" w:cs="Times New Roman"/>
                <w:color w:val="000000"/>
                <w:lang w:eastAsia="es-HN"/>
              </w:rPr>
            </w:pPr>
          </w:p>
        </w:tc>
        <w:tc>
          <w:tcPr>
            <w:tcW w:w="1777" w:type="dxa"/>
            <w:vMerge/>
            <w:vAlign w:val="center"/>
            <w:hideMark/>
          </w:tcPr>
          <w:p w14:paraId="2189B966" w14:textId="77777777" w:rsidR="00B91A01" w:rsidRPr="008B234F" w:rsidRDefault="00B91A01" w:rsidP="00CF2EDD">
            <w:pPr>
              <w:rPr>
                <w:rFonts w:ascii="Times New Roman" w:eastAsia="Times New Roman" w:hAnsi="Times New Roman" w:cs="Times New Roman"/>
                <w:color w:val="000000"/>
                <w:lang w:eastAsia="es-HN"/>
              </w:rPr>
            </w:pPr>
          </w:p>
        </w:tc>
        <w:tc>
          <w:tcPr>
            <w:tcW w:w="1949" w:type="dxa"/>
            <w:shd w:val="clear" w:color="auto" w:fill="auto"/>
            <w:vAlign w:val="center"/>
            <w:hideMark/>
          </w:tcPr>
          <w:p w14:paraId="3B9A3461" w14:textId="77777777" w:rsidR="00B91A01" w:rsidRPr="008B234F" w:rsidRDefault="00B91A01" w:rsidP="00CF2EDD">
            <w:pPr>
              <w:rPr>
                <w:rFonts w:ascii="Times New Roman" w:eastAsia="Times New Roman" w:hAnsi="Times New Roman" w:cs="Times New Roman"/>
                <w:color w:val="000000"/>
                <w:lang w:eastAsia="es-HN"/>
              </w:rPr>
            </w:pPr>
            <w:r w:rsidRPr="008B234F">
              <w:rPr>
                <w:rFonts w:ascii="Times New Roman" w:eastAsia="Times New Roman" w:hAnsi="Times New Roman" w:cs="Times New Roman"/>
                <w:color w:val="000000"/>
                <w:lang w:eastAsia="es-HN"/>
              </w:rPr>
              <w:t>Ratio de apalancamiento financiero = activo/patrimonio neto.</w:t>
            </w:r>
          </w:p>
        </w:tc>
        <w:tc>
          <w:tcPr>
            <w:tcW w:w="1992" w:type="dxa"/>
            <w:vMerge/>
            <w:vAlign w:val="center"/>
            <w:hideMark/>
          </w:tcPr>
          <w:p w14:paraId="25D83B2A" w14:textId="77777777" w:rsidR="00B91A01" w:rsidRPr="008B234F" w:rsidRDefault="00B91A01" w:rsidP="00CF2EDD">
            <w:pPr>
              <w:rPr>
                <w:rFonts w:ascii="Times New Roman" w:eastAsia="Times New Roman" w:hAnsi="Times New Roman" w:cs="Times New Roman"/>
                <w:color w:val="000000"/>
                <w:lang w:eastAsia="es-HN"/>
              </w:rPr>
            </w:pPr>
          </w:p>
        </w:tc>
        <w:tc>
          <w:tcPr>
            <w:tcW w:w="1106" w:type="dxa"/>
            <w:vMerge/>
            <w:vAlign w:val="center"/>
            <w:hideMark/>
          </w:tcPr>
          <w:p w14:paraId="7362907F" w14:textId="77777777" w:rsidR="00B91A01" w:rsidRPr="008B234F" w:rsidRDefault="00B91A01" w:rsidP="00CF2EDD">
            <w:pPr>
              <w:rPr>
                <w:rFonts w:ascii="Times New Roman" w:eastAsia="Times New Roman" w:hAnsi="Times New Roman" w:cs="Times New Roman"/>
                <w:color w:val="000000"/>
                <w:lang w:eastAsia="es-HN"/>
              </w:rPr>
            </w:pPr>
          </w:p>
        </w:tc>
        <w:tc>
          <w:tcPr>
            <w:tcW w:w="996" w:type="dxa"/>
            <w:vMerge/>
            <w:vAlign w:val="center"/>
            <w:hideMark/>
          </w:tcPr>
          <w:p w14:paraId="274E5AF7" w14:textId="77777777" w:rsidR="00B91A01" w:rsidRPr="008B234F" w:rsidRDefault="00B91A01" w:rsidP="00CF2EDD">
            <w:pPr>
              <w:rPr>
                <w:rFonts w:ascii="Times New Roman" w:eastAsia="Times New Roman" w:hAnsi="Times New Roman" w:cs="Times New Roman"/>
                <w:color w:val="000000"/>
                <w:lang w:eastAsia="es-HN"/>
              </w:rPr>
            </w:pPr>
          </w:p>
        </w:tc>
        <w:tc>
          <w:tcPr>
            <w:tcW w:w="969" w:type="dxa"/>
            <w:vMerge/>
            <w:vAlign w:val="center"/>
            <w:hideMark/>
          </w:tcPr>
          <w:p w14:paraId="04046EE8" w14:textId="77777777" w:rsidR="00B91A01" w:rsidRPr="008B234F" w:rsidRDefault="00B91A01" w:rsidP="00CF2EDD">
            <w:pPr>
              <w:rPr>
                <w:rFonts w:ascii="Times New Roman" w:eastAsia="Times New Roman" w:hAnsi="Times New Roman" w:cs="Times New Roman"/>
                <w:color w:val="000000"/>
                <w:lang w:eastAsia="es-HN"/>
              </w:rPr>
            </w:pPr>
          </w:p>
        </w:tc>
      </w:tr>
      <w:tr w:rsidR="00B91A01" w:rsidRPr="008B234F" w14:paraId="4E0600B2" w14:textId="77777777" w:rsidTr="00B91A01">
        <w:trPr>
          <w:trHeight w:val="1710"/>
        </w:trPr>
        <w:tc>
          <w:tcPr>
            <w:tcW w:w="1521" w:type="dxa"/>
            <w:vMerge w:val="restart"/>
            <w:shd w:val="clear" w:color="auto" w:fill="auto"/>
            <w:vAlign w:val="center"/>
            <w:hideMark/>
          </w:tcPr>
          <w:p w14:paraId="4C5E4E4C" w14:textId="77777777" w:rsidR="00B91A01" w:rsidRPr="008B234F" w:rsidRDefault="00B91A01" w:rsidP="00B91A01">
            <w:pPr>
              <w:jc w:val="center"/>
              <w:rPr>
                <w:rFonts w:ascii="Times New Roman" w:eastAsia="Times New Roman" w:hAnsi="Times New Roman" w:cs="Times New Roman"/>
                <w:color w:val="000000"/>
                <w:lang w:eastAsia="es-HN"/>
              </w:rPr>
            </w:pPr>
            <w:r w:rsidRPr="008B234F">
              <w:rPr>
                <w:rFonts w:ascii="Times New Roman" w:eastAsia="Times New Roman" w:hAnsi="Times New Roman" w:cs="Times New Roman"/>
                <w:color w:val="000000"/>
                <w:lang w:eastAsia="es-HN"/>
              </w:rPr>
              <w:t>Morosidad</w:t>
            </w:r>
          </w:p>
        </w:tc>
        <w:tc>
          <w:tcPr>
            <w:tcW w:w="1939" w:type="dxa"/>
            <w:vMerge w:val="restart"/>
            <w:shd w:val="clear" w:color="auto" w:fill="auto"/>
            <w:vAlign w:val="center"/>
            <w:hideMark/>
          </w:tcPr>
          <w:p w14:paraId="58EE8C54" w14:textId="426F2703" w:rsidR="00B91A01" w:rsidRPr="008B234F" w:rsidRDefault="00B91A01" w:rsidP="00CF2EDD">
            <w:pPr>
              <w:rPr>
                <w:rFonts w:ascii="Times New Roman" w:eastAsia="Times New Roman" w:hAnsi="Times New Roman" w:cs="Times New Roman"/>
                <w:color w:val="000000"/>
                <w:lang w:eastAsia="es-HN"/>
              </w:rPr>
            </w:pPr>
            <w:r w:rsidRPr="008B234F">
              <w:rPr>
                <w:rFonts w:ascii="Times New Roman" w:eastAsia="Times New Roman" w:hAnsi="Times New Roman" w:cs="Times New Roman"/>
                <w:color w:val="000000"/>
                <w:lang w:eastAsia="es-HN"/>
              </w:rPr>
              <w:t xml:space="preserve">Es aquella práctica en la que un deudor, persona física o jurídica, no cumple con el pago al vencimiento de una obligación. La morosidad se define como la falta de cumplimiento de obligaciones financieras dentro de los términos </w:t>
            </w:r>
            <w:r w:rsidRPr="008B234F">
              <w:rPr>
                <w:rFonts w:ascii="Times New Roman" w:eastAsia="Times New Roman" w:hAnsi="Times New Roman" w:cs="Times New Roman"/>
                <w:color w:val="000000"/>
                <w:lang w:eastAsia="es-HN"/>
              </w:rPr>
              <w:lastRenderedPageBreak/>
              <w:t xml:space="preserve">acordados. Esto incluye el retraso o la omisión en el pago de deudas, préstamos o facturas. La morosidad puede dar lugar a penalizaciones financieras y tener un impacto negativo en la reputación crediticia y financiera de las partes involucradas. </w:t>
            </w:r>
            <w:r w:rsidRPr="008B234F">
              <w:rPr>
                <w:rFonts w:ascii="Times New Roman" w:hAnsi="Times New Roman" w:cs="Times New Roman"/>
              </w:rPr>
              <w:fldChar w:fldCharType="begin"/>
            </w:r>
            <w:r w:rsidR="000F6563">
              <w:rPr>
                <w:rFonts w:ascii="Times New Roman" w:hAnsi="Times New Roman" w:cs="Times New Roman"/>
              </w:rPr>
              <w:instrText xml:space="preserve"> ADDIN ZOTERO_ITEM CSL_CITATION {"citationID":"SPkivl9f","properties":{"formattedCitation":"(Carrasco Herrera &amp; Zepeda Herrera, 2023, p. 29)","plainCitation":"(Carrasco Herrera &amp; Zepeda Herrera, 2023, p. 29)","noteIndex":0},"citationItems":[{"id":44,"uris":["http://zotero.org/users/13562074/items/MEDYFG6U"],"itemData":{"id":44,"type":"document","title":"La Educación Financiera Y El Endeudamiento De Los Empleados De Ashonplafa Honduras.","author":[{"family":"Carrasco Herrera","given":"Charles Yackson"},{"family":"Zepeda Herrera","given":"Daniel Alfredo"}],"issued":{"date-parts":[["2023"]]}},"locator":"29","label":"page"}],"schema":"https://github.com/citation-style-language/schema/raw/master/csl-citation.json"} </w:instrText>
            </w:r>
            <w:r w:rsidRPr="008B234F">
              <w:rPr>
                <w:rFonts w:ascii="Times New Roman" w:hAnsi="Times New Roman" w:cs="Times New Roman"/>
              </w:rPr>
              <w:fldChar w:fldCharType="separate"/>
            </w:r>
            <w:r w:rsidRPr="008B234F">
              <w:rPr>
                <w:rFonts w:ascii="Times New Roman" w:hAnsi="Times New Roman" w:cs="Times New Roman"/>
              </w:rPr>
              <w:t>(Carrasco Herrera &amp; Zepeda Herrera, 2023, p. 29)</w:t>
            </w:r>
            <w:r w:rsidRPr="008B234F">
              <w:rPr>
                <w:rFonts w:ascii="Times New Roman" w:hAnsi="Times New Roman" w:cs="Times New Roman"/>
              </w:rPr>
              <w:fldChar w:fldCharType="end"/>
            </w:r>
          </w:p>
        </w:tc>
        <w:tc>
          <w:tcPr>
            <w:tcW w:w="1701" w:type="dxa"/>
            <w:vMerge w:val="restart"/>
            <w:shd w:val="clear" w:color="auto" w:fill="auto"/>
            <w:vAlign w:val="center"/>
            <w:hideMark/>
          </w:tcPr>
          <w:p w14:paraId="528A60BC" w14:textId="6572CA1E" w:rsidR="00B91A01" w:rsidRPr="008B234F" w:rsidRDefault="00B91A01" w:rsidP="00CF2EDD">
            <w:pPr>
              <w:rPr>
                <w:rFonts w:ascii="Times New Roman" w:eastAsia="Times New Roman" w:hAnsi="Times New Roman" w:cs="Times New Roman"/>
                <w:color w:val="000000"/>
                <w:lang w:eastAsia="es-HN"/>
              </w:rPr>
            </w:pPr>
            <w:r w:rsidRPr="008B234F">
              <w:rPr>
                <w:rFonts w:ascii="Times New Roman" w:eastAsia="Times New Roman" w:hAnsi="Times New Roman" w:cs="Times New Roman"/>
                <w:color w:val="000000"/>
                <w:lang w:eastAsia="es-HN"/>
              </w:rPr>
              <w:lastRenderedPageBreak/>
              <w:t xml:space="preserve">La morosidad se refiere al retraso o incumplimiento en el pago de deudas o compromisos financieros, esta ocurre cuando una persona, o empresa no cumple con los plazos de pago acordados para </w:t>
            </w:r>
            <w:r w:rsidRPr="008B234F">
              <w:rPr>
                <w:rFonts w:ascii="Times New Roman" w:eastAsia="Times New Roman" w:hAnsi="Times New Roman" w:cs="Times New Roman"/>
                <w:color w:val="000000"/>
                <w:lang w:eastAsia="es-HN"/>
              </w:rPr>
              <w:lastRenderedPageBreak/>
              <w:t>sus obligaciones.</w:t>
            </w:r>
          </w:p>
        </w:tc>
        <w:tc>
          <w:tcPr>
            <w:tcW w:w="1777" w:type="dxa"/>
            <w:vMerge w:val="restart"/>
            <w:shd w:val="clear" w:color="auto" w:fill="auto"/>
            <w:vAlign w:val="center"/>
            <w:hideMark/>
          </w:tcPr>
          <w:p w14:paraId="21ADED8E" w14:textId="77777777" w:rsidR="00B91A01" w:rsidRPr="008B234F" w:rsidRDefault="00B91A01" w:rsidP="00CF2EDD">
            <w:pPr>
              <w:jc w:val="center"/>
              <w:rPr>
                <w:rFonts w:ascii="Times New Roman" w:eastAsia="Times New Roman" w:hAnsi="Times New Roman" w:cs="Times New Roman"/>
                <w:color w:val="000000"/>
                <w:lang w:eastAsia="es-HN"/>
              </w:rPr>
            </w:pPr>
            <w:r w:rsidRPr="008B234F">
              <w:rPr>
                <w:rFonts w:ascii="Times New Roman" w:eastAsia="Times New Roman" w:hAnsi="Times New Roman" w:cs="Times New Roman"/>
                <w:color w:val="000000"/>
                <w:lang w:eastAsia="es-HN"/>
              </w:rPr>
              <w:lastRenderedPageBreak/>
              <w:t>Contable / Financiero</w:t>
            </w:r>
          </w:p>
        </w:tc>
        <w:tc>
          <w:tcPr>
            <w:tcW w:w="1949" w:type="dxa"/>
            <w:shd w:val="clear" w:color="auto" w:fill="auto"/>
            <w:vAlign w:val="center"/>
            <w:hideMark/>
          </w:tcPr>
          <w:p w14:paraId="4E617B75" w14:textId="77777777" w:rsidR="00BC515F" w:rsidRDefault="00BC515F" w:rsidP="00CF2EDD">
            <w:pPr>
              <w:rPr>
                <w:rFonts w:ascii="Times New Roman" w:eastAsia="Times New Roman" w:hAnsi="Times New Roman" w:cs="Times New Roman"/>
                <w:color w:val="000000"/>
                <w:lang w:eastAsia="es-HN"/>
              </w:rPr>
            </w:pPr>
            <w:r>
              <w:rPr>
                <w:rFonts w:ascii="Times New Roman" w:eastAsia="Times New Roman" w:hAnsi="Times New Roman" w:cs="Times New Roman"/>
                <w:color w:val="000000"/>
                <w:lang w:eastAsia="es-HN"/>
              </w:rPr>
              <w:t>Í</w:t>
            </w:r>
            <w:r w:rsidRPr="00BC515F">
              <w:rPr>
                <w:rFonts w:ascii="Times New Roman" w:eastAsia="Times New Roman" w:hAnsi="Times New Roman" w:cs="Times New Roman"/>
                <w:color w:val="000000"/>
                <w:lang w:eastAsia="es-HN"/>
              </w:rPr>
              <w:t>ndice Mora Mayor a 8 días</w:t>
            </w:r>
            <w:r>
              <w:rPr>
                <w:rFonts w:ascii="Times New Roman" w:eastAsia="Times New Roman" w:hAnsi="Times New Roman" w:cs="Times New Roman"/>
                <w:color w:val="000000"/>
                <w:lang w:eastAsia="es-HN"/>
              </w:rPr>
              <w:t>=</w:t>
            </w:r>
            <w:r>
              <w:t xml:space="preserve"> (</w:t>
            </w:r>
            <w:r w:rsidRPr="00BC515F">
              <w:rPr>
                <w:rFonts w:ascii="Times New Roman" w:eastAsia="Times New Roman" w:hAnsi="Times New Roman" w:cs="Times New Roman"/>
                <w:color w:val="000000"/>
                <w:lang w:eastAsia="es-HN"/>
              </w:rPr>
              <w:t>Créditos en Mora &gt; 8 días</w:t>
            </w:r>
            <w:r>
              <w:rPr>
                <w:rFonts w:ascii="Times New Roman" w:eastAsia="Times New Roman" w:hAnsi="Times New Roman" w:cs="Times New Roman"/>
                <w:color w:val="000000"/>
                <w:lang w:eastAsia="es-HN"/>
              </w:rPr>
              <w:t xml:space="preserve"> / </w:t>
            </w:r>
            <w:r w:rsidRPr="00BC515F">
              <w:rPr>
                <w:rFonts w:ascii="Times New Roman" w:eastAsia="Times New Roman" w:hAnsi="Times New Roman" w:cs="Times New Roman"/>
                <w:color w:val="000000"/>
                <w:lang w:eastAsia="es-HN"/>
              </w:rPr>
              <w:t>Cartera Crediticia</w:t>
            </w:r>
            <w:r>
              <w:rPr>
                <w:rFonts w:ascii="Times New Roman" w:eastAsia="Times New Roman" w:hAnsi="Times New Roman" w:cs="Times New Roman"/>
                <w:color w:val="000000"/>
                <w:lang w:eastAsia="es-HN"/>
              </w:rPr>
              <w:t>)</w:t>
            </w:r>
          </w:p>
          <w:p w14:paraId="40F69866" w14:textId="77777777" w:rsidR="00BC515F" w:rsidRDefault="00BC515F" w:rsidP="00CF2EDD">
            <w:pPr>
              <w:rPr>
                <w:rFonts w:ascii="Times New Roman" w:eastAsia="Times New Roman" w:hAnsi="Times New Roman" w:cs="Times New Roman"/>
                <w:color w:val="000000"/>
                <w:lang w:eastAsia="es-HN"/>
              </w:rPr>
            </w:pPr>
          </w:p>
          <w:p w14:paraId="69579302" w14:textId="7F7B735E" w:rsidR="00BC515F" w:rsidRDefault="00BC515F" w:rsidP="00CF2EDD">
            <w:pPr>
              <w:rPr>
                <w:rFonts w:ascii="Times New Roman" w:eastAsia="Times New Roman" w:hAnsi="Times New Roman" w:cs="Times New Roman"/>
                <w:color w:val="000000"/>
                <w:lang w:eastAsia="es-HN"/>
              </w:rPr>
            </w:pPr>
            <w:r>
              <w:rPr>
                <w:rFonts w:ascii="Times New Roman" w:eastAsia="Times New Roman" w:hAnsi="Times New Roman" w:cs="Times New Roman"/>
                <w:color w:val="000000"/>
                <w:lang w:eastAsia="es-HN"/>
              </w:rPr>
              <w:t>Í</w:t>
            </w:r>
            <w:r w:rsidRPr="00BC515F">
              <w:rPr>
                <w:rFonts w:ascii="Times New Roman" w:eastAsia="Times New Roman" w:hAnsi="Times New Roman" w:cs="Times New Roman"/>
                <w:color w:val="000000"/>
                <w:lang w:eastAsia="es-HN"/>
              </w:rPr>
              <w:t xml:space="preserve">ndice Mora Mayor a </w:t>
            </w:r>
            <w:r>
              <w:rPr>
                <w:rFonts w:ascii="Times New Roman" w:eastAsia="Times New Roman" w:hAnsi="Times New Roman" w:cs="Times New Roman"/>
                <w:color w:val="000000"/>
                <w:lang w:eastAsia="es-HN"/>
              </w:rPr>
              <w:t>30</w:t>
            </w:r>
            <w:r w:rsidRPr="00BC515F">
              <w:rPr>
                <w:rFonts w:ascii="Times New Roman" w:eastAsia="Times New Roman" w:hAnsi="Times New Roman" w:cs="Times New Roman"/>
                <w:color w:val="000000"/>
                <w:lang w:eastAsia="es-HN"/>
              </w:rPr>
              <w:t xml:space="preserve"> días</w:t>
            </w:r>
            <w:r>
              <w:rPr>
                <w:rFonts w:ascii="Times New Roman" w:eastAsia="Times New Roman" w:hAnsi="Times New Roman" w:cs="Times New Roman"/>
                <w:color w:val="000000"/>
                <w:lang w:eastAsia="es-HN"/>
              </w:rPr>
              <w:t>=</w:t>
            </w:r>
            <w:r>
              <w:t xml:space="preserve"> (</w:t>
            </w:r>
            <w:r w:rsidRPr="00BC515F">
              <w:rPr>
                <w:rFonts w:ascii="Times New Roman" w:eastAsia="Times New Roman" w:hAnsi="Times New Roman" w:cs="Times New Roman"/>
                <w:color w:val="000000"/>
                <w:lang w:eastAsia="es-HN"/>
              </w:rPr>
              <w:t xml:space="preserve">Créditos en Mora &gt; </w:t>
            </w:r>
            <w:r>
              <w:rPr>
                <w:rFonts w:ascii="Times New Roman" w:eastAsia="Times New Roman" w:hAnsi="Times New Roman" w:cs="Times New Roman"/>
                <w:color w:val="000000"/>
                <w:lang w:eastAsia="es-HN"/>
              </w:rPr>
              <w:t>30</w:t>
            </w:r>
            <w:r w:rsidRPr="00BC515F">
              <w:rPr>
                <w:rFonts w:ascii="Times New Roman" w:eastAsia="Times New Roman" w:hAnsi="Times New Roman" w:cs="Times New Roman"/>
                <w:color w:val="000000"/>
                <w:lang w:eastAsia="es-HN"/>
              </w:rPr>
              <w:t xml:space="preserve"> días</w:t>
            </w:r>
            <w:r>
              <w:rPr>
                <w:rFonts w:ascii="Times New Roman" w:eastAsia="Times New Roman" w:hAnsi="Times New Roman" w:cs="Times New Roman"/>
                <w:color w:val="000000"/>
                <w:lang w:eastAsia="es-HN"/>
              </w:rPr>
              <w:t xml:space="preserve"> / </w:t>
            </w:r>
            <w:r w:rsidRPr="00BC515F">
              <w:rPr>
                <w:rFonts w:ascii="Times New Roman" w:eastAsia="Times New Roman" w:hAnsi="Times New Roman" w:cs="Times New Roman"/>
                <w:color w:val="000000"/>
                <w:lang w:eastAsia="es-HN"/>
              </w:rPr>
              <w:t>Cartera Crediticia</w:t>
            </w:r>
            <w:r>
              <w:rPr>
                <w:rFonts w:ascii="Times New Roman" w:eastAsia="Times New Roman" w:hAnsi="Times New Roman" w:cs="Times New Roman"/>
                <w:color w:val="000000"/>
                <w:lang w:eastAsia="es-HN"/>
              </w:rPr>
              <w:t>)</w:t>
            </w:r>
          </w:p>
          <w:p w14:paraId="6E4F5467" w14:textId="77777777" w:rsidR="00BC515F" w:rsidRDefault="00BC515F" w:rsidP="00CF2EDD">
            <w:pPr>
              <w:rPr>
                <w:rFonts w:ascii="Times New Roman" w:eastAsia="Times New Roman" w:hAnsi="Times New Roman" w:cs="Times New Roman"/>
                <w:color w:val="000000"/>
                <w:lang w:eastAsia="es-HN"/>
              </w:rPr>
            </w:pPr>
          </w:p>
          <w:p w14:paraId="287F3196" w14:textId="4627473C" w:rsidR="00BC515F" w:rsidRPr="008B234F" w:rsidRDefault="00BC515F" w:rsidP="00CF2EDD">
            <w:pPr>
              <w:rPr>
                <w:rFonts w:ascii="Times New Roman" w:eastAsia="Times New Roman" w:hAnsi="Times New Roman" w:cs="Times New Roman"/>
                <w:color w:val="000000"/>
                <w:lang w:eastAsia="es-HN"/>
              </w:rPr>
            </w:pPr>
            <w:r>
              <w:rPr>
                <w:rFonts w:ascii="Times New Roman" w:eastAsia="Times New Roman" w:hAnsi="Times New Roman" w:cs="Times New Roman"/>
                <w:color w:val="000000"/>
                <w:lang w:eastAsia="es-HN"/>
              </w:rPr>
              <w:t>Incobrabilidad= (Cartera castigada / Cartera promedio)</w:t>
            </w:r>
          </w:p>
        </w:tc>
        <w:tc>
          <w:tcPr>
            <w:tcW w:w="1992" w:type="dxa"/>
            <w:vMerge w:val="restart"/>
            <w:shd w:val="clear" w:color="auto" w:fill="auto"/>
            <w:vAlign w:val="center"/>
            <w:hideMark/>
          </w:tcPr>
          <w:p w14:paraId="37C3921B" w14:textId="7A4D6177" w:rsidR="00B91A01" w:rsidRDefault="00520216" w:rsidP="00520216">
            <w:pPr>
              <w:rPr>
                <w:rFonts w:ascii="Times New Roman" w:eastAsia="Times New Roman" w:hAnsi="Times New Roman" w:cs="Times New Roman"/>
                <w:color w:val="000000"/>
                <w:lang w:eastAsia="es-HN"/>
              </w:rPr>
            </w:pPr>
            <w:r>
              <w:rPr>
                <w:rFonts w:ascii="Times New Roman" w:eastAsia="Times New Roman" w:hAnsi="Times New Roman" w:cs="Times New Roman"/>
                <w:color w:val="000000"/>
                <w:lang w:eastAsia="es-HN"/>
              </w:rPr>
              <w:t xml:space="preserve">1. </w:t>
            </w:r>
            <w:r w:rsidRPr="00520216">
              <w:rPr>
                <w:rFonts w:ascii="Times New Roman" w:eastAsia="Times New Roman" w:hAnsi="Times New Roman" w:cs="Times New Roman"/>
                <w:color w:val="000000"/>
                <w:lang w:eastAsia="es-HN"/>
              </w:rPr>
              <w:t xml:space="preserve">¿Cuál es el índice de morosidad (PAR 30) y cómo ha variado en </w:t>
            </w:r>
            <w:r>
              <w:rPr>
                <w:rFonts w:ascii="Times New Roman" w:eastAsia="Times New Roman" w:hAnsi="Times New Roman" w:cs="Times New Roman"/>
                <w:color w:val="000000"/>
                <w:lang w:eastAsia="es-HN"/>
              </w:rPr>
              <w:t>los</w:t>
            </w:r>
            <w:r w:rsidRPr="00520216">
              <w:rPr>
                <w:rFonts w:ascii="Times New Roman" w:eastAsia="Times New Roman" w:hAnsi="Times New Roman" w:cs="Times New Roman"/>
                <w:color w:val="000000"/>
                <w:lang w:eastAsia="es-HN"/>
              </w:rPr>
              <w:t xml:space="preserve"> último</w:t>
            </w:r>
            <w:r>
              <w:rPr>
                <w:rFonts w:ascii="Times New Roman" w:eastAsia="Times New Roman" w:hAnsi="Times New Roman" w:cs="Times New Roman"/>
                <w:color w:val="000000"/>
                <w:lang w:eastAsia="es-HN"/>
              </w:rPr>
              <w:t>s</w:t>
            </w:r>
            <w:r w:rsidRPr="00520216">
              <w:rPr>
                <w:rFonts w:ascii="Times New Roman" w:eastAsia="Times New Roman" w:hAnsi="Times New Roman" w:cs="Times New Roman"/>
                <w:color w:val="000000"/>
                <w:lang w:eastAsia="es-HN"/>
              </w:rPr>
              <w:t xml:space="preserve"> año</w:t>
            </w:r>
            <w:r>
              <w:rPr>
                <w:rFonts w:ascii="Times New Roman" w:eastAsia="Times New Roman" w:hAnsi="Times New Roman" w:cs="Times New Roman"/>
                <w:color w:val="000000"/>
                <w:lang w:eastAsia="es-HN"/>
              </w:rPr>
              <w:t>s</w:t>
            </w:r>
            <w:r w:rsidRPr="00520216">
              <w:rPr>
                <w:rFonts w:ascii="Times New Roman" w:eastAsia="Times New Roman" w:hAnsi="Times New Roman" w:cs="Times New Roman"/>
                <w:color w:val="000000"/>
                <w:lang w:eastAsia="es-HN"/>
              </w:rPr>
              <w:t>?</w:t>
            </w:r>
          </w:p>
          <w:p w14:paraId="5695EF70" w14:textId="77777777" w:rsidR="00520216" w:rsidRDefault="00520216" w:rsidP="00520216">
            <w:pPr>
              <w:rPr>
                <w:rFonts w:ascii="Times New Roman" w:eastAsia="Times New Roman" w:hAnsi="Times New Roman" w:cs="Times New Roman"/>
                <w:color w:val="000000"/>
                <w:lang w:eastAsia="es-HN"/>
              </w:rPr>
            </w:pPr>
          </w:p>
          <w:p w14:paraId="15196A66" w14:textId="77777777" w:rsidR="00520216" w:rsidRDefault="00520216" w:rsidP="00520216">
            <w:pPr>
              <w:rPr>
                <w:rFonts w:ascii="Times New Roman" w:eastAsia="Times New Roman" w:hAnsi="Times New Roman" w:cs="Times New Roman"/>
                <w:color w:val="000000"/>
                <w:lang w:eastAsia="es-HN"/>
              </w:rPr>
            </w:pPr>
            <w:r>
              <w:rPr>
                <w:rFonts w:ascii="Times New Roman" w:eastAsia="Times New Roman" w:hAnsi="Times New Roman" w:cs="Times New Roman"/>
                <w:color w:val="000000"/>
                <w:lang w:eastAsia="es-HN"/>
              </w:rPr>
              <w:t xml:space="preserve">2. </w:t>
            </w:r>
            <w:r w:rsidRPr="00520216">
              <w:rPr>
                <w:rFonts w:ascii="Times New Roman" w:eastAsia="Times New Roman" w:hAnsi="Times New Roman" w:cs="Times New Roman"/>
                <w:color w:val="000000"/>
                <w:lang w:eastAsia="es-HN"/>
              </w:rPr>
              <w:t>¿Cuál es el monto total de créditos vencidos y qué porcentaje representa sobre el total de la cartera crediticia?</w:t>
            </w:r>
          </w:p>
          <w:p w14:paraId="5878ABD3" w14:textId="77777777" w:rsidR="00520216" w:rsidRDefault="00520216" w:rsidP="00520216">
            <w:pPr>
              <w:rPr>
                <w:rFonts w:ascii="Times New Roman" w:eastAsia="Times New Roman" w:hAnsi="Times New Roman" w:cs="Times New Roman"/>
                <w:color w:val="000000"/>
                <w:lang w:eastAsia="es-HN"/>
              </w:rPr>
            </w:pPr>
            <w:r>
              <w:rPr>
                <w:rFonts w:ascii="Times New Roman" w:eastAsia="Times New Roman" w:hAnsi="Times New Roman" w:cs="Times New Roman"/>
                <w:color w:val="000000"/>
                <w:lang w:eastAsia="es-HN"/>
              </w:rPr>
              <w:lastRenderedPageBreak/>
              <w:t xml:space="preserve">3. </w:t>
            </w:r>
            <w:r w:rsidRPr="00520216">
              <w:rPr>
                <w:rFonts w:ascii="Times New Roman" w:eastAsia="Times New Roman" w:hAnsi="Times New Roman" w:cs="Times New Roman"/>
                <w:color w:val="000000"/>
                <w:lang w:eastAsia="es-HN"/>
              </w:rPr>
              <w:t>¿Qué porcentaje del total de clientes se encuentran en mora?</w:t>
            </w:r>
          </w:p>
          <w:p w14:paraId="366ACA91" w14:textId="77777777" w:rsidR="00520216" w:rsidRDefault="00520216" w:rsidP="00520216">
            <w:pPr>
              <w:rPr>
                <w:rFonts w:ascii="Times New Roman" w:eastAsia="Times New Roman" w:hAnsi="Times New Roman" w:cs="Times New Roman"/>
                <w:color w:val="000000"/>
                <w:lang w:eastAsia="es-HN"/>
              </w:rPr>
            </w:pPr>
          </w:p>
          <w:p w14:paraId="329E0888" w14:textId="6C70AC63" w:rsidR="00520216" w:rsidRPr="008B234F" w:rsidRDefault="00520216" w:rsidP="00520216">
            <w:pPr>
              <w:rPr>
                <w:rFonts w:ascii="Times New Roman" w:eastAsia="Times New Roman" w:hAnsi="Times New Roman" w:cs="Times New Roman"/>
                <w:color w:val="000000"/>
                <w:lang w:eastAsia="es-HN"/>
              </w:rPr>
            </w:pPr>
            <w:r>
              <w:rPr>
                <w:rFonts w:ascii="Times New Roman" w:eastAsia="Times New Roman" w:hAnsi="Times New Roman" w:cs="Times New Roman"/>
                <w:color w:val="000000"/>
                <w:lang w:eastAsia="es-HN"/>
              </w:rPr>
              <w:t xml:space="preserve">4. </w:t>
            </w:r>
            <w:r w:rsidR="00895DA6">
              <w:rPr>
                <w:rFonts w:ascii="Times New Roman" w:eastAsia="Times New Roman" w:hAnsi="Times New Roman" w:cs="Times New Roman"/>
                <w:color w:val="000000"/>
                <w:lang w:eastAsia="es-HN"/>
              </w:rPr>
              <w:t>¿Cuál es el segmento de clientes y/o producto financiero que se ve más afectado según la cartera de créditos vencidos?</w:t>
            </w:r>
          </w:p>
        </w:tc>
        <w:tc>
          <w:tcPr>
            <w:tcW w:w="1106" w:type="dxa"/>
            <w:vMerge w:val="restart"/>
            <w:shd w:val="clear" w:color="auto" w:fill="auto"/>
            <w:vAlign w:val="center"/>
            <w:hideMark/>
          </w:tcPr>
          <w:p w14:paraId="73BA165B" w14:textId="77777777" w:rsidR="00B91A01" w:rsidRPr="008B234F" w:rsidRDefault="00B91A01" w:rsidP="00CF2EDD">
            <w:pPr>
              <w:rPr>
                <w:rFonts w:ascii="Times New Roman" w:eastAsia="Times New Roman" w:hAnsi="Times New Roman" w:cs="Times New Roman"/>
                <w:color w:val="000000"/>
                <w:lang w:eastAsia="es-HN"/>
              </w:rPr>
            </w:pPr>
            <w:r w:rsidRPr="008B234F">
              <w:rPr>
                <w:rFonts w:ascii="Times New Roman" w:eastAsia="Times New Roman" w:hAnsi="Times New Roman" w:cs="Times New Roman"/>
                <w:color w:val="000000"/>
                <w:lang w:eastAsia="es-HN"/>
              </w:rPr>
              <w:lastRenderedPageBreak/>
              <w:t>Revisión de Data Histórica (Análisis de Bases de Datos)</w:t>
            </w:r>
          </w:p>
        </w:tc>
        <w:tc>
          <w:tcPr>
            <w:tcW w:w="996" w:type="dxa"/>
            <w:vMerge w:val="restart"/>
            <w:shd w:val="clear" w:color="auto" w:fill="auto"/>
            <w:vAlign w:val="center"/>
            <w:hideMark/>
          </w:tcPr>
          <w:p w14:paraId="44F88FCD" w14:textId="77777777" w:rsidR="00B91A01" w:rsidRPr="008B234F" w:rsidRDefault="00B91A01" w:rsidP="00CF2EDD">
            <w:pPr>
              <w:jc w:val="center"/>
              <w:rPr>
                <w:rFonts w:ascii="Times New Roman" w:eastAsia="Times New Roman" w:hAnsi="Times New Roman" w:cs="Times New Roman"/>
                <w:color w:val="000000"/>
                <w:lang w:eastAsia="es-HN"/>
              </w:rPr>
            </w:pPr>
            <w:r w:rsidRPr="008B234F">
              <w:rPr>
                <w:rFonts w:ascii="Times New Roman" w:eastAsia="Times New Roman" w:hAnsi="Times New Roman" w:cs="Times New Roman"/>
                <w:color w:val="000000"/>
                <w:lang w:eastAsia="es-HN"/>
              </w:rPr>
              <w:t>NA</w:t>
            </w:r>
          </w:p>
        </w:tc>
        <w:tc>
          <w:tcPr>
            <w:tcW w:w="969" w:type="dxa"/>
            <w:vMerge w:val="restart"/>
            <w:shd w:val="clear" w:color="auto" w:fill="auto"/>
            <w:vAlign w:val="center"/>
            <w:hideMark/>
          </w:tcPr>
          <w:p w14:paraId="0EB1974C" w14:textId="77777777" w:rsidR="00B91A01" w:rsidRPr="008B234F" w:rsidRDefault="00B91A01" w:rsidP="00CF2EDD">
            <w:pPr>
              <w:jc w:val="center"/>
              <w:rPr>
                <w:rFonts w:ascii="Times New Roman" w:eastAsia="Times New Roman" w:hAnsi="Times New Roman" w:cs="Times New Roman"/>
                <w:color w:val="000000"/>
                <w:lang w:eastAsia="es-HN"/>
              </w:rPr>
            </w:pPr>
            <w:r w:rsidRPr="008B234F">
              <w:rPr>
                <w:rFonts w:ascii="Times New Roman" w:eastAsia="Times New Roman" w:hAnsi="Times New Roman" w:cs="Times New Roman"/>
                <w:color w:val="000000"/>
                <w:lang w:eastAsia="es-HN"/>
              </w:rPr>
              <w:t>NA</w:t>
            </w:r>
          </w:p>
        </w:tc>
      </w:tr>
      <w:tr w:rsidR="00B91A01" w:rsidRPr="008B234F" w14:paraId="550B440E" w14:textId="77777777" w:rsidTr="00B91A01">
        <w:trPr>
          <w:trHeight w:val="6390"/>
        </w:trPr>
        <w:tc>
          <w:tcPr>
            <w:tcW w:w="1521" w:type="dxa"/>
            <w:vMerge/>
            <w:vAlign w:val="center"/>
            <w:hideMark/>
          </w:tcPr>
          <w:p w14:paraId="57558E72" w14:textId="77777777" w:rsidR="00B91A01" w:rsidRPr="008B234F" w:rsidRDefault="00B91A01" w:rsidP="00CF2EDD">
            <w:pPr>
              <w:rPr>
                <w:rFonts w:ascii="Times New Roman" w:eastAsia="Times New Roman" w:hAnsi="Times New Roman" w:cs="Times New Roman"/>
                <w:color w:val="000000"/>
                <w:lang w:eastAsia="es-HN"/>
              </w:rPr>
            </w:pPr>
          </w:p>
        </w:tc>
        <w:tc>
          <w:tcPr>
            <w:tcW w:w="1939" w:type="dxa"/>
            <w:vMerge/>
            <w:vAlign w:val="center"/>
            <w:hideMark/>
          </w:tcPr>
          <w:p w14:paraId="084686D5" w14:textId="77777777" w:rsidR="00B91A01" w:rsidRPr="008B234F" w:rsidRDefault="00B91A01" w:rsidP="00CF2EDD">
            <w:pPr>
              <w:rPr>
                <w:rFonts w:ascii="Times New Roman" w:eastAsia="Times New Roman" w:hAnsi="Times New Roman" w:cs="Times New Roman"/>
                <w:color w:val="000000"/>
                <w:lang w:eastAsia="es-HN"/>
              </w:rPr>
            </w:pPr>
          </w:p>
        </w:tc>
        <w:tc>
          <w:tcPr>
            <w:tcW w:w="1701" w:type="dxa"/>
            <w:vMerge/>
            <w:vAlign w:val="center"/>
            <w:hideMark/>
          </w:tcPr>
          <w:p w14:paraId="14AF3D92" w14:textId="77777777" w:rsidR="00B91A01" w:rsidRPr="008B234F" w:rsidRDefault="00B91A01" w:rsidP="00CF2EDD">
            <w:pPr>
              <w:rPr>
                <w:rFonts w:ascii="Times New Roman" w:eastAsia="Times New Roman" w:hAnsi="Times New Roman" w:cs="Times New Roman"/>
                <w:color w:val="000000"/>
                <w:lang w:eastAsia="es-HN"/>
              </w:rPr>
            </w:pPr>
          </w:p>
        </w:tc>
        <w:tc>
          <w:tcPr>
            <w:tcW w:w="1777" w:type="dxa"/>
            <w:vMerge/>
            <w:vAlign w:val="center"/>
            <w:hideMark/>
          </w:tcPr>
          <w:p w14:paraId="21D9D99D" w14:textId="77777777" w:rsidR="00B91A01" w:rsidRPr="008B234F" w:rsidRDefault="00B91A01" w:rsidP="00CF2EDD">
            <w:pPr>
              <w:rPr>
                <w:rFonts w:ascii="Times New Roman" w:eastAsia="Times New Roman" w:hAnsi="Times New Roman" w:cs="Times New Roman"/>
                <w:color w:val="000000"/>
                <w:lang w:eastAsia="es-HN"/>
              </w:rPr>
            </w:pPr>
          </w:p>
        </w:tc>
        <w:tc>
          <w:tcPr>
            <w:tcW w:w="1949" w:type="dxa"/>
            <w:shd w:val="clear" w:color="auto" w:fill="auto"/>
            <w:vAlign w:val="center"/>
            <w:hideMark/>
          </w:tcPr>
          <w:p w14:paraId="3D7E3221" w14:textId="61700D78" w:rsidR="00B91A01" w:rsidRPr="008B234F" w:rsidRDefault="00B91A01" w:rsidP="00CF2EDD">
            <w:pPr>
              <w:rPr>
                <w:rFonts w:ascii="Times New Roman" w:eastAsia="Times New Roman" w:hAnsi="Times New Roman" w:cs="Times New Roman"/>
                <w:color w:val="000000"/>
                <w:lang w:eastAsia="es-HN"/>
              </w:rPr>
            </w:pPr>
          </w:p>
        </w:tc>
        <w:tc>
          <w:tcPr>
            <w:tcW w:w="1992" w:type="dxa"/>
            <w:vMerge/>
            <w:vAlign w:val="center"/>
            <w:hideMark/>
          </w:tcPr>
          <w:p w14:paraId="2D55EA84" w14:textId="77777777" w:rsidR="00B91A01" w:rsidRPr="008B234F" w:rsidRDefault="00B91A01" w:rsidP="00CF2EDD">
            <w:pPr>
              <w:rPr>
                <w:rFonts w:ascii="Times New Roman" w:eastAsia="Times New Roman" w:hAnsi="Times New Roman" w:cs="Times New Roman"/>
                <w:color w:val="000000"/>
                <w:lang w:eastAsia="es-HN"/>
              </w:rPr>
            </w:pPr>
          </w:p>
        </w:tc>
        <w:tc>
          <w:tcPr>
            <w:tcW w:w="1106" w:type="dxa"/>
            <w:vMerge/>
            <w:vAlign w:val="center"/>
            <w:hideMark/>
          </w:tcPr>
          <w:p w14:paraId="54128B37" w14:textId="77777777" w:rsidR="00B91A01" w:rsidRPr="008B234F" w:rsidRDefault="00B91A01" w:rsidP="00CF2EDD">
            <w:pPr>
              <w:rPr>
                <w:rFonts w:ascii="Times New Roman" w:eastAsia="Times New Roman" w:hAnsi="Times New Roman" w:cs="Times New Roman"/>
                <w:color w:val="000000"/>
                <w:lang w:eastAsia="es-HN"/>
              </w:rPr>
            </w:pPr>
          </w:p>
        </w:tc>
        <w:tc>
          <w:tcPr>
            <w:tcW w:w="996" w:type="dxa"/>
            <w:vMerge/>
            <w:vAlign w:val="center"/>
            <w:hideMark/>
          </w:tcPr>
          <w:p w14:paraId="66739ED6" w14:textId="77777777" w:rsidR="00B91A01" w:rsidRPr="008B234F" w:rsidRDefault="00B91A01" w:rsidP="00CF2EDD">
            <w:pPr>
              <w:rPr>
                <w:rFonts w:ascii="Times New Roman" w:eastAsia="Times New Roman" w:hAnsi="Times New Roman" w:cs="Times New Roman"/>
                <w:color w:val="000000"/>
                <w:lang w:eastAsia="es-HN"/>
              </w:rPr>
            </w:pPr>
          </w:p>
        </w:tc>
        <w:tc>
          <w:tcPr>
            <w:tcW w:w="969" w:type="dxa"/>
            <w:vMerge/>
            <w:vAlign w:val="center"/>
            <w:hideMark/>
          </w:tcPr>
          <w:p w14:paraId="7CA15A1F" w14:textId="77777777" w:rsidR="00B91A01" w:rsidRPr="008B234F" w:rsidRDefault="00B91A01" w:rsidP="00CF2EDD">
            <w:pPr>
              <w:rPr>
                <w:rFonts w:ascii="Times New Roman" w:eastAsia="Times New Roman" w:hAnsi="Times New Roman" w:cs="Times New Roman"/>
                <w:color w:val="000000"/>
                <w:lang w:eastAsia="es-HN"/>
              </w:rPr>
            </w:pPr>
          </w:p>
        </w:tc>
      </w:tr>
    </w:tbl>
    <w:p w14:paraId="017A0AE3" w14:textId="7BB60BA5" w:rsidR="00010965" w:rsidRPr="00902400" w:rsidRDefault="00902400" w:rsidP="00902400">
      <w:pPr>
        <w:widowControl/>
        <w:spacing w:after="160" w:line="360" w:lineRule="auto"/>
        <w:ind w:firstLine="720"/>
        <w:rPr>
          <w:rFonts w:ascii="Times New Roman" w:hAnsi="Times New Roman" w:cs="Times New Roman"/>
          <w:sz w:val="24"/>
          <w:szCs w:val="24"/>
        </w:rPr>
      </w:pPr>
      <w:r w:rsidRPr="00902400">
        <w:rPr>
          <w:rFonts w:ascii="Times New Roman" w:hAnsi="Times New Roman" w:cs="Times New Roman"/>
          <w:sz w:val="24"/>
          <w:szCs w:val="24"/>
        </w:rPr>
        <w:t>Fuente: Elaboración propia.</w:t>
      </w:r>
    </w:p>
    <w:p w14:paraId="4D0820BE" w14:textId="77777777" w:rsidR="00902400" w:rsidRPr="00902400" w:rsidRDefault="00902400" w:rsidP="00902400">
      <w:pPr>
        <w:rPr>
          <w:rFonts w:ascii="Times New Roman" w:hAnsi="Times New Roman" w:cs="Times New Roman"/>
          <w:sz w:val="24"/>
          <w:szCs w:val="24"/>
        </w:rPr>
        <w:sectPr w:rsidR="00902400" w:rsidRPr="00902400" w:rsidSect="00342E08">
          <w:pgSz w:w="15840" w:h="12240" w:orient="landscape" w:code="1"/>
          <w:pgMar w:top="1440" w:right="1440" w:bottom="1440" w:left="1440" w:header="709" w:footer="709" w:gutter="0"/>
          <w:cols w:space="708"/>
          <w:docGrid w:linePitch="360"/>
        </w:sectPr>
      </w:pPr>
    </w:p>
    <w:p w14:paraId="50F85EAD" w14:textId="77FED38E" w:rsidR="00F560FD" w:rsidRPr="00EA3779" w:rsidRDefault="00EA3779" w:rsidP="00AA4DC1">
      <w:pPr>
        <w:pStyle w:val="Ttulo3"/>
        <w:spacing w:line="360" w:lineRule="auto"/>
        <w:ind w:left="0" w:firstLine="720"/>
      </w:pPr>
      <w:bookmarkStart w:id="191" w:name="_Toc166705802"/>
      <w:bookmarkStart w:id="192" w:name="_Toc175171404"/>
      <w:r w:rsidRPr="00EA3779">
        <w:lastRenderedPageBreak/>
        <w:t xml:space="preserve">3.1.4. </w:t>
      </w:r>
      <w:r w:rsidR="00A871DB" w:rsidRPr="00EA3779">
        <w:t>HIPÓTESIS</w:t>
      </w:r>
      <w:bookmarkEnd w:id="191"/>
      <w:bookmarkEnd w:id="192"/>
    </w:p>
    <w:p w14:paraId="50AA5801" w14:textId="77777777" w:rsidR="00AA4DC1" w:rsidRPr="00AA4DC1" w:rsidRDefault="00AA4DC1" w:rsidP="00902400">
      <w:pPr>
        <w:spacing w:line="360" w:lineRule="auto"/>
        <w:ind w:firstLine="720"/>
        <w:jc w:val="both"/>
        <w:rPr>
          <w:rFonts w:ascii="Times New Roman" w:hAnsi="Times New Roman" w:cs="Times New Roman"/>
          <w:sz w:val="24"/>
          <w:szCs w:val="24"/>
        </w:rPr>
      </w:pPr>
      <w:r w:rsidRPr="00AA4DC1">
        <w:rPr>
          <w:rFonts w:ascii="Times New Roman" w:hAnsi="Times New Roman" w:cs="Times New Roman"/>
          <w:sz w:val="24"/>
          <w:szCs w:val="24"/>
        </w:rPr>
        <w:t>La hipótesis es una herramienta crucial en la investigación científica, ya que proporciona una dirección clara para la investigación y permite que las afirmaciones sean sometidas a evaluación empírica y análisis estadístico.</w:t>
      </w:r>
    </w:p>
    <w:p w14:paraId="31FEF103" w14:textId="4E5CF238" w:rsidR="00AA4DC1" w:rsidRPr="00AA4DC1" w:rsidRDefault="00AA4DC1" w:rsidP="00902400">
      <w:pPr>
        <w:spacing w:line="360" w:lineRule="auto"/>
        <w:ind w:firstLine="720"/>
        <w:jc w:val="both"/>
        <w:rPr>
          <w:rFonts w:ascii="Times New Roman" w:hAnsi="Times New Roman" w:cs="Times New Roman"/>
          <w:sz w:val="24"/>
          <w:szCs w:val="24"/>
        </w:rPr>
      </w:pPr>
      <w:r w:rsidRPr="00AA4DC1">
        <w:rPr>
          <w:rFonts w:ascii="Times New Roman" w:hAnsi="Times New Roman" w:cs="Times New Roman"/>
          <w:sz w:val="24"/>
          <w:szCs w:val="24"/>
        </w:rPr>
        <w:tab/>
      </w:r>
      <w:r w:rsidRPr="00AA4DC1">
        <w:rPr>
          <w:rFonts w:ascii="Times New Roman" w:hAnsi="Times New Roman" w:cs="Times New Roman"/>
          <w:sz w:val="24"/>
          <w:szCs w:val="24"/>
        </w:rPr>
        <w:fldChar w:fldCharType="begin"/>
      </w:r>
      <w:r w:rsidR="00C52841">
        <w:rPr>
          <w:rFonts w:ascii="Times New Roman" w:hAnsi="Times New Roman" w:cs="Times New Roman"/>
          <w:sz w:val="24"/>
          <w:szCs w:val="24"/>
        </w:rPr>
        <w:instrText xml:space="preserve"> ADDIN ZOTERO_ITEM CSL_CITATION {"citationID":"4sJtl1Sr","properties":{"formattedCitation":"(Campos, 2006, p. 9)","plainCitation":"(Campos, 2006, p. 9)","dontUpdate":true,"noteIndex":0},"citationItems":[{"id":"mhK3fgOx/auubqMND","uris":["http://zotero.org/users/local/rewjbDUP/items/P9V9Z49R"],"itemData":{"id":17,"type":"book","call-number":"Ciencia / Biotecnología","event-place":"México D.F.","ISBN":"978-970-722-580-0","language":"Español","license":"Plaza y Valdés (México)","number-of-pages":"22","publisher":"Plaza y Valdés (México)","publisher-place":"México D.F.","title":"Hipótesis formulación y comprobación","author":[{"family":"Campos","given":"Guillermo"}],"issued":{"date-parts":[["2006"]]}},"locator":"9","label":"page"}],"schema":"https://github.com/citation-style-language/schema/raw/master/csl-citation.json"} </w:instrText>
      </w:r>
      <w:r w:rsidRPr="00AA4DC1">
        <w:rPr>
          <w:rFonts w:ascii="Times New Roman" w:hAnsi="Times New Roman" w:cs="Times New Roman"/>
          <w:sz w:val="24"/>
          <w:szCs w:val="24"/>
        </w:rPr>
        <w:fldChar w:fldCharType="separate"/>
      </w:r>
      <w:r w:rsidRPr="00AA4DC1">
        <w:rPr>
          <w:rFonts w:ascii="Times New Roman" w:hAnsi="Times New Roman" w:cs="Times New Roman"/>
          <w:sz w:val="24"/>
          <w:szCs w:val="24"/>
        </w:rPr>
        <w:t xml:space="preserve">Campos (2006), </w:t>
      </w:r>
      <w:r w:rsidRPr="00AA4DC1">
        <w:rPr>
          <w:rFonts w:ascii="Times New Roman" w:hAnsi="Times New Roman" w:cs="Times New Roman"/>
          <w:sz w:val="24"/>
          <w:szCs w:val="24"/>
        </w:rPr>
        <w:fldChar w:fldCharType="end"/>
      </w:r>
      <w:r w:rsidRPr="00AA4DC1">
        <w:rPr>
          <w:rFonts w:ascii="Times New Roman" w:hAnsi="Times New Roman" w:cs="Times New Roman"/>
          <w:sz w:val="24"/>
          <w:szCs w:val="24"/>
        </w:rPr>
        <w:t>define que “La hipótesis es una premisa o supuesto que se plantea en forma de pregunta, respecto de un fenómeno o sobre una o algunas relaciones entre las variables que intervienen para que algo se dé” (p. 9).</w:t>
      </w:r>
    </w:p>
    <w:p w14:paraId="1C70C0FB" w14:textId="7106AA00" w:rsidR="00AA4DC1" w:rsidRPr="00AA4DC1" w:rsidRDefault="00AA4DC1" w:rsidP="00E35DD6">
      <w:pPr>
        <w:spacing w:line="360" w:lineRule="auto"/>
        <w:ind w:firstLine="720"/>
        <w:jc w:val="both"/>
        <w:rPr>
          <w:rFonts w:ascii="Times New Roman" w:hAnsi="Times New Roman" w:cs="Times New Roman"/>
          <w:sz w:val="24"/>
          <w:szCs w:val="24"/>
        </w:rPr>
      </w:pPr>
      <w:r w:rsidRPr="00AA4DC1">
        <w:rPr>
          <w:rFonts w:ascii="Times New Roman" w:hAnsi="Times New Roman" w:cs="Times New Roman"/>
          <w:sz w:val="24"/>
          <w:szCs w:val="24"/>
        </w:rPr>
        <w:tab/>
        <w:t xml:space="preserve">Por otro lado </w:t>
      </w:r>
      <w:r w:rsidRPr="00AA4DC1">
        <w:rPr>
          <w:rFonts w:ascii="Times New Roman" w:hAnsi="Times New Roman" w:cs="Times New Roman"/>
          <w:sz w:val="24"/>
          <w:szCs w:val="24"/>
        </w:rPr>
        <w:fldChar w:fldCharType="begin"/>
      </w:r>
      <w:r w:rsidR="00C52841">
        <w:rPr>
          <w:rFonts w:ascii="Times New Roman" w:hAnsi="Times New Roman" w:cs="Times New Roman"/>
          <w:sz w:val="24"/>
          <w:szCs w:val="24"/>
        </w:rPr>
        <w:instrText xml:space="preserve"> ADDIN ZOTERO_ITEM CSL_CITATION {"citationID":"SubhhHSV","properties":{"formattedCitation":"(Hern\\uc0\\u225{}ndez Sampieri et\\uc0\\u160{}al., 2010)","plainCitation":"(Hernández Sampieri et al., 2010)","dontUpdate":true,"noteIndex":0},"citationItems":[{"id":"mhK3fgOx/YR37cBgA","uris":["http://zotero.org/users/local/rewjbDUP/items/6293PAVZ"],"itemData":{"id":15,"type":"book","edition":"5","event-place":"México D.F.","ISBN":"978-607-15-0291-9","language":"Español","license":"McGRAW-HILL / INTERAMERICANA EDITORES, S.A. DE C.V.","publisher-place":"México D.F.","title":"Metodología de la investigación","author":[{"family":"Hernández Sampieri","given":"Roberto"},{"family":"Fernández","given":"Carlos"},{"family":"Baptista","given":"María"}],"issued":{"date-parts":[["2010"]],"season":"2006, 2003, 1998, 1991"}}}],"schema":"https://github.com/citation-style-language/schema/raw/master/csl-citation.json"} </w:instrText>
      </w:r>
      <w:r w:rsidRPr="00AA4DC1">
        <w:rPr>
          <w:rFonts w:ascii="Times New Roman" w:hAnsi="Times New Roman" w:cs="Times New Roman"/>
          <w:sz w:val="24"/>
          <w:szCs w:val="24"/>
        </w:rPr>
        <w:fldChar w:fldCharType="separate"/>
      </w:r>
      <w:r w:rsidRPr="00AA4DC1">
        <w:rPr>
          <w:rFonts w:ascii="Times New Roman" w:hAnsi="Times New Roman" w:cs="Times New Roman"/>
          <w:sz w:val="24"/>
          <w:szCs w:val="24"/>
        </w:rPr>
        <w:t xml:space="preserve">Hernández Sampieri et al., </w:t>
      </w:r>
      <w:r>
        <w:rPr>
          <w:rFonts w:ascii="Times New Roman" w:hAnsi="Times New Roman" w:cs="Times New Roman"/>
          <w:sz w:val="24"/>
          <w:szCs w:val="24"/>
        </w:rPr>
        <w:t>(</w:t>
      </w:r>
      <w:r w:rsidRPr="00AA4DC1">
        <w:rPr>
          <w:rFonts w:ascii="Times New Roman" w:hAnsi="Times New Roman" w:cs="Times New Roman"/>
          <w:sz w:val="24"/>
          <w:szCs w:val="24"/>
        </w:rPr>
        <w:t>2010)</w:t>
      </w:r>
      <w:r w:rsidRPr="00AA4DC1">
        <w:rPr>
          <w:rFonts w:ascii="Times New Roman" w:hAnsi="Times New Roman" w:cs="Times New Roman"/>
          <w:sz w:val="24"/>
          <w:szCs w:val="24"/>
        </w:rPr>
        <w:fldChar w:fldCharType="end"/>
      </w:r>
      <w:r w:rsidRPr="00AA4DC1">
        <w:rPr>
          <w:rFonts w:ascii="Times New Roman" w:hAnsi="Times New Roman" w:cs="Times New Roman"/>
          <w:sz w:val="24"/>
          <w:szCs w:val="24"/>
        </w:rPr>
        <w:t xml:space="preserve"> </w:t>
      </w:r>
      <w:r>
        <w:rPr>
          <w:rFonts w:ascii="Times New Roman" w:hAnsi="Times New Roman" w:cs="Times New Roman"/>
          <w:sz w:val="24"/>
          <w:szCs w:val="24"/>
        </w:rPr>
        <w:t>plantea</w:t>
      </w:r>
      <w:r w:rsidRPr="00AA4DC1">
        <w:rPr>
          <w:rFonts w:ascii="Times New Roman" w:hAnsi="Times New Roman" w:cs="Times New Roman"/>
          <w:sz w:val="24"/>
          <w:szCs w:val="24"/>
        </w:rPr>
        <w:t xml:space="preserve">  que las hipótesis son explicaciones tentativas de la relación entre dos o más variables, asimismo, como las guías para una investigación, que se derivan de una teoría existente y deben tener ciertas características para ser tomadas en cuenta.</w:t>
      </w:r>
    </w:p>
    <w:p w14:paraId="2CA81C33" w14:textId="77777777" w:rsidR="00AA4DC1" w:rsidRPr="00AA4DC1" w:rsidRDefault="00AA4DC1" w:rsidP="00AA4DC1">
      <w:pPr>
        <w:spacing w:line="360" w:lineRule="auto"/>
        <w:ind w:firstLine="708"/>
        <w:jc w:val="both"/>
        <w:rPr>
          <w:rFonts w:ascii="Times New Roman" w:hAnsi="Times New Roman" w:cs="Times New Roman"/>
          <w:sz w:val="24"/>
          <w:szCs w:val="24"/>
        </w:rPr>
      </w:pPr>
      <w:r w:rsidRPr="00AA4DC1">
        <w:rPr>
          <w:rFonts w:ascii="Times New Roman" w:hAnsi="Times New Roman" w:cs="Times New Roman"/>
          <w:sz w:val="24"/>
          <w:szCs w:val="24"/>
        </w:rPr>
        <w:t>Los tipos de hipótesis que se pueden establecer son:</w:t>
      </w:r>
    </w:p>
    <w:p w14:paraId="484EA126" w14:textId="106B21CB" w:rsidR="00AA4DC1" w:rsidRPr="00AA4DC1" w:rsidRDefault="00AA4DC1" w:rsidP="00AA4DC1">
      <w:pPr>
        <w:pStyle w:val="Prrafodelista"/>
        <w:widowControl/>
        <w:numPr>
          <w:ilvl w:val="0"/>
          <w:numId w:val="21"/>
        </w:numPr>
        <w:spacing w:after="160" w:line="360" w:lineRule="auto"/>
        <w:contextualSpacing/>
        <w:jc w:val="both"/>
        <w:rPr>
          <w:rFonts w:ascii="Times New Roman" w:hAnsi="Times New Roman" w:cs="Times New Roman"/>
          <w:sz w:val="24"/>
          <w:szCs w:val="24"/>
        </w:rPr>
      </w:pPr>
      <w:r w:rsidRPr="00AA4DC1">
        <w:rPr>
          <w:rFonts w:ascii="Times New Roman" w:hAnsi="Times New Roman" w:cs="Times New Roman"/>
          <w:sz w:val="24"/>
          <w:szCs w:val="24"/>
        </w:rPr>
        <w:t>hipótesis de investigación</w:t>
      </w:r>
      <w:r>
        <w:rPr>
          <w:rFonts w:ascii="Times New Roman" w:hAnsi="Times New Roman" w:cs="Times New Roman"/>
          <w:sz w:val="24"/>
          <w:szCs w:val="24"/>
        </w:rPr>
        <w:t>,</w:t>
      </w:r>
    </w:p>
    <w:p w14:paraId="0B8919BB" w14:textId="78FC2B21" w:rsidR="00AA4DC1" w:rsidRPr="00AA4DC1" w:rsidRDefault="00AA4DC1" w:rsidP="00AA4DC1">
      <w:pPr>
        <w:pStyle w:val="Prrafodelista"/>
        <w:widowControl/>
        <w:numPr>
          <w:ilvl w:val="0"/>
          <w:numId w:val="21"/>
        </w:numPr>
        <w:spacing w:after="160" w:line="360" w:lineRule="auto"/>
        <w:contextualSpacing/>
        <w:jc w:val="both"/>
        <w:rPr>
          <w:rFonts w:ascii="Times New Roman" w:hAnsi="Times New Roman" w:cs="Times New Roman"/>
          <w:sz w:val="24"/>
          <w:szCs w:val="24"/>
        </w:rPr>
      </w:pPr>
      <w:r w:rsidRPr="00AA4DC1">
        <w:rPr>
          <w:rFonts w:ascii="Times New Roman" w:hAnsi="Times New Roman" w:cs="Times New Roman"/>
          <w:sz w:val="24"/>
          <w:szCs w:val="24"/>
        </w:rPr>
        <w:t>hipótesis nulas</w:t>
      </w:r>
      <w:r>
        <w:rPr>
          <w:rFonts w:ascii="Times New Roman" w:hAnsi="Times New Roman" w:cs="Times New Roman"/>
          <w:sz w:val="24"/>
          <w:szCs w:val="24"/>
        </w:rPr>
        <w:t>,</w:t>
      </w:r>
    </w:p>
    <w:p w14:paraId="25ACD621" w14:textId="77777777" w:rsidR="00AA4DC1" w:rsidRPr="00AA4DC1" w:rsidRDefault="00AA4DC1" w:rsidP="00AA4DC1">
      <w:pPr>
        <w:pStyle w:val="Prrafodelista"/>
        <w:widowControl/>
        <w:numPr>
          <w:ilvl w:val="0"/>
          <w:numId w:val="21"/>
        </w:numPr>
        <w:spacing w:after="160" w:line="360" w:lineRule="auto"/>
        <w:contextualSpacing/>
        <w:jc w:val="both"/>
        <w:rPr>
          <w:rFonts w:ascii="Times New Roman" w:hAnsi="Times New Roman" w:cs="Times New Roman"/>
          <w:sz w:val="24"/>
          <w:szCs w:val="24"/>
        </w:rPr>
      </w:pPr>
      <w:r w:rsidRPr="00AA4DC1">
        <w:rPr>
          <w:rFonts w:ascii="Times New Roman" w:hAnsi="Times New Roman" w:cs="Times New Roman"/>
          <w:sz w:val="24"/>
          <w:szCs w:val="24"/>
        </w:rPr>
        <w:t>hipótesis alternativas; e</w:t>
      </w:r>
    </w:p>
    <w:p w14:paraId="6A91BD0D" w14:textId="3494DEA7" w:rsidR="00AA4DC1" w:rsidRPr="00AA4DC1" w:rsidRDefault="00AA4DC1" w:rsidP="00AA4DC1">
      <w:pPr>
        <w:pStyle w:val="Prrafodelista"/>
        <w:widowControl/>
        <w:numPr>
          <w:ilvl w:val="0"/>
          <w:numId w:val="21"/>
        </w:numPr>
        <w:spacing w:after="160" w:line="360" w:lineRule="auto"/>
        <w:contextualSpacing/>
        <w:jc w:val="both"/>
        <w:rPr>
          <w:rFonts w:ascii="Times New Roman" w:hAnsi="Times New Roman" w:cs="Times New Roman"/>
          <w:sz w:val="24"/>
          <w:szCs w:val="24"/>
        </w:rPr>
      </w:pPr>
      <w:r w:rsidRPr="00AA4DC1">
        <w:rPr>
          <w:rFonts w:ascii="Times New Roman" w:hAnsi="Times New Roman" w:cs="Times New Roman"/>
          <w:sz w:val="24"/>
          <w:szCs w:val="24"/>
        </w:rPr>
        <w:t>hipótesis estadísticas</w:t>
      </w:r>
      <w:r>
        <w:rPr>
          <w:rFonts w:ascii="Times New Roman" w:hAnsi="Times New Roman" w:cs="Times New Roman"/>
          <w:sz w:val="24"/>
          <w:szCs w:val="24"/>
        </w:rPr>
        <w:t>.</w:t>
      </w:r>
    </w:p>
    <w:p w14:paraId="740E9088" w14:textId="77777777" w:rsidR="00AA4DC1" w:rsidRPr="00AA4DC1" w:rsidRDefault="00AA4DC1" w:rsidP="00E35DD6">
      <w:pPr>
        <w:spacing w:line="360" w:lineRule="auto"/>
        <w:ind w:firstLine="720"/>
        <w:jc w:val="both"/>
        <w:rPr>
          <w:rFonts w:ascii="Times New Roman" w:hAnsi="Times New Roman" w:cs="Times New Roman"/>
          <w:sz w:val="24"/>
          <w:szCs w:val="24"/>
        </w:rPr>
      </w:pPr>
      <w:r w:rsidRPr="00AA4DC1">
        <w:rPr>
          <w:rFonts w:ascii="Times New Roman" w:hAnsi="Times New Roman" w:cs="Times New Roman"/>
          <w:sz w:val="24"/>
          <w:szCs w:val="24"/>
        </w:rPr>
        <w:tab/>
        <w:t>En esta investigación de naturaleza descriptiva, la decisión de no plantear hipótesis de investigación se fundamenta en la metodología empleada, debido a que la misma se enfoca en la recopilación, análisis y presentación de datos, sin la intención de establecer relaciones causales o correlativas entre las variables de estudio.</w:t>
      </w:r>
    </w:p>
    <w:p w14:paraId="19DB1070" w14:textId="77777777" w:rsidR="00EA3779" w:rsidRPr="00EA3779" w:rsidRDefault="00EA3779" w:rsidP="00EA3779">
      <w:pPr>
        <w:pStyle w:val="TextoPrincipal"/>
        <w:spacing w:line="360" w:lineRule="auto"/>
      </w:pPr>
    </w:p>
    <w:p w14:paraId="1C0F706B" w14:textId="409B032F" w:rsidR="007A01EE" w:rsidRPr="00EA3779" w:rsidRDefault="00EA3779" w:rsidP="00EA3779">
      <w:pPr>
        <w:pStyle w:val="Ttulo2"/>
        <w:spacing w:line="360" w:lineRule="auto"/>
      </w:pPr>
      <w:bookmarkStart w:id="193" w:name="_Toc166705803"/>
      <w:bookmarkStart w:id="194" w:name="_Toc175171405"/>
      <w:r w:rsidRPr="00763BC1">
        <w:t xml:space="preserve">3.2. </w:t>
      </w:r>
      <w:r w:rsidR="00A871DB" w:rsidRPr="00763BC1">
        <w:t>ENFOQUE Y MÉTODOS</w:t>
      </w:r>
      <w:bookmarkEnd w:id="193"/>
      <w:bookmarkEnd w:id="194"/>
    </w:p>
    <w:p w14:paraId="5DAE10ED" w14:textId="0A3EE025" w:rsidR="00EA3779" w:rsidRDefault="00AA4DC1" w:rsidP="00EA3779">
      <w:pPr>
        <w:pStyle w:val="TextoPrincipal"/>
        <w:spacing w:line="360" w:lineRule="auto"/>
      </w:pPr>
      <w:r w:rsidRPr="00AA4DC1">
        <w:t>A través del siguiente diagrama se detallan el enfoque, diseño, alcance, las técnicas e instrumentos que serán utilizados para la realización de esta investigación.</w:t>
      </w:r>
    </w:p>
    <w:p w14:paraId="1077454F" w14:textId="77777777" w:rsidR="004A65BF" w:rsidRDefault="004A65BF" w:rsidP="00EA3779">
      <w:pPr>
        <w:pStyle w:val="TextoPrincipal"/>
        <w:spacing w:line="360" w:lineRule="auto"/>
      </w:pPr>
    </w:p>
    <w:p w14:paraId="7AB2310B" w14:textId="1EDBB6A3" w:rsidR="00B13677" w:rsidRDefault="00B13677">
      <w:pPr>
        <w:widowControl/>
        <w:spacing w:after="160" w:line="259" w:lineRule="auto"/>
        <w:rPr>
          <w:rFonts w:ascii="Times New Roman" w:hAnsi="Times New Roman" w:cs="Times New Roman"/>
          <w:sz w:val="24"/>
          <w:szCs w:val="24"/>
        </w:rPr>
      </w:pPr>
      <w:r>
        <w:br w:type="page"/>
      </w:r>
    </w:p>
    <w:p w14:paraId="20A268C0" w14:textId="77777777" w:rsidR="00B13677" w:rsidRDefault="00B13677">
      <w:pPr>
        <w:widowControl/>
        <w:spacing w:after="160" w:line="259" w:lineRule="auto"/>
        <w:sectPr w:rsidR="00B13677" w:rsidSect="00342E08">
          <w:pgSz w:w="12240" w:h="15840" w:code="1"/>
          <w:pgMar w:top="1440" w:right="1440" w:bottom="1440" w:left="1440" w:header="709" w:footer="709" w:gutter="0"/>
          <w:cols w:space="708"/>
          <w:docGrid w:linePitch="360"/>
        </w:sectPr>
      </w:pPr>
    </w:p>
    <w:p w14:paraId="43325C78" w14:textId="5FA6D13F" w:rsidR="0046782A" w:rsidRDefault="00B13677">
      <w:pPr>
        <w:widowControl/>
        <w:spacing w:after="160" w:line="259" w:lineRule="auto"/>
      </w:pPr>
      <w:r>
        <w:lastRenderedPageBreak/>
        <w:t xml:space="preserve"> </w:t>
      </w:r>
      <w:r w:rsidR="00962612">
        <w:t xml:space="preserve"> </w:t>
      </w:r>
      <w:r w:rsidR="00FA545B">
        <w:rPr>
          <w:noProof/>
        </w:rPr>
        <w:drawing>
          <wp:inline distT="0" distB="0" distL="0" distR="0" wp14:anchorId="5521F88C" wp14:editId="7F5FC52F">
            <wp:extent cx="8124825" cy="5343525"/>
            <wp:effectExtent l="0" t="0" r="9525" b="9525"/>
            <wp:docPr id="531366728" name="Imagen 19" descr="Diagram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31366728" name="Imagen 19" descr="Diagrama&#10;&#10;Descripción generada automáticamente"/>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8124825" cy="5343525"/>
                    </a:xfrm>
                    <a:prstGeom prst="rect">
                      <a:avLst/>
                    </a:prstGeom>
                    <a:noFill/>
                    <a:ln>
                      <a:noFill/>
                    </a:ln>
                  </pic:spPr>
                </pic:pic>
              </a:graphicData>
            </a:graphic>
          </wp:inline>
        </w:drawing>
      </w:r>
    </w:p>
    <w:p w14:paraId="7F1ECD58" w14:textId="77777777" w:rsidR="00E05353" w:rsidRDefault="0046782A" w:rsidP="00E05353">
      <w:pPr>
        <w:widowControl/>
        <w:spacing w:after="160"/>
        <w:ind w:firstLine="720"/>
        <w:rPr>
          <w:rFonts w:ascii="Times New Roman" w:hAnsi="Times New Roman" w:cs="Times New Roman"/>
          <w:sz w:val="24"/>
          <w:szCs w:val="24"/>
        </w:rPr>
      </w:pPr>
      <w:r w:rsidRPr="0046782A">
        <w:rPr>
          <w:rFonts w:ascii="Times New Roman" w:hAnsi="Times New Roman" w:cs="Times New Roman"/>
          <w:sz w:val="24"/>
          <w:szCs w:val="24"/>
        </w:rPr>
        <w:t>Figura 3. Enfoque y métodos.</w:t>
      </w:r>
    </w:p>
    <w:p w14:paraId="119945B9" w14:textId="4402A02E" w:rsidR="00B13677" w:rsidRPr="0046782A" w:rsidRDefault="00E05353" w:rsidP="00E05353">
      <w:pPr>
        <w:widowControl/>
        <w:spacing w:after="160"/>
        <w:ind w:firstLine="720"/>
        <w:rPr>
          <w:rFonts w:ascii="Times New Roman" w:hAnsi="Times New Roman" w:cs="Times New Roman"/>
          <w:sz w:val="24"/>
          <w:szCs w:val="24"/>
        </w:rPr>
        <w:sectPr w:rsidR="00B13677" w:rsidRPr="0046782A" w:rsidSect="00342E08">
          <w:pgSz w:w="15840" w:h="12240" w:orient="landscape" w:code="1"/>
          <w:pgMar w:top="1440" w:right="1440" w:bottom="1440" w:left="1440" w:header="709" w:footer="709" w:gutter="0"/>
          <w:cols w:space="708"/>
          <w:docGrid w:linePitch="360"/>
        </w:sectPr>
      </w:pPr>
      <w:r>
        <w:rPr>
          <w:rFonts w:ascii="Times New Roman" w:hAnsi="Times New Roman" w:cs="Times New Roman"/>
          <w:sz w:val="24"/>
          <w:szCs w:val="24"/>
        </w:rPr>
        <w:t xml:space="preserve">Fuente: </w:t>
      </w:r>
      <w:r w:rsidR="0046782A" w:rsidRPr="0046782A">
        <w:rPr>
          <w:rFonts w:ascii="Times New Roman" w:hAnsi="Times New Roman" w:cs="Times New Roman"/>
          <w:sz w:val="24"/>
          <w:szCs w:val="24"/>
        </w:rPr>
        <w:t>Elaboración propia</w:t>
      </w:r>
      <w:r>
        <w:rPr>
          <w:rFonts w:ascii="Times New Roman" w:hAnsi="Times New Roman" w:cs="Times New Roman"/>
          <w:sz w:val="24"/>
          <w:szCs w:val="24"/>
        </w:rPr>
        <w:t>.</w:t>
      </w:r>
    </w:p>
    <w:p w14:paraId="3E89DDF0" w14:textId="0241ED6F" w:rsidR="007A01EE" w:rsidRPr="00AA4DC1" w:rsidRDefault="00DF4E07" w:rsidP="00DF4E07">
      <w:pPr>
        <w:pStyle w:val="Ttulo2"/>
        <w:numPr>
          <w:ilvl w:val="1"/>
          <w:numId w:val="11"/>
        </w:numPr>
        <w:spacing w:line="360" w:lineRule="auto"/>
        <w:ind w:left="0" w:firstLine="0"/>
        <w:rPr>
          <w:szCs w:val="24"/>
        </w:rPr>
      </w:pPr>
      <w:r>
        <w:lastRenderedPageBreak/>
        <w:t xml:space="preserve"> </w:t>
      </w:r>
      <w:bookmarkStart w:id="195" w:name="_Toc166705804"/>
      <w:bookmarkStart w:id="196" w:name="_Toc175171406"/>
      <w:r w:rsidR="00A871DB" w:rsidRPr="00AA4DC1">
        <w:rPr>
          <w:szCs w:val="24"/>
        </w:rPr>
        <w:t>DISEÑO DE LA INVESTIGACIÓN</w:t>
      </w:r>
      <w:bookmarkEnd w:id="195"/>
      <w:bookmarkEnd w:id="196"/>
    </w:p>
    <w:p w14:paraId="318CC65D" w14:textId="2F2C1095" w:rsidR="00AA4DC1" w:rsidRPr="00AA4DC1" w:rsidRDefault="00AA4DC1" w:rsidP="00AA4DC1">
      <w:pPr>
        <w:spacing w:line="360" w:lineRule="auto"/>
        <w:ind w:firstLine="709"/>
        <w:jc w:val="both"/>
        <w:rPr>
          <w:rFonts w:ascii="Times New Roman" w:hAnsi="Times New Roman" w:cs="Times New Roman"/>
          <w:b/>
          <w:bCs/>
          <w:sz w:val="24"/>
          <w:szCs w:val="24"/>
        </w:rPr>
      </w:pPr>
      <w:r w:rsidRPr="00AA4DC1">
        <w:rPr>
          <w:rFonts w:ascii="Times New Roman" w:hAnsi="Times New Roman" w:cs="Times New Roman"/>
          <w:sz w:val="24"/>
          <w:szCs w:val="24"/>
        </w:rPr>
        <w:fldChar w:fldCharType="begin"/>
      </w:r>
      <w:r w:rsidR="00C52841">
        <w:rPr>
          <w:rFonts w:ascii="Times New Roman" w:hAnsi="Times New Roman" w:cs="Times New Roman"/>
          <w:sz w:val="24"/>
          <w:szCs w:val="24"/>
        </w:rPr>
        <w:instrText xml:space="preserve"> ADDIN ZOTERO_ITEM CSL_CITATION {"citationID":"weBjjiwF","properties":{"formattedCitation":"(Hern\\uc0\\u225{}ndez Sampieri et\\uc0\\u160{}al., 2010)","plainCitation":"(Hernández Sampieri et al., 2010)","dontUpdate":true,"noteIndex":0},"citationItems":[{"id":"mhK3fgOx/YR37cBgA","uris":["http://zotero.org/users/local/rewjbDUP/items/6293PAVZ"],"itemData":{"id":15,"type":"book","edition":"5","event-place":"México D.F.","ISBN":"978-607-15-0291-9","language":"Español","license":"McGRAW-HILL / INTERAMERICANA EDITORES, S.A. DE C.V.","publisher-place":"México D.F.","title":"Metodología de la investigación","author":[{"family":"Hernández Sampieri","given":"Roberto"},{"family":"Fernández","given":"Carlos"},{"family":"Baptista","given":"María"}],"issued":{"date-parts":[["2010"]],"season":"2006, 2003, 1998, 1991"}}}],"schema":"https://github.com/citation-style-language/schema/raw/master/csl-citation.json"} </w:instrText>
      </w:r>
      <w:r w:rsidRPr="00AA4DC1">
        <w:rPr>
          <w:rFonts w:ascii="Times New Roman" w:hAnsi="Times New Roman" w:cs="Times New Roman"/>
          <w:sz w:val="24"/>
          <w:szCs w:val="24"/>
        </w:rPr>
        <w:fldChar w:fldCharType="separate"/>
      </w:r>
      <w:r w:rsidRPr="00AA4DC1">
        <w:rPr>
          <w:rFonts w:ascii="Times New Roman" w:hAnsi="Times New Roman" w:cs="Times New Roman"/>
          <w:sz w:val="24"/>
          <w:szCs w:val="24"/>
        </w:rPr>
        <w:t>Hernández Sampieri et al., (2010)</w:t>
      </w:r>
      <w:r w:rsidRPr="00AA4DC1">
        <w:rPr>
          <w:rFonts w:ascii="Times New Roman" w:hAnsi="Times New Roman" w:cs="Times New Roman"/>
          <w:sz w:val="24"/>
          <w:szCs w:val="24"/>
        </w:rPr>
        <w:fldChar w:fldCharType="end"/>
      </w:r>
      <w:r w:rsidRPr="00AA4DC1">
        <w:rPr>
          <w:rFonts w:ascii="Times New Roman" w:hAnsi="Times New Roman" w:cs="Times New Roman"/>
          <w:sz w:val="24"/>
          <w:szCs w:val="24"/>
        </w:rPr>
        <w:t>, indica que el diseño de la investigación es el “Plan o estrategia que se desarrolla para obtener la información que se requiere en una investigación”. (P. 162)</w:t>
      </w:r>
    </w:p>
    <w:p w14:paraId="00A29EFA" w14:textId="4627F05F" w:rsidR="00AA4DC1" w:rsidRPr="00AA4DC1" w:rsidRDefault="00AA4DC1" w:rsidP="00AA4DC1">
      <w:pPr>
        <w:spacing w:line="360" w:lineRule="auto"/>
        <w:ind w:firstLine="708"/>
        <w:jc w:val="both"/>
        <w:rPr>
          <w:rFonts w:ascii="Times New Roman" w:hAnsi="Times New Roman" w:cs="Times New Roman"/>
          <w:b/>
          <w:bCs/>
          <w:sz w:val="24"/>
          <w:szCs w:val="24"/>
        </w:rPr>
      </w:pPr>
      <w:r w:rsidRPr="00AA4DC1">
        <w:rPr>
          <w:rFonts w:ascii="Times New Roman" w:hAnsi="Times New Roman" w:cs="Times New Roman"/>
          <w:sz w:val="24"/>
          <w:szCs w:val="24"/>
        </w:rPr>
        <w:t>El diseño metodológico permite al investigador seleccionar las herramientas fundamentales para ejecutar la investigación. En su elaboración se define la unidad de estudio, la población, la muestra, los métodos, las técnicas y procedimientos a utilizar, así como las alternativas para la valoración estadística de los resultados,</w:t>
      </w:r>
      <w:r w:rsidRPr="00AA4DC1">
        <w:rPr>
          <w:rFonts w:ascii="Times New Roman" w:hAnsi="Times New Roman" w:cs="Times New Roman"/>
          <w:b/>
          <w:bCs/>
          <w:sz w:val="24"/>
          <w:szCs w:val="24"/>
        </w:rPr>
        <w:t xml:space="preserve"> </w:t>
      </w:r>
      <w:r w:rsidRPr="00AA4DC1">
        <w:rPr>
          <w:rFonts w:ascii="Times New Roman" w:hAnsi="Times New Roman" w:cs="Times New Roman"/>
          <w:sz w:val="24"/>
          <w:szCs w:val="24"/>
        </w:rPr>
        <w:t>dando la posibilidad de elaborar la estrategia más acertada para realizar la investigación.</w:t>
      </w:r>
    </w:p>
    <w:p w14:paraId="4CEC9979" w14:textId="77777777" w:rsidR="00DF4E07" w:rsidRPr="00AA4DC1" w:rsidRDefault="00DF4E07" w:rsidP="00A01230">
      <w:pPr>
        <w:pStyle w:val="TextoPrincipal"/>
        <w:spacing w:line="360" w:lineRule="auto"/>
      </w:pPr>
    </w:p>
    <w:p w14:paraId="39ACE647" w14:textId="0D25C5BF" w:rsidR="004C33D3" w:rsidRPr="00AA4DC1" w:rsidRDefault="00B260A8" w:rsidP="00DF4E07">
      <w:pPr>
        <w:pStyle w:val="Ttulo3"/>
        <w:numPr>
          <w:ilvl w:val="2"/>
          <w:numId w:val="11"/>
        </w:numPr>
        <w:spacing w:before="0"/>
        <w:ind w:left="0" w:firstLine="720"/>
      </w:pPr>
      <w:r>
        <w:t xml:space="preserve"> </w:t>
      </w:r>
      <w:bookmarkStart w:id="197" w:name="_Toc166705805"/>
      <w:bookmarkStart w:id="198" w:name="_Toc175171407"/>
      <w:r w:rsidR="004C33D3" w:rsidRPr="00AA4DC1">
        <w:t>UNIDAD DE ANÀLISIS</w:t>
      </w:r>
      <w:bookmarkEnd w:id="197"/>
      <w:bookmarkEnd w:id="198"/>
    </w:p>
    <w:p w14:paraId="264CDBFE" w14:textId="38AF086F" w:rsidR="00AA4DC1" w:rsidRPr="00AA4DC1" w:rsidRDefault="00AA4DC1" w:rsidP="00AA4DC1">
      <w:pPr>
        <w:pStyle w:val="TextoPrincipal"/>
        <w:spacing w:line="360" w:lineRule="auto"/>
      </w:pPr>
      <w:r w:rsidRPr="00AA4DC1">
        <w:t>Son los elementos, fenómenos, sujetos o procesos que integran la población y pueden ser individuos, grupos de personas, hechos, procesos, talleres, turnos de trabajo, empresas, documentos, etc. Las unidades que integran la población se determinan de acuerdo con la naturaleza de la investigación y el diseño teórico elaborado.</w:t>
      </w:r>
    </w:p>
    <w:p w14:paraId="157C1488" w14:textId="4777DAA1" w:rsidR="00DF4E07" w:rsidRDefault="00AA4DC1" w:rsidP="00AA4DC1">
      <w:pPr>
        <w:pStyle w:val="TextoPrincipal"/>
        <w:spacing w:line="360" w:lineRule="auto"/>
      </w:pPr>
      <w:r w:rsidRPr="00AA4DC1">
        <w:tab/>
        <w:t>La unidad de análisis seleccionada para esta investigación consiste en la data histórica de la empresa, abarcando el periodo comprendido entre 2019 y 2023. Además, se</w:t>
      </w:r>
      <w:r w:rsidR="001A6A8B">
        <w:t xml:space="preserve"> analizarán</w:t>
      </w:r>
      <w:r w:rsidRPr="00AA4DC1">
        <w:t xml:space="preserve"> los Estados Financieros </w:t>
      </w:r>
      <w:r w:rsidR="00697DA3">
        <w:t xml:space="preserve">como el balance general, estado de resultados, flujo de caja, data de cartera; </w:t>
      </w:r>
      <w:r w:rsidRPr="00AA4DC1">
        <w:t>correspondientes a este periodo como parte integral del análisis.</w:t>
      </w:r>
    </w:p>
    <w:p w14:paraId="375D56BB" w14:textId="65CE6951" w:rsidR="00697DA3" w:rsidRPr="00AA4DC1" w:rsidRDefault="00697DA3" w:rsidP="00AA4DC1">
      <w:pPr>
        <w:pStyle w:val="TextoPrincipal"/>
        <w:spacing w:line="360" w:lineRule="auto"/>
      </w:pPr>
      <w:r>
        <w:t>Además</w:t>
      </w:r>
      <w:r w:rsidR="00F21DCE">
        <w:t>, c</w:t>
      </w:r>
      <w:r>
        <w:t>omo parte de la unidad de análisis se aplicará</w:t>
      </w:r>
      <w:r w:rsidR="00F21DCE">
        <w:t>n entrevistas a puestos directivos que se involucran directamente en la toma de decisiones de cada agencia.</w:t>
      </w:r>
    </w:p>
    <w:p w14:paraId="05672960" w14:textId="77777777" w:rsidR="00AA4DC1" w:rsidRPr="00AA4DC1" w:rsidRDefault="00AA4DC1" w:rsidP="00AA4DC1">
      <w:pPr>
        <w:pStyle w:val="TextoPrincipal"/>
        <w:spacing w:line="360" w:lineRule="auto"/>
      </w:pPr>
    </w:p>
    <w:p w14:paraId="24BF7BAB" w14:textId="7D1FFB89" w:rsidR="007A01EE" w:rsidRPr="00AA4DC1" w:rsidRDefault="00B260A8" w:rsidP="00DF4E07">
      <w:pPr>
        <w:pStyle w:val="Ttulo3"/>
        <w:numPr>
          <w:ilvl w:val="2"/>
          <w:numId w:val="11"/>
        </w:numPr>
        <w:spacing w:before="0" w:line="360" w:lineRule="auto"/>
        <w:ind w:left="0" w:firstLine="720"/>
      </w:pPr>
      <w:r>
        <w:t xml:space="preserve"> </w:t>
      </w:r>
      <w:bookmarkStart w:id="199" w:name="_Toc166705806"/>
      <w:bookmarkStart w:id="200" w:name="_Toc175171408"/>
      <w:r w:rsidR="00A871DB" w:rsidRPr="00AA4DC1">
        <w:t>POBLACIÓN</w:t>
      </w:r>
      <w:bookmarkEnd w:id="199"/>
      <w:bookmarkEnd w:id="200"/>
    </w:p>
    <w:p w14:paraId="7CF491E7" w14:textId="263F3D92" w:rsidR="00AA4DC1" w:rsidRPr="00AA4DC1" w:rsidRDefault="00AA4DC1" w:rsidP="00AA4DC1">
      <w:pPr>
        <w:spacing w:line="360" w:lineRule="auto"/>
        <w:ind w:firstLine="709"/>
        <w:jc w:val="both"/>
        <w:rPr>
          <w:rFonts w:ascii="Times New Roman" w:hAnsi="Times New Roman" w:cs="Times New Roman"/>
          <w:b/>
          <w:bCs/>
          <w:sz w:val="24"/>
          <w:szCs w:val="24"/>
        </w:rPr>
      </w:pPr>
      <w:r w:rsidRPr="00AA4DC1">
        <w:rPr>
          <w:rFonts w:ascii="Times New Roman" w:hAnsi="Times New Roman" w:cs="Times New Roman"/>
          <w:sz w:val="24"/>
          <w:szCs w:val="24"/>
        </w:rPr>
        <w:fldChar w:fldCharType="begin"/>
      </w:r>
      <w:r w:rsidR="00C52841">
        <w:rPr>
          <w:rFonts w:ascii="Times New Roman" w:hAnsi="Times New Roman" w:cs="Times New Roman"/>
          <w:sz w:val="24"/>
          <w:szCs w:val="24"/>
        </w:rPr>
        <w:instrText xml:space="preserve"> ADDIN ZOTERO_ITEM CSL_CITATION {"citationID":"3Z6GB6d4","properties":{"formattedCitation":"(Mart\\uc0\\u237{}nez, 2020, p. 18)","plainCitation":"(Martínez, 2020, p. 18)","dontUpdate":true,"noteIndex":0},"citationItems":[{"id":"mhK3fgOx/Q7siYLxF","uris":["http://zotero.org/users/local/rewjbDUP/items/FZPC5CLT"],"itemData":{"id":10,"type":"book","edition":"Santiago de los Caballeros, Universidad Abierta para Adultos (UAPA)","event-place":"Republica Dominicana","ISBN":"978-9945-580-89-1","language":"Español","license":"UAPA","number-of-pages":"221","publisher":"Ediciones UAPA","publisher-place":"Republica Dominicana","title":"Estadistica","URL":"978-9945-580-89-1 Martínez, E. (2020). Estadística: ( ed.). Santiago de los Caballeros, Universidad Abierta para https://elibro.net/es/ereader/unitechn/175596?","author":[{"family":"Martínez","given":"Eleuterio"}],"issued":{"date-parts":[["2020",3]]}},"locator":"18","label":"page"}],"schema":"https://github.com/citation-style-language/schema/raw/master/csl-citation.json"} </w:instrText>
      </w:r>
      <w:r w:rsidRPr="00AA4DC1">
        <w:rPr>
          <w:rFonts w:ascii="Times New Roman" w:hAnsi="Times New Roman" w:cs="Times New Roman"/>
          <w:sz w:val="24"/>
          <w:szCs w:val="24"/>
        </w:rPr>
        <w:fldChar w:fldCharType="separate"/>
      </w:r>
      <w:r w:rsidRPr="00AA4DC1">
        <w:rPr>
          <w:rFonts w:ascii="Times New Roman" w:hAnsi="Times New Roman" w:cs="Times New Roman"/>
          <w:sz w:val="24"/>
          <w:szCs w:val="24"/>
        </w:rPr>
        <w:t xml:space="preserve">Martínez, (2020), </w:t>
      </w:r>
      <w:r w:rsidRPr="00AA4DC1">
        <w:rPr>
          <w:rFonts w:ascii="Times New Roman" w:hAnsi="Times New Roman" w:cs="Times New Roman"/>
          <w:sz w:val="24"/>
          <w:szCs w:val="24"/>
        </w:rPr>
        <w:fldChar w:fldCharType="end"/>
      </w:r>
      <w:r w:rsidRPr="00AA4DC1">
        <w:rPr>
          <w:rFonts w:ascii="Times New Roman" w:hAnsi="Times New Roman" w:cs="Times New Roman"/>
          <w:sz w:val="24"/>
          <w:szCs w:val="24"/>
        </w:rPr>
        <w:t xml:space="preserve"> define que población “Es el conjunto de todos los elementos de interés de un estudio en particular” </w:t>
      </w:r>
      <w:r w:rsidRPr="00AA4DC1">
        <w:rPr>
          <w:rFonts w:ascii="Times New Roman" w:hAnsi="Times New Roman" w:cs="Times New Roman"/>
          <w:sz w:val="24"/>
          <w:szCs w:val="24"/>
        </w:rPr>
        <w:fldChar w:fldCharType="begin"/>
      </w:r>
      <w:r w:rsidR="00C52841">
        <w:rPr>
          <w:rFonts w:ascii="Times New Roman" w:hAnsi="Times New Roman" w:cs="Times New Roman"/>
          <w:sz w:val="24"/>
          <w:szCs w:val="24"/>
        </w:rPr>
        <w:instrText xml:space="preserve"> ADDIN ZOTERO_ITEM CSL_CITATION {"citationID":"bLSCXklM","properties":{"unsorted":true,"formattedCitation":"(Mart\\uc0\\u237{}nez, 2020, p. 18)","plainCitation":"(Martínez, 2020, p. 18)","dontUpdate":true,"noteIndex":0},"citationItems":[{"id":"mhK3fgOx/Q7siYLxF","uris":["http://zotero.org/users/local/rewjbDUP/items/FZPC5CLT"],"itemData":{"id":10,"type":"book","edition":"Santiago de los Caballeros, Universidad Abierta para Adultos (UAPA)","event-place":"Republica Dominicana","ISBN":"978-9945-580-89-1","language":"Español","license":"UAPA","number-of-pages":"221","publisher":"Ediciones UAPA","publisher-place":"Republica Dominicana","title":"Estadistica","URL":"978-9945-580-89-1 Martínez, E. (2020). Estadística: ( ed.). Santiago de los Caballeros, Universidad Abierta para https://elibro.net/es/ereader/unitechn/175596?","author":[{"family":"Martínez","given":"Eleuterio"}],"issued":{"date-parts":[["2020",3]]}},"locator":"18","label":"page"}],"schema":"https://github.com/citation-style-language/schema/raw/master/csl-citation.json"} </w:instrText>
      </w:r>
      <w:r w:rsidRPr="00AA4DC1">
        <w:rPr>
          <w:rFonts w:ascii="Times New Roman" w:hAnsi="Times New Roman" w:cs="Times New Roman"/>
          <w:sz w:val="24"/>
          <w:szCs w:val="24"/>
        </w:rPr>
        <w:fldChar w:fldCharType="separate"/>
      </w:r>
      <w:r w:rsidRPr="00AA4DC1">
        <w:rPr>
          <w:rFonts w:ascii="Times New Roman" w:hAnsi="Times New Roman" w:cs="Times New Roman"/>
          <w:sz w:val="24"/>
          <w:szCs w:val="24"/>
        </w:rPr>
        <w:t>( p. 18)</w:t>
      </w:r>
      <w:r w:rsidRPr="00AA4DC1">
        <w:rPr>
          <w:rFonts w:ascii="Times New Roman" w:hAnsi="Times New Roman" w:cs="Times New Roman"/>
          <w:sz w:val="24"/>
          <w:szCs w:val="24"/>
        </w:rPr>
        <w:fldChar w:fldCharType="end"/>
      </w:r>
      <w:r w:rsidRPr="00AA4DC1">
        <w:rPr>
          <w:rFonts w:ascii="Times New Roman" w:hAnsi="Times New Roman" w:cs="Times New Roman"/>
          <w:sz w:val="24"/>
          <w:szCs w:val="24"/>
        </w:rPr>
        <w:t>.</w:t>
      </w:r>
    </w:p>
    <w:p w14:paraId="4D8E334B" w14:textId="157125AE" w:rsidR="00AA4DC1" w:rsidRPr="00AA4DC1" w:rsidRDefault="00AA4DC1" w:rsidP="00AA4DC1">
      <w:pPr>
        <w:spacing w:line="360" w:lineRule="auto"/>
        <w:ind w:firstLine="708"/>
        <w:jc w:val="both"/>
        <w:rPr>
          <w:rFonts w:ascii="Times New Roman" w:hAnsi="Times New Roman" w:cs="Times New Roman"/>
          <w:sz w:val="24"/>
          <w:szCs w:val="24"/>
        </w:rPr>
      </w:pPr>
      <w:r w:rsidRPr="00AA4DC1">
        <w:rPr>
          <w:rFonts w:ascii="Times New Roman" w:hAnsi="Times New Roman" w:cs="Times New Roman"/>
          <w:sz w:val="24"/>
          <w:szCs w:val="24"/>
        </w:rPr>
        <w:t xml:space="preserve">Cualquier conjunto de elementos que tengan una o más propiedades en común definidas por el investigador y que puede ser desde toda la realidad, hasta un grupo muy reducido de fenómenos. </w:t>
      </w:r>
    </w:p>
    <w:p w14:paraId="63529F22" w14:textId="59A278B9" w:rsidR="00AA4DC1" w:rsidRPr="00AA4DC1" w:rsidRDefault="00F21DCE" w:rsidP="00AA4DC1">
      <w:pPr>
        <w:spacing w:line="360" w:lineRule="auto"/>
        <w:ind w:firstLine="708"/>
        <w:jc w:val="both"/>
        <w:rPr>
          <w:rFonts w:ascii="Times New Roman" w:hAnsi="Times New Roman" w:cs="Times New Roman"/>
          <w:sz w:val="24"/>
          <w:szCs w:val="24"/>
        </w:rPr>
      </w:pPr>
      <w:r>
        <w:rPr>
          <w:rFonts w:ascii="Times New Roman" w:hAnsi="Times New Roman" w:cs="Times New Roman"/>
          <w:sz w:val="24"/>
          <w:szCs w:val="24"/>
        </w:rPr>
        <w:t>Población A:</w:t>
      </w:r>
      <w:r w:rsidR="00AA4DC1" w:rsidRPr="00AA4DC1">
        <w:rPr>
          <w:rFonts w:ascii="Times New Roman" w:hAnsi="Times New Roman" w:cs="Times New Roman"/>
          <w:sz w:val="24"/>
          <w:szCs w:val="24"/>
        </w:rPr>
        <w:t xml:space="preserve"> </w:t>
      </w:r>
      <w:r>
        <w:rPr>
          <w:rFonts w:ascii="Times New Roman" w:hAnsi="Times New Roman" w:cs="Times New Roman"/>
          <w:sz w:val="24"/>
          <w:szCs w:val="24"/>
        </w:rPr>
        <w:t>L</w:t>
      </w:r>
      <w:r w:rsidR="00AA4DC1" w:rsidRPr="00AA4DC1">
        <w:rPr>
          <w:rFonts w:ascii="Times New Roman" w:hAnsi="Times New Roman" w:cs="Times New Roman"/>
          <w:sz w:val="24"/>
          <w:szCs w:val="24"/>
        </w:rPr>
        <w:t xml:space="preserve">a población a considerar es la información extraída de los </w:t>
      </w:r>
      <w:r w:rsidR="00B666BF">
        <w:rPr>
          <w:rFonts w:ascii="Times New Roman" w:hAnsi="Times New Roman" w:cs="Times New Roman"/>
          <w:sz w:val="24"/>
          <w:szCs w:val="24"/>
        </w:rPr>
        <w:t xml:space="preserve">registros </w:t>
      </w:r>
      <w:r w:rsidR="00B666BF">
        <w:rPr>
          <w:rFonts w:ascii="Times New Roman" w:hAnsi="Times New Roman" w:cs="Times New Roman"/>
          <w:sz w:val="24"/>
          <w:szCs w:val="24"/>
        </w:rPr>
        <w:lastRenderedPageBreak/>
        <w:t xml:space="preserve">estadísticos financieros contenidos en la base de datos </w:t>
      </w:r>
      <w:r w:rsidR="00AA4DC1" w:rsidRPr="00AA4DC1">
        <w:rPr>
          <w:rFonts w:ascii="Times New Roman" w:hAnsi="Times New Roman" w:cs="Times New Roman"/>
          <w:sz w:val="24"/>
          <w:szCs w:val="24"/>
        </w:rPr>
        <w:t xml:space="preserve">de la </w:t>
      </w:r>
      <w:r>
        <w:rPr>
          <w:rFonts w:ascii="Times New Roman" w:hAnsi="Times New Roman" w:cs="Times New Roman"/>
          <w:sz w:val="24"/>
          <w:szCs w:val="24"/>
        </w:rPr>
        <w:t xml:space="preserve">microfinanciera </w:t>
      </w:r>
      <w:r w:rsidR="00E5074B">
        <w:rPr>
          <w:rFonts w:ascii="Times New Roman" w:hAnsi="Times New Roman" w:cs="Times New Roman"/>
          <w:sz w:val="24"/>
          <w:szCs w:val="24"/>
        </w:rPr>
        <w:t>“XYZ”</w:t>
      </w:r>
      <w:r w:rsidR="00AA4DC1" w:rsidRPr="00AA4DC1">
        <w:rPr>
          <w:rFonts w:ascii="Times New Roman" w:hAnsi="Times New Roman" w:cs="Times New Roman"/>
          <w:sz w:val="24"/>
          <w:szCs w:val="24"/>
        </w:rPr>
        <w:t xml:space="preserve"> durante el periodo 20</w:t>
      </w:r>
      <w:r>
        <w:rPr>
          <w:rFonts w:ascii="Times New Roman" w:hAnsi="Times New Roman" w:cs="Times New Roman"/>
          <w:sz w:val="24"/>
          <w:szCs w:val="24"/>
        </w:rPr>
        <w:t>19</w:t>
      </w:r>
      <w:r w:rsidR="00AA4DC1" w:rsidRPr="00AA4DC1">
        <w:rPr>
          <w:rFonts w:ascii="Times New Roman" w:hAnsi="Times New Roman" w:cs="Times New Roman"/>
          <w:sz w:val="24"/>
          <w:szCs w:val="24"/>
        </w:rPr>
        <w:t xml:space="preserve"> al 2023.</w:t>
      </w:r>
    </w:p>
    <w:p w14:paraId="73AFC1DA" w14:textId="07C15B59" w:rsidR="00AA4DC1" w:rsidRDefault="00AA4DC1" w:rsidP="00AA4DC1">
      <w:pPr>
        <w:spacing w:line="360" w:lineRule="auto"/>
        <w:ind w:firstLine="708"/>
        <w:jc w:val="both"/>
        <w:rPr>
          <w:rFonts w:ascii="Times New Roman" w:hAnsi="Times New Roman" w:cs="Times New Roman"/>
          <w:sz w:val="24"/>
          <w:szCs w:val="24"/>
        </w:rPr>
      </w:pPr>
      <w:r w:rsidRPr="00AA4DC1">
        <w:rPr>
          <w:rFonts w:ascii="Times New Roman" w:hAnsi="Times New Roman" w:cs="Times New Roman"/>
          <w:sz w:val="24"/>
          <w:szCs w:val="24"/>
        </w:rPr>
        <w:t>P</w:t>
      </w:r>
      <w:r w:rsidR="00F21DCE">
        <w:rPr>
          <w:rFonts w:ascii="Times New Roman" w:hAnsi="Times New Roman" w:cs="Times New Roman"/>
          <w:sz w:val="24"/>
          <w:szCs w:val="24"/>
        </w:rPr>
        <w:t>oblación B: S</w:t>
      </w:r>
      <w:r w:rsidRPr="00AA4DC1">
        <w:rPr>
          <w:rFonts w:ascii="Times New Roman" w:hAnsi="Times New Roman" w:cs="Times New Roman"/>
          <w:sz w:val="24"/>
          <w:szCs w:val="24"/>
        </w:rPr>
        <w:t xml:space="preserve">e considera como población el 100% de las gerencias de la empresa, dichas gerencias están conformadas por un total de </w:t>
      </w:r>
      <w:r w:rsidR="000E09E4">
        <w:rPr>
          <w:rFonts w:ascii="Times New Roman" w:hAnsi="Times New Roman" w:cs="Times New Roman"/>
          <w:sz w:val="24"/>
          <w:szCs w:val="24"/>
        </w:rPr>
        <w:t>6</w:t>
      </w:r>
      <w:r w:rsidRPr="00AA4DC1">
        <w:rPr>
          <w:rFonts w:ascii="Times New Roman" w:hAnsi="Times New Roman" w:cs="Times New Roman"/>
          <w:sz w:val="24"/>
          <w:szCs w:val="24"/>
        </w:rPr>
        <w:t xml:space="preserve"> personas</w:t>
      </w:r>
      <w:r w:rsidR="00A437F5">
        <w:rPr>
          <w:rFonts w:ascii="Times New Roman" w:hAnsi="Times New Roman" w:cs="Times New Roman"/>
          <w:sz w:val="24"/>
          <w:szCs w:val="24"/>
        </w:rPr>
        <w:t xml:space="preserve"> ocupando los siguientes puestos:</w:t>
      </w:r>
    </w:p>
    <w:p w14:paraId="1F6D06E0" w14:textId="5DFDC419" w:rsidR="00A437F5" w:rsidRPr="007D4BBE" w:rsidRDefault="00A437F5" w:rsidP="007D4BBE">
      <w:pPr>
        <w:pStyle w:val="Prrafodelista"/>
        <w:numPr>
          <w:ilvl w:val="0"/>
          <w:numId w:val="29"/>
        </w:numPr>
        <w:spacing w:line="360" w:lineRule="auto"/>
        <w:ind w:left="993" w:hanging="284"/>
        <w:jc w:val="both"/>
        <w:rPr>
          <w:rFonts w:ascii="Times New Roman" w:hAnsi="Times New Roman" w:cs="Times New Roman"/>
          <w:sz w:val="24"/>
          <w:szCs w:val="24"/>
        </w:rPr>
      </w:pPr>
      <w:r w:rsidRPr="007D4BBE">
        <w:rPr>
          <w:rFonts w:ascii="Times New Roman" w:hAnsi="Times New Roman" w:cs="Times New Roman"/>
          <w:sz w:val="24"/>
          <w:szCs w:val="24"/>
        </w:rPr>
        <w:t xml:space="preserve">Gerente </w:t>
      </w:r>
      <w:r w:rsidR="005D17BB">
        <w:rPr>
          <w:rFonts w:ascii="Times New Roman" w:hAnsi="Times New Roman" w:cs="Times New Roman"/>
          <w:sz w:val="24"/>
          <w:szCs w:val="24"/>
        </w:rPr>
        <w:t>G</w:t>
      </w:r>
      <w:r w:rsidRPr="007D4BBE">
        <w:rPr>
          <w:rFonts w:ascii="Times New Roman" w:hAnsi="Times New Roman" w:cs="Times New Roman"/>
          <w:sz w:val="24"/>
          <w:szCs w:val="24"/>
        </w:rPr>
        <w:t>eneral</w:t>
      </w:r>
    </w:p>
    <w:p w14:paraId="00F32CBC" w14:textId="4A1B7F7D" w:rsidR="00A437F5" w:rsidRPr="007D4BBE" w:rsidRDefault="00A437F5" w:rsidP="007D4BBE">
      <w:pPr>
        <w:pStyle w:val="Prrafodelista"/>
        <w:numPr>
          <w:ilvl w:val="0"/>
          <w:numId w:val="29"/>
        </w:numPr>
        <w:spacing w:line="360" w:lineRule="auto"/>
        <w:ind w:left="993" w:hanging="284"/>
        <w:jc w:val="both"/>
        <w:rPr>
          <w:rFonts w:ascii="Times New Roman" w:hAnsi="Times New Roman" w:cs="Times New Roman"/>
          <w:sz w:val="24"/>
          <w:szCs w:val="24"/>
        </w:rPr>
      </w:pPr>
      <w:r w:rsidRPr="007D4BBE">
        <w:rPr>
          <w:rFonts w:ascii="Times New Roman" w:hAnsi="Times New Roman" w:cs="Times New Roman"/>
          <w:sz w:val="24"/>
          <w:szCs w:val="24"/>
        </w:rPr>
        <w:t xml:space="preserve">Gerente de </w:t>
      </w:r>
      <w:r w:rsidR="005D17BB">
        <w:rPr>
          <w:rFonts w:ascii="Times New Roman" w:hAnsi="Times New Roman" w:cs="Times New Roman"/>
          <w:sz w:val="24"/>
          <w:szCs w:val="24"/>
        </w:rPr>
        <w:t>N</w:t>
      </w:r>
      <w:r w:rsidRPr="007D4BBE">
        <w:rPr>
          <w:rFonts w:ascii="Times New Roman" w:hAnsi="Times New Roman" w:cs="Times New Roman"/>
          <w:sz w:val="24"/>
          <w:szCs w:val="24"/>
        </w:rPr>
        <w:t>egocios</w:t>
      </w:r>
    </w:p>
    <w:p w14:paraId="7954228F" w14:textId="616F1349" w:rsidR="00A437F5" w:rsidRPr="007D4BBE" w:rsidRDefault="00A437F5" w:rsidP="007D4BBE">
      <w:pPr>
        <w:pStyle w:val="Prrafodelista"/>
        <w:numPr>
          <w:ilvl w:val="0"/>
          <w:numId w:val="29"/>
        </w:numPr>
        <w:spacing w:line="360" w:lineRule="auto"/>
        <w:ind w:left="993" w:hanging="284"/>
        <w:jc w:val="both"/>
        <w:rPr>
          <w:rFonts w:ascii="Times New Roman" w:hAnsi="Times New Roman" w:cs="Times New Roman"/>
          <w:sz w:val="24"/>
          <w:szCs w:val="24"/>
        </w:rPr>
      </w:pPr>
      <w:r w:rsidRPr="007D4BBE">
        <w:rPr>
          <w:rFonts w:ascii="Times New Roman" w:hAnsi="Times New Roman" w:cs="Times New Roman"/>
          <w:sz w:val="24"/>
          <w:szCs w:val="24"/>
        </w:rPr>
        <w:t xml:space="preserve">Gerente de </w:t>
      </w:r>
      <w:r w:rsidR="005D17BB">
        <w:rPr>
          <w:rFonts w:ascii="Times New Roman" w:hAnsi="Times New Roman" w:cs="Times New Roman"/>
          <w:sz w:val="24"/>
          <w:szCs w:val="24"/>
        </w:rPr>
        <w:t>O</w:t>
      </w:r>
      <w:r w:rsidRPr="007D4BBE">
        <w:rPr>
          <w:rFonts w:ascii="Times New Roman" w:hAnsi="Times New Roman" w:cs="Times New Roman"/>
          <w:sz w:val="24"/>
          <w:szCs w:val="24"/>
        </w:rPr>
        <w:t>peraciones</w:t>
      </w:r>
    </w:p>
    <w:p w14:paraId="5B89FB57" w14:textId="2A5C580F" w:rsidR="00A437F5" w:rsidRPr="007D4BBE" w:rsidRDefault="00A437F5" w:rsidP="007D4BBE">
      <w:pPr>
        <w:pStyle w:val="Prrafodelista"/>
        <w:numPr>
          <w:ilvl w:val="0"/>
          <w:numId w:val="29"/>
        </w:numPr>
        <w:spacing w:line="360" w:lineRule="auto"/>
        <w:ind w:left="993" w:hanging="284"/>
        <w:jc w:val="both"/>
        <w:rPr>
          <w:rFonts w:ascii="Times New Roman" w:hAnsi="Times New Roman" w:cs="Times New Roman"/>
          <w:sz w:val="24"/>
          <w:szCs w:val="24"/>
        </w:rPr>
      </w:pPr>
      <w:r w:rsidRPr="007D4BBE">
        <w:rPr>
          <w:rFonts w:ascii="Times New Roman" w:hAnsi="Times New Roman" w:cs="Times New Roman"/>
          <w:sz w:val="24"/>
          <w:szCs w:val="24"/>
        </w:rPr>
        <w:t xml:space="preserve">Gerentes </w:t>
      </w:r>
      <w:r w:rsidR="005D17BB">
        <w:rPr>
          <w:rFonts w:ascii="Times New Roman" w:hAnsi="Times New Roman" w:cs="Times New Roman"/>
          <w:sz w:val="24"/>
          <w:szCs w:val="24"/>
        </w:rPr>
        <w:t>R</w:t>
      </w:r>
      <w:r w:rsidRPr="007D4BBE">
        <w:rPr>
          <w:rFonts w:ascii="Times New Roman" w:hAnsi="Times New Roman" w:cs="Times New Roman"/>
          <w:sz w:val="24"/>
          <w:szCs w:val="24"/>
        </w:rPr>
        <w:t>egionales (3)</w:t>
      </w:r>
    </w:p>
    <w:p w14:paraId="758EB129" w14:textId="77777777" w:rsidR="00DF4E07" w:rsidRDefault="00DF4E07" w:rsidP="00A94B2A">
      <w:pPr>
        <w:pStyle w:val="TextoPrincipal"/>
        <w:spacing w:line="360" w:lineRule="auto"/>
      </w:pPr>
    </w:p>
    <w:p w14:paraId="6A015835" w14:textId="4F01BE17" w:rsidR="007A01EE" w:rsidRPr="00AA4DC1" w:rsidRDefault="00B260A8" w:rsidP="00DF4E07">
      <w:pPr>
        <w:pStyle w:val="Ttulo3"/>
        <w:numPr>
          <w:ilvl w:val="2"/>
          <w:numId w:val="11"/>
        </w:numPr>
        <w:ind w:left="0" w:firstLine="720"/>
      </w:pPr>
      <w:r>
        <w:t xml:space="preserve"> </w:t>
      </w:r>
      <w:bookmarkStart w:id="201" w:name="_Toc166705807"/>
      <w:bookmarkStart w:id="202" w:name="_Toc175171409"/>
      <w:r w:rsidR="00A871DB" w:rsidRPr="00AA4DC1">
        <w:t>MUESTRA</w:t>
      </w:r>
      <w:bookmarkEnd w:id="201"/>
      <w:bookmarkEnd w:id="202"/>
    </w:p>
    <w:p w14:paraId="01241E77" w14:textId="28DF9FF7" w:rsidR="00AA4DC1" w:rsidRPr="00AA4DC1" w:rsidRDefault="00AA4DC1" w:rsidP="00AA4DC1">
      <w:pPr>
        <w:spacing w:line="360" w:lineRule="auto"/>
        <w:ind w:left="708"/>
        <w:jc w:val="both"/>
        <w:rPr>
          <w:rFonts w:ascii="Times New Roman" w:hAnsi="Times New Roman" w:cs="Times New Roman"/>
          <w:sz w:val="24"/>
          <w:szCs w:val="24"/>
        </w:rPr>
      </w:pPr>
      <w:r w:rsidRPr="00AA4DC1">
        <w:rPr>
          <w:rFonts w:ascii="Times New Roman" w:hAnsi="Times New Roman" w:cs="Times New Roman"/>
          <w:sz w:val="24"/>
          <w:szCs w:val="24"/>
        </w:rPr>
        <w:fldChar w:fldCharType="begin"/>
      </w:r>
      <w:r w:rsidR="00C52841">
        <w:rPr>
          <w:rFonts w:ascii="Times New Roman" w:hAnsi="Times New Roman" w:cs="Times New Roman"/>
          <w:sz w:val="24"/>
          <w:szCs w:val="24"/>
        </w:rPr>
        <w:instrText xml:space="preserve"> ADDIN ZOTERO_ITEM CSL_CITATION {"citationID":"tS4j4esi","properties":{"formattedCitation":"(Mart\\uc0\\u237{}nez, 2020, p. 18)","plainCitation":"(Martínez, 2020, p. 18)","dontUpdate":true,"noteIndex":0},"citationItems":[{"id":"mhK3fgOx/Q7siYLxF","uris":["http://zotero.org/users/local/rewjbDUP/items/FZPC5CLT"],"itemData":{"id":10,"type":"book","edition":"Santiago de los Caballeros, Universidad Abierta para Adultos (UAPA)","event-place":"Republica Dominicana","ISBN":"978-9945-580-89-1","language":"Español","license":"UAPA","number-of-pages":"221","publisher":"Ediciones UAPA","publisher-place":"Republica Dominicana","title":"Estadistica","URL":"978-9945-580-89-1 Martínez, E. (2020). Estadística: ( ed.). Santiago de los Caballeros, Universidad Abierta para https://elibro.net/es/ereader/unitechn/175596?","author":[{"family":"Martínez","given":"Eleuterio"}],"issued":{"date-parts":[["2020",3]]}},"locator":"18","label":"page"}],"schema":"https://github.com/citation-style-language/schema/raw/master/csl-citation.json"} </w:instrText>
      </w:r>
      <w:r w:rsidRPr="00AA4DC1">
        <w:rPr>
          <w:rFonts w:ascii="Times New Roman" w:hAnsi="Times New Roman" w:cs="Times New Roman"/>
          <w:sz w:val="24"/>
          <w:szCs w:val="24"/>
        </w:rPr>
        <w:fldChar w:fldCharType="separate"/>
      </w:r>
      <w:r w:rsidRPr="00AA4DC1">
        <w:rPr>
          <w:rFonts w:ascii="Times New Roman" w:hAnsi="Times New Roman" w:cs="Times New Roman"/>
          <w:sz w:val="24"/>
          <w:szCs w:val="24"/>
        </w:rPr>
        <w:t>Martínez, (2020)</w:t>
      </w:r>
      <w:r w:rsidRPr="00AA4DC1">
        <w:rPr>
          <w:rFonts w:ascii="Times New Roman" w:hAnsi="Times New Roman" w:cs="Times New Roman"/>
          <w:sz w:val="24"/>
          <w:szCs w:val="24"/>
        </w:rPr>
        <w:fldChar w:fldCharType="end"/>
      </w:r>
      <w:r w:rsidRPr="00AA4DC1">
        <w:rPr>
          <w:rFonts w:ascii="Times New Roman" w:hAnsi="Times New Roman" w:cs="Times New Roman"/>
          <w:sz w:val="24"/>
          <w:szCs w:val="24"/>
        </w:rPr>
        <w:t xml:space="preserve">, indica que muestra “Es un subconjunto de la población” </w:t>
      </w:r>
      <w:r w:rsidRPr="00AA4DC1">
        <w:rPr>
          <w:rFonts w:ascii="Times New Roman" w:hAnsi="Times New Roman" w:cs="Times New Roman"/>
          <w:sz w:val="24"/>
          <w:szCs w:val="24"/>
        </w:rPr>
        <w:fldChar w:fldCharType="begin"/>
      </w:r>
      <w:r w:rsidR="00C52841">
        <w:rPr>
          <w:rFonts w:ascii="Times New Roman" w:hAnsi="Times New Roman" w:cs="Times New Roman"/>
          <w:sz w:val="24"/>
          <w:szCs w:val="24"/>
        </w:rPr>
        <w:instrText xml:space="preserve"> ADDIN ZOTERO_ITEM CSL_CITATION {"citationID":"NMit0uEK","properties":{"formattedCitation":"(Mart\\uc0\\u237{}nez, 2020, p. 18)","plainCitation":"(Martínez, 2020, p. 18)","dontUpdate":true,"noteIndex":0},"citationItems":[{"id":"mhK3fgOx/Q7siYLxF","uris":["http://zotero.org/users/local/rewjbDUP/items/FZPC5CLT"],"itemData":{"id":10,"type":"book","edition":"Santiago de los Caballeros, Universidad Abierta para Adultos (UAPA)","event-place":"Republica Dominicana","ISBN":"978-9945-580-89-1","language":"Español","license":"UAPA","number-of-pages":"221","publisher":"Ediciones UAPA","publisher-place":"Republica Dominicana","title":"Estadistica","URL":"978-9945-580-89-1 Martínez, E. (2020). Estadística: ( ed.). Santiago de los Caballeros, Universidad Abierta para https://elibro.net/es/ereader/unitechn/175596?","author":[{"family":"Martínez","given":"Eleuterio"}],"issued":{"date-parts":[["2020",3]]}},"locator":"18","label":"page"}],"schema":"https://github.com/citation-style-language/schema/raw/master/csl-citation.json"} </w:instrText>
      </w:r>
      <w:r w:rsidRPr="00AA4DC1">
        <w:rPr>
          <w:rFonts w:ascii="Times New Roman" w:hAnsi="Times New Roman" w:cs="Times New Roman"/>
          <w:sz w:val="24"/>
          <w:szCs w:val="24"/>
        </w:rPr>
        <w:fldChar w:fldCharType="separate"/>
      </w:r>
      <w:r w:rsidRPr="00AA4DC1">
        <w:rPr>
          <w:rFonts w:ascii="Times New Roman" w:hAnsi="Times New Roman" w:cs="Times New Roman"/>
          <w:sz w:val="24"/>
          <w:szCs w:val="24"/>
        </w:rPr>
        <w:t>(p. 18)</w:t>
      </w:r>
      <w:r w:rsidRPr="00AA4DC1">
        <w:rPr>
          <w:rFonts w:ascii="Times New Roman" w:hAnsi="Times New Roman" w:cs="Times New Roman"/>
          <w:sz w:val="24"/>
          <w:szCs w:val="24"/>
        </w:rPr>
        <w:fldChar w:fldCharType="end"/>
      </w:r>
      <w:r w:rsidRPr="00AA4DC1">
        <w:rPr>
          <w:rFonts w:ascii="Times New Roman" w:hAnsi="Times New Roman" w:cs="Times New Roman"/>
          <w:sz w:val="24"/>
          <w:szCs w:val="24"/>
        </w:rPr>
        <w:t>.</w:t>
      </w:r>
    </w:p>
    <w:p w14:paraId="6C02A92E" w14:textId="004C11D7" w:rsidR="00AA4DC1" w:rsidRPr="00AA4DC1" w:rsidRDefault="00AA4DC1" w:rsidP="00AA4DC1">
      <w:pPr>
        <w:spacing w:line="360" w:lineRule="auto"/>
        <w:ind w:firstLine="708"/>
        <w:jc w:val="both"/>
        <w:rPr>
          <w:rFonts w:ascii="Times New Roman" w:hAnsi="Times New Roman" w:cs="Times New Roman"/>
          <w:sz w:val="24"/>
          <w:szCs w:val="24"/>
        </w:rPr>
      </w:pPr>
      <w:r w:rsidRPr="00AA4DC1">
        <w:rPr>
          <w:rFonts w:ascii="Times New Roman" w:hAnsi="Times New Roman" w:cs="Times New Roman"/>
          <w:sz w:val="24"/>
          <w:szCs w:val="24"/>
        </w:rPr>
        <w:t>Es un grupo relativamente pequeño de unidades de estudio que representa las características de la población.</w:t>
      </w:r>
    </w:p>
    <w:p w14:paraId="4659E146" w14:textId="749FA61C" w:rsidR="00AA4DC1" w:rsidRDefault="000D7C63" w:rsidP="00CD1012">
      <w:pPr>
        <w:spacing w:line="360" w:lineRule="auto"/>
        <w:ind w:firstLine="708"/>
        <w:jc w:val="both"/>
        <w:rPr>
          <w:rFonts w:ascii="Times New Roman" w:hAnsi="Times New Roman" w:cs="Times New Roman"/>
          <w:sz w:val="24"/>
          <w:szCs w:val="24"/>
        </w:rPr>
      </w:pPr>
      <w:r w:rsidRPr="00AA4DC1">
        <w:rPr>
          <w:rFonts w:ascii="Times New Roman" w:hAnsi="Times New Roman" w:cs="Times New Roman"/>
          <w:sz w:val="24"/>
          <w:szCs w:val="24"/>
        </w:rPr>
        <w:t>Dado que,</w:t>
      </w:r>
      <w:r w:rsidR="00AA4DC1" w:rsidRPr="00AA4DC1">
        <w:rPr>
          <w:rFonts w:ascii="Times New Roman" w:hAnsi="Times New Roman" w:cs="Times New Roman"/>
          <w:sz w:val="24"/>
          <w:szCs w:val="24"/>
        </w:rPr>
        <w:t xml:space="preserve"> </w:t>
      </w:r>
      <w:r w:rsidR="001A6A8B">
        <w:rPr>
          <w:rFonts w:ascii="Times New Roman" w:hAnsi="Times New Roman" w:cs="Times New Roman"/>
          <w:sz w:val="24"/>
          <w:szCs w:val="24"/>
        </w:rPr>
        <w:t xml:space="preserve">en </w:t>
      </w:r>
      <w:r w:rsidR="00AA4DC1" w:rsidRPr="00AA4DC1">
        <w:rPr>
          <w:rFonts w:ascii="Times New Roman" w:hAnsi="Times New Roman" w:cs="Times New Roman"/>
          <w:sz w:val="24"/>
          <w:szCs w:val="24"/>
        </w:rPr>
        <w:t>la presente investigación</w:t>
      </w:r>
      <w:r w:rsidR="007862E0">
        <w:rPr>
          <w:rFonts w:ascii="Times New Roman" w:hAnsi="Times New Roman" w:cs="Times New Roman"/>
          <w:sz w:val="24"/>
          <w:szCs w:val="24"/>
        </w:rPr>
        <w:t xml:space="preserve">, la Población A, </w:t>
      </w:r>
      <w:r w:rsidR="00AA4DC1" w:rsidRPr="00AA4DC1">
        <w:rPr>
          <w:rFonts w:ascii="Times New Roman" w:hAnsi="Times New Roman" w:cs="Times New Roman"/>
          <w:sz w:val="24"/>
          <w:szCs w:val="24"/>
        </w:rPr>
        <w:t xml:space="preserve">se centra en analizar los datos y registros estadísticos y financieros de la empresa durante el periodo 2019-2023, </w:t>
      </w:r>
      <w:r w:rsidR="007862E0">
        <w:rPr>
          <w:rFonts w:ascii="Times New Roman" w:hAnsi="Times New Roman" w:cs="Times New Roman"/>
          <w:sz w:val="24"/>
          <w:szCs w:val="24"/>
        </w:rPr>
        <w:t xml:space="preserve">se </w:t>
      </w:r>
      <w:r w:rsidR="00AA4DC1" w:rsidRPr="00AA4DC1">
        <w:rPr>
          <w:rFonts w:ascii="Times New Roman" w:hAnsi="Times New Roman" w:cs="Times New Roman"/>
          <w:sz w:val="24"/>
          <w:szCs w:val="24"/>
        </w:rPr>
        <w:t>utiliza</w:t>
      </w:r>
      <w:r w:rsidR="007862E0">
        <w:rPr>
          <w:rFonts w:ascii="Times New Roman" w:hAnsi="Times New Roman" w:cs="Times New Roman"/>
          <w:sz w:val="24"/>
          <w:szCs w:val="24"/>
        </w:rPr>
        <w:t xml:space="preserve">rá </w:t>
      </w:r>
      <w:r w:rsidR="00AA4DC1" w:rsidRPr="00AA4DC1">
        <w:rPr>
          <w:rFonts w:ascii="Times New Roman" w:hAnsi="Times New Roman" w:cs="Times New Roman"/>
          <w:sz w:val="24"/>
          <w:szCs w:val="24"/>
        </w:rPr>
        <w:t>Microsoft Excel como herramienta principal para la manipulación de datos, es relevante señalar que la población objeto de estudio abarca la totalidad de los datos disponibles en la base de datos de la empresa. La amplia disponibilidad de información en cada una de las cuentas permite realizar análisis exhaustivos sin la necesidad de calcular una muestra representativa.</w:t>
      </w:r>
    </w:p>
    <w:p w14:paraId="020C6BFB" w14:textId="23DC64BD" w:rsidR="007D4BBE" w:rsidRPr="00CD1012" w:rsidRDefault="007862E0" w:rsidP="00CD1012">
      <w:pPr>
        <w:spacing w:line="360" w:lineRule="auto"/>
        <w:ind w:firstLine="708"/>
        <w:jc w:val="both"/>
        <w:rPr>
          <w:rFonts w:ascii="Times New Roman" w:hAnsi="Times New Roman" w:cs="Times New Roman"/>
          <w:sz w:val="24"/>
          <w:szCs w:val="24"/>
        </w:rPr>
      </w:pPr>
      <w:r>
        <w:rPr>
          <w:rFonts w:ascii="Times New Roman" w:hAnsi="Times New Roman" w:cs="Times New Roman"/>
          <w:sz w:val="24"/>
          <w:szCs w:val="24"/>
        </w:rPr>
        <w:t>Por otra parte, a la Población B, se aplicará censo a los gerentes de la empresa debido a que el número de la muestra es relativamente pequeña y por tanto se puede aplicar a su totalidad.</w:t>
      </w:r>
    </w:p>
    <w:p w14:paraId="3D3C75FA" w14:textId="77777777" w:rsidR="00FB5BCC" w:rsidRDefault="00FB5BCC" w:rsidP="00DF4E07">
      <w:pPr>
        <w:pStyle w:val="TextoPrincipal"/>
        <w:spacing w:line="360" w:lineRule="auto"/>
      </w:pPr>
    </w:p>
    <w:p w14:paraId="338F1E92" w14:textId="10E653FF" w:rsidR="007A01EE" w:rsidRPr="00171F3D" w:rsidRDefault="00B260A8" w:rsidP="00625447">
      <w:pPr>
        <w:pStyle w:val="Ttulo3"/>
        <w:numPr>
          <w:ilvl w:val="2"/>
          <w:numId w:val="11"/>
        </w:numPr>
        <w:spacing w:before="0" w:line="360" w:lineRule="auto"/>
        <w:ind w:left="0" w:firstLine="720"/>
      </w:pPr>
      <w:r>
        <w:t xml:space="preserve"> </w:t>
      </w:r>
      <w:bookmarkStart w:id="203" w:name="_Toc166705808"/>
      <w:bookmarkStart w:id="204" w:name="_Toc175171410"/>
      <w:r w:rsidR="00A871DB" w:rsidRPr="00625447">
        <w:t>TÉCNICAS</w:t>
      </w:r>
      <w:r w:rsidR="00A871DB" w:rsidRPr="00171F3D">
        <w:t xml:space="preserve"> DE MUESTREO</w:t>
      </w:r>
      <w:bookmarkEnd w:id="203"/>
      <w:bookmarkEnd w:id="204"/>
    </w:p>
    <w:p w14:paraId="5C20A4CE" w14:textId="7FFF8834" w:rsidR="006772C5" w:rsidRPr="006772C5" w:rsidRDefault="006772C5" w:rsidP="006772C5">
      <w:pPr>
        <w:spacing w:line="360" w:lineRule="auto"/>
        <w:ind w:firstLine="708"/>
        <w:jc w:val="both"/>
        <w:rPr>
          <w:rFonts w:ascii="Times New Roman" w:hAnsi="Times New Roman" w:cs="Times New Roman"/>
          <w:sz w:val="24"/>
          <w:szCs w:val="24"/>
        </w:rPr>
      </w:pPr>
      <w:r>
        <w:rPr>
          <w:rFonts w:ascii="Times New Roman" w:hAnsi="Times New Roman" w:cs="Times New Roman"/>
          <w:sz w:val="24"/>
          <w:szCs w:val="24"/>
        </w:rPr>
        <w:t>El muestreo es el conjunto de t</w:t>
      </w:r>
      <w:r w:rsidRPr="006772C5">
        <w:rPr>
          <w:rFonts w:ascii="Times New Roman" w:hAnsi="Times New Roman" w:cs="Times New Roman"/>
          <w:sz w:val="24"/>
          <w:szCs w:val="24"/>
        </w:rPr>
        <w:t>écnicas y procedimientos que se utilizan para seleccionar la muestra que representa una población dada.</w:t>
      </w:r>
    </w:p>
    <w:p w14:paraId="6B5F62A0" w14:textId="0919259C" w:rsidR="006772C5" w:rsidRPr="006772C5" w:rsidRDefault="006772C5" w:rsidP="006772C5">
      <w:pPr>
        <w:spacing w:line="360" w:lineRule="auto"/>
        <w:jc w:val="both"/>
        <w:rPr>
          <w:rFonts w:ascii="Times New Roman" w:hAnsi="Times New Roman" w:cs="Times New Roman"/>
          <w:sz w:val="24"/>
          <w:szCs w:val="24"/>
        </w:rPr>
      </w:pPr>
      <w:r w:rsidRPr="006772C5">
        <w:rPr>
          <w:rFonts w:ascii="Times New Roman" w:hAnsi="Times New Roman" w:cs="Times New Roman"/>
          <w:sz w:val="24"/>
          <w:szCs w:val="24"/>
        </w:rPr>
        <w:tab/>
        <w:t xml:space="preserve">El muestreo es parte fundamental de la estrategia de una investigación, pues ayuda a reducir el tiempo y los recursos materiales y humanos necesarios para realizarla. Además, permite realizar un estudio más profundo de cada caso, obteniendo datos de mayor valor que los recopilados con poblaciones enteras donde no es posible una gran profundización. </w:t>
      </w:r>
    </w:p>
    <w:p w14:paraId="455794A1" w14:textId="77777777" w:rsidR="006772C5" w:rsidRPr="006772C5" w:rsidRDefault="006772C5" w:rsidP="006772C5">
      <w:pPr>
        <w:spacing w:line="360" w:lineRule="auto"/>
        <w:ind w:firstLine="708"/>
        <w:jc w:val="both"/>
        <w:rPr>
          <w:rFonts w:ascii="Times New Roman" w:hAnsi="Times New Roman" w:cs="Times New Roman"/>
          <w:sz w:val="24"/>
          <w:szCs w:val="24"/>
        </w:rPr>
      </w:pPr>
      <w:r w:rsidRPr="006772C5">
        <w:rPr>
          <w:rFonts w:ascii="Times New Roman" w:hAnsi="Times New Roman" w:cs="Times New Roman"/>
          <w:sz w:val="24"/>
          <w:szCs w:val="24"/>
        </w:rPr>
        <w:t>Existen dos grandes grupos de métodos de muestreo:</w:t>
      </w:r>
    </w:p>
    <w:p w14:paraId="4BEDABBF" w14:textId="77777777" w:rsidR="006772C5" w:rsidRPr="006772C5" w:rsidRDefault="006772C5" w:rsidP="006772C5">
      <w:pPr>
        <w:spacing w:line="360" w:lineRule="auto"/>
        <w:ind w:firstLine="708"/>
        <w:jc w:val="both"/>
        <w:rPr>
          <w:rFonts w:ascii="Times New Roman" w:hAnsi="Times New Roman" w:cs="Times New Roman"/>
          <w:sz w:val="24"/>
          <w:szCs w:val="24"/>
        </w:rPr>
      </w:pPr>
      <w:r w:rsidRPr="006772C5">
        <w:rPr>
          <w:rFonts w:ascii="Times New Roman" w:hAnsi="Times New Roman" w:cs="Times New Roman"/>
          <w:b/>
          <w:bCs/>
          <w:i/>
          <w:iCs/>
          <w:sz w:val="24"/>
          <w:szCs w:val="24"/>
        </w:rPr>
        <w:lastRenderedPageBreak/>
        <w:t>Probabilísticas:</w:t>
      </w:r>
      <w:r w:rsidRPr="006772C5">
        <w:rPr>
          <w:rFonts w:ascii="Times New Roman" w:hAnsi="Times New Roman" w:cs="Times New Roman"/>
          <w:sz w:val="24"/>
          <w:szCs w:val="24"/>
        </w:rPr>
        <w:t xml:space="preserve"> Se basan en el supuesto de equiprobabilidad, donde todos los elementos de la población tienen la misma probabilidad de ser elegidos para integrar la muestra. Las técnicas de muestreo para este grupo son:</w:t>
      </w:r>
    </w:p>
    <w:p w14:paraId="77E28E42" w14:textId="77777777" w:rsidR="006772C5" w:rsidRPr="006772C5" w:rsidRDefault="006772C5" w:rsidP="006772C5">
      <w:pPr>
        <w:pStyle w:val="Prrafodelista"/>
        <w:widowControl/>
        <w:numPr>
          <w:ilvl w:val="0"/>
          <w:numId w:val="22"/>
        </w:numPr>
        <w:spacing w:after="160" w:line="360" w:lineRule="auto"/>
        <w:contextualSpacing/>
        <w:jc w:val="both"/>
        <w:rPr>
          <w:rFonts w:ascii="Times New Roman" w:hAnsi="Times New Roman" w:cs="Times New Roman"/>
          <w:sz w:val="24"/>
          <w:szCs w:val="24"/>
        </w:rPr>
      </w:pPr>
      <w:r w:rsidRPr="006772C5">
        <w:rPr>
          <w:rFonts w:ascii="Times New Roman" w:hAnsi="Times New Roman" w:cs="Times New Roman"/>
          <w:sz w:val="24"/>
          <w:szCs w:val="24"/>
        </w:rPr>
        <w:t>Muestreo aleatorio simple</w:t>
      </w:r>
    </w:p>
    <w:p w14:paraId="49786BF1" w14:textId="77777777" w:rsidR="006772C5" w:rsidRPr="006772C5" w:rsidRDefault="006772C5" w:rsidP="006772C5">
      <w:pPr>
        <w:pStyle w:val="Prrafodelista"/>
        <w:widowControl/>
        <w:numPr>
          <w:ilvl w:val="0"/>
          <w:numId w:val="22"/>
        </w:numPr>
        <w:spacing w:after="160" w:line="360" w:lineRule="auto"/>
        <w:contextualSpacing/>
        <w:jc w:val="both"/>
        <w:rPr>
          <w:rFonts w:ascii="Times New Roman" w:hAnsi="Times New Roman" w:cs="Times New Roman"/>
          <w:sz w:val="24"/>
          <w:szCs w:val="24"/>
        </w:rPr>
      </w:pPr>
      <w:r w:rsidRPr="006772C5">
        <w:rPr>
          <w:rFonts w:ascii="Times New Roman" w:hAnsi="Times New Roman" w:cs="Times New Roman"/>
          <w:sz w:val="24"/>
          <w:szCs w:val="24"/>
        </w:rPr>
        <w:t>Muestro sistemático</w:t>
      </w:r>
    </w:p>
    <w:p w14:paraId="2BD1E108" w14:textId="77777777" w:rsidR="006772C5" w:rsidRPr="006772C5" w:rsidRDefault="006772C5" w:rsidP="006772C5">
      <w:pPr>
        <w:pStyle w:val="Prrafodelista"/>
        <w:widowControl/>
        <w:numPr>
          <w:ilvl w:val="0"/>
          <w:numId w:val="22"/>
        </w:numPr>
        <w:spacing w:after="160" w:line="360" w:lineRule="auto"/>
        <w:contextualSpacing/>
        <w:jc w:val="both"/>
        <w:rPr>
          <w:rFonts w:ascii="Times New Roman" w:hAnsi="Times New Roman" w:cs="Times New Roman"/>
          <w:sz w:val="24"/>
          <w:szCs w:val="24"/>
        </w:rPr>
      </w:pPr>
      <w:r w:rsidRPr="006772C5">
        <w:rPr>
          <w:rFonts w:ascii="Times New Roman" w:hAnsi="Times New Roman" w:cs="Times New Roman"/>
          <w:sz w:val="24"/>
          <w:szCs w:val="24"/>
        </w:rPr>
        <w:t>Muestreo estratificado</w:t>
      </w:r>
    </w:p>
    <w:p w14:paraId="3C8871DD" w14:textId="77D4F05E" w:rsidR="006772C5" w:rsidRPr="006772C5" w:rsidRDefault="006772C5" w:rsidP="006772C5">
      <w:pPr>
        <w:pStyle w:val="Prrafodelista"/>
        <w:widowControl/>
        <w:numPr>
          <w:ilvl w:val="0"/>
          <w:numId w:val="22"/>
        </w:numPr>
        <w:spacing w:after="160" w:line="360" w:lineRule="auto"/>
        <w:contextualSpacing/>
        <w:jc w:val="both"/>
        <w:rPr>
          <w:rFonts w:ascii="Times New Roman" w:hAnsi="Times New Roman" w:cs="Times New Roman"/>
          <w:sz w:val="24"/>
          <w:szCs w:val="24"/>
        </w:rPr>
      </w:pPr>
      <w:r w:rsidRPr="006772C5">
        <w:rPr>
          <w:rFonts w:ascii="Times New Roman" w:hAnsi="Times New Roman" w:cs="Times New Roman"/>
          <w:sz w:val="24"/>
          <w:szCs w:val="24"/>
        </w:rPr>
        <w:t xml:space="preserve">Muestreo por conglomerado </w:t>
      </w:r>
    </w:p>
    <w:p w14:paraId="5F9E08BC" w14:textId="31EC5050" w:rsidR="006772C5" w:rsidRPr="006772C5" w:rsidRDefault="006772C5" w:rsidP="00801FFE">
      <w:pPr>
        <w:spacing w:line="360" w:lineRule="auto"/>
        <w:ind w:firstLine="708"/>
        <w:jc w:val="both"/>
        <w:rPr>
          <w:rFonts w:ascii="Times New Roman" w:hAnsi="Times New Roman" w:cs="Times New Roman"/>
          <w:sz w:val="24"/>
          <w:szCs w:val="24"/>
        </w:rPr>
      </w:pPr>
      <w:r w:rsidRPr="006772C5">
        <w:rPr>
          <w:rFonts w:ascii="Times New Roman" w:hAnsi="Times New Roman" w:cs="Times New Roman"/>
          <w:b/>
          <w:bCs/>
          <w:i/>
          <w:iCs/>
          <w:sz w:val="24"/>
          <w:szCs w:val="24"/>
        </w:rPr>
        <w:t>No probabilísticas:</w:t>
      </w:r>
      <w:r w:rsidRPr="006772C5">
        <w:rPr>
          <w:rFonts w:ascii="Times New Roman" w:hAnsi="Times New Roman" w:cs="Times New Roman"/>
          <w:sz w:val="24"/>
          <w:szCs w:val="24"/>
        </w:rPr>
        <w:t xml:space="preserve"> Estas técnicas no aseguran la probabilidad que tiene cada elemento de la población de ser incluido en la muestra, por lo que no se logra la equiprobabilidad ni la representación de la población en la muestra. Las técnicas de muestreo para este grupo son:</w:t>
      </w:r>
    </w:p>
    <w:p w14:paraId="4CC1FC4C" w14:textId="77777777" w:rsidR="006772C5" w:rsidRPr="006772C5" w:rsidRDefault="006772C5" w:rsidP="006772C5">
      <w:pPr>
        <w:pStyle w:val="Prrafodelista"/>
        <w:widowControl/>
        <w:numPr>
          <w:ilvl w:val="0"/>
          <w:numId w:val="23"/>
        </w:numPr>
        <w:spacing w:after="160" w:line="360" w:lineRule="auto"/>
        <w:contextualSpacing/>
        <w:jc w:val="both"/>
        <w:rPr>
          <w:rFonts w:ascii="Times New Roman" w:hAnsi="Times New Roman" w:cs="Times New Roman"/>
          <w:sz w:val="24"/>
          <w:szCs w:val="24"/>
        </w:rPr>
      </w:pPr>
      <w:r w:rsidRPr="006772C5">
        <w:rPr>
          <w:rFonts w:ascii="Times New Roman" w:hAnsi="Times New Roman" w:cs="Times New Roman"/>
          <w:sz w:val="24"/>
          <w:szCs w:val="24"/>
        </w:rPr>
        <w:t xml:space="preserve">Muestreo accidental </w:t>
      </w:r>
    </w:p>
    <w:p w14:paraId="48F8CDF2" w14:textId="77777777" w:rsidR="006772C5" w:rsidRPr="006772C5" w:rsidRDefault="006772C5" w:rsidP="006772C5">
      <w:pPr>
        <w:pStyle w:val="Prrafodelista"/>
        <w:widowControl/>
        <w:numPr>
          <w:ilvl w:val="0"/>
          <w:numId w:val="23"/>
        </w:numPr>
        <w:spacing w:after="160" w:line="360" w:lineRule="auto"/>
        <w:contextualSpacing/>
        <w:jc w:val="both"/>
        <w:rPr>
          <w:rFonts w:ascii="Times New Roman" w:hAnsi="Times New Roman" w:cs="Times New Roman"/>
          <w:sz w:val="24"/>
          <w:szCs w:val="24"/>
        </w:rPr>
      </w:pPr>
      <w:r w:rsidRPr="006772C5">
        <w:rPr>
          <w:rFonts w:ascii="Times New Roman" w:hAnsi="Times New Roman" w:cs="Times New Roman"/>
          <w:sz w:val="24"/>
          <w:szCs w:val="24"/>
        </w:rPr>
        <w:t xml:space="preserve">Muestreo intencional </w:t>
      </w:r>
    </w:p>
    <w:p w14:paraId="0C018AB1" w14:textId="77777777" w:rsidR="006772C5" w:rsidRPr="006772C5" w:rsidRDefault="006772C5" w:rsidP="006772C5">
      <w:pPr>
        <w:pStyle w:val="Prrafodelista"/>
        <w:widowControl/>
        <w:numPr>
          <w:ilvl w:val="0"/>
          <w:numId w:val="23"/>
        </w:numPr>
        <w:spacing w:after="160" w:line="360" w:lineRule="auto"/>
        <w:contextualSpacing/>
        <w:jc w:val="both"/>
        <w:rPr>
          <w:rFonts w:ascii="Times New Roman" w:hAnsi="Times New Roman" w:cs="Times New Roman"/>
          <w:sz w:val="24"/>
          <w:szCs w:val="24"/>
        </w:rPr>
      </w:pPr>
      <w:r w:rsidRPr="006772C5">
        <w:rPr>
          <w:rFonts w:ascii="Times New Roman" w:hAnsi="Times New Roman" w:cs="Times New Roman"/>
          <w:sz w:val="24"/>
          <w:szCs w:val="24"/>
        </w:rPr>
        <w:t xml:space="preserve">Muestreo por cuotas </w:t>
      </w:r>
    </w:p>
    <w:p w14:paraId="301027D3" w14:textId="77777777" w:rsidR="00C0458C" w:rsidRDefault="006772C5" w:rsidP="006772C5">
      <w:pPr>
        <w:pStyle w:val="Prrafodelista"/>
        <w:widowControl/>
        <w:numPr>
          <w:ilvl w:val="0"/>
          <w:numId w:val="23"/>
        </w:numPr>
        <w:spacing w:after="160" w:line="360" w:lineRule="auto"/>
        <w:contextualSpacing/>
        <w:jc w:val="both"/>
        <w:rPr>
          <w:rFonts w:ascii="Times New Roman" w:hAnsi="Times New Roman" w:cs="Times New Roman"/>
          <w:sz w:val="24"/>
          <w:szCs w:val="24"/>
        </w:rPr>
      </w:pPr>
      <w:r w:rsidRPr="006772C5">
        <w:rPr>
          <w:rFonts w:ascii="Times New Roman" w:hAnsi="Times New Roman" w:cs="Times New Roman"/>
          <w:sz w:val="24"/>
          <w:szCs w:val="24"/>
        </w:rPr>
        <w:t>Otros</w:t>
      </w:r>
    </w:p>
    <w:p w14:paraId="15682DBF" w14:textId="62652250" w:rsidR="006772C5" w:rsidRPr="00C0458C" w:rsidRDefault="00C0458C" w:rsidP="00C0458C">
      <w:pPr>
        <w:widowControl/>
        <w:spacing w:after="160" w:line="360" w:lineRule="auto"/>
        <w:ind w:firstLine="709"/>
        <w:contextualSpacing/>
        <w:jc w:val="both"/>
        <w:rPr>
          <w:rFonts w:ascii="Times New Roman" w:hAnsi="Times New Roman" w:cs="Times New Roman"/>
          <w:sz w:val="24"/>
          <w:szCs w:val="24"/>
        </w:rPr>
      </w:pPr>
      <w:r>
        <w:rPr>
          <w:rFonts w:ascii="Times New Roman" w:hAnsi="Times New Roman" w:cs="Times New Roman"/>
          <w:sz w:val="24"/>
          <w:szCs w:val="24"/>
        </w:rPr>
        <w:tab/>
      </w:r>
      <w:r w:rsidRPr="00C0458C">
        <w:rPr>
          <w:rFonts w:ascii="Times New Roman" w:hAnsi="Times New Roman" w:cs="Times New Roman"/>
          <w:sz w:val="24"/>
          <w:szCs w:val="24"/>
        </w:rPr>
        <w:tab/>
      </w:r>
      <w:r w:rsidRPr="00C0458C">
        <w:rPr>
          <w:rFonts w:ascii="Times New Roman" w:hAnsi="Times New Roman" w:cs="Times New Roman"/>
          <w:sz w:val="24"/>
          <w:szCs w:val="24"/>
        </w:rPr>
        <w:tab/>
      </w:r>
      <w:r w:rsidRPr="00C0458C">
        <w:rPr>
          <w:rFonts w:ascii="Times New Roman" w:hAnsi="Times New Roman" w:cs="Times New Roman"/>
          <w:sz w:val="24"/>
          <w:szCs w:val="24"/>
        </w:rPr>
        <w:tab/>
      </w:r>
      <w:r w:rsidRPr="00C0458C">
        <w:rPr>
          <w:rFonts w:ascii="Times New Roman" w:hAnsi="Times New Roman" w:cs="Times New Roman"/>
          <w:sz w:val="24"/>
          <w:szCs w:val="24"/>
        </w:rPr>
        <w:tab/>
      </w:r>
      <w:r w:rsidRPr="00C0458C">
        <w:rPr>
          <w:rFonts w:ascii="Times New Roman" w:hAnsi="Times New Roman" w:cs="Times New Roman"/>
          <w:sz w:val="24"/>
          <w:szCs w:val="24"/>
        </w:rPr>
        <w:tab/>
      </w:r>
      <w:r w:rsidR="006772C5" w:rsidRPr="00C0458C">
        <w:rPr>
          <w:rFonts w:ascii="Times New Roman" w:hAnsi="Times New Roman" w:cs="Times New Roman"/>
          <w:sz w:val="24"/>
          <w:szCs w:val="24"/>
        </w:rPr>
        <w:tab/>
        <w:t>En esta investigación, no se aplicó un proceso de muestreo tradicional, ya que se dispone de la totalidad de la data histórica correspondiente al periodo 2019-2023 para llevar a cabo el análisis de datos de manera exhaustiva.</w:t>
      </w:r>
      <w:r w:rsidRPr="00C0458C">
        <w:rPr>
          <w:rFonts w:ascii="Times New Roman" w:hAnsi="Times New Roman" w:cs="Times New Roman"/>
          <w:sz w:val="24"/>
          <w:szCs w:val="24"/>
        </w:rPr>
        <w:t xml:space="preserve"> Por tanto, esta investigación no requiere técnica de muestreo.</w:t>
      </w:r>
    </w:p>
    <w:p w14:paraId="350B9348" w14:textId="77777777" w:rsidR="004C33D3" w:rsidRDefault="004C33D3" w:rsidP="00A94B2A">
      <w:pPr>
        <w:pStyle w:val="TextoPrincipal"/>
        <w:spacing w:line="360" w:lineRule="auto"/>
      </w:pPr>
    </w:p>
    <w:p w14:paraId="3085B1BE" w14:textId="745373F8" w:rsidR="007A01EE" w:rsidRPr="00DF4E07" w:rsidRDefault="00DF4E07" w:rsidP="00DF4E07">
      <w:pPr>
        <w:pStyle w:val="Ttulo2"/>
        <w:spacing w:line="360" w:lineRule="auto"/>
      </w:pPr>
      <w:bookmarkStart w:id="205" w:name="_Toc166705809"/>
      <w:bookmarkStart w:id="206" w:name="_Toc175171411"/>
      <w:r>
        <w:t xml:space="preserve">3.4. </w:t>
      </w:r>
      <w:bookmarkStart w:id="207" w:name="_Hlk160917361"/>
      <w:r w:rsidR="00A871DB" w:rsidRPr="00DF4E07">
        <w:t>TÉCNICAS, INSTRUMENTOS Y PROCEDIMIENTOS APLICADOS</w:t>
      </w:r>
      <w:bookmarkEnd w:id="205"/>
      <w:bookmarkEnd w:id="206"/>
    </w:p>
    <w:p w14:paraId="013808A3" w14:textId="4AD4C4C6" w:rsidR="004C33D3" w:rsidRPr="00DF4E07" w:rsidRDefault="004C33D3" w:rsidP="00DF4E07">
      <w:pPr>
        <w:pStyle w:val="Ttulo3"/>
        <w:spacing w:line="360" w:lineRule="auto"/>
        <w:ind w:left="0" w:firstLine="720"/>
      </w:pPr>
      <w:bookmarkStart w:id="208" w:name="_Toc166705810"/>
      <w:bookmarkStart w:id="209" w:name="_Toc175171412"/>
      <w:bookmarkEnd w:id="207"/>
      <w:r w:rsidRPr="00DF4E07">
        <w:t>3</w:t>
      </w:r>
      <w:r w:rsidR="00C8705C" w:rsidRPr="00DF4E07">
        <w:t>.4.1. T</w:t>
      </w:r>
      <w:r w:rsidR="006E4D3C">
        <w:t>É</w:t>
      </w:r>
      <w:r w:rsidR="00C8705C" w:rsidRPr="00DF4E07">
        <w:t>CNICAS</w:t>
      </w:r>
      <w:bookmarkEnd w:id="208"/>
      <w:bookmarkEnd w:id="209"/>
    </w:p>
    <w:p w14:paraId="45111BD0" w14:textId="24DF4386" w:rsidR="006E4D3C" w:rsidRPr="006E4D3C" w:rsidRDefault="006E4D3C" w:rsidP="006E4D3C">
      <w:pPr>
        <w:ind w:left="708"/>
        <w:jc w:val="both"/>
        <w:rPr>
          <w:rFonts w:ascii="Times New Roman" w:hAnsi="Times New Roman" w:cs="Times New Roman"/>
        </w:rPr>
      </w:pPr>
      <w:r w:rsidRPr="006E4D3C">
        <w:rPr>
          <w:rFonts w:ascii="Times New Roman" w:hAnsi="Times New Roman" w:cs="Times New Roman"/>
        </w:rPr>
        <w:t xml:space="preserve">Es el conjunto de instrumentos y medios a través de los cuales se efectúa el método. Asimismo, se definen las técnicas como las acciones para recolectar, procesar y analizar información. Por otro lado, también se considera que la técnica es indispensable en el proceso de la investigación científica, ya que integra la estructura por medio de la cual se organiza la investigación. </w:t>
      </w:r>
      <w:r w:rsidRPr="006E4D3C">
        <w:rPr>
          <w:rFonts w:ascii="Times New Roman" w:hAnsi="Times New Roman" w:cs="Times New Roman"/>
        </w:rPr>
        <w:fldChar w:fldCharType="begin"/>
      </w:r>
      <w:r w:rsidR="00C52841">
        <w:rPr>
          <w:rFonts w:ascii="Times New Roman" w:hAnsi="Times New Roman" w:cs="Times New Roman"/>
        </w:rPr>
        <w:instrText xml:space="preserve"> ADDIN ZOTERO_ITEM CSL_CITATION {"citationID":"fN7RoyVM","properties":{"formattedCitation":"(Monroy &amp; Nava, 2018, p. 106)","plainCitation":"(Monroy &amp; Nava, 2018, p. 106)","noteIndex":0},"citationItems":[{"id":"mhK3fgOx/IBvAdwF0","uris":["http://zotero.org/users/local/rewjbDUP/items/WCML9XLE"],"itemData":{"id":19,"type":"book","event-place":"México, D.F.","ISBN":"978-607-8543-39-7","language":"Español","license":"Lapislázuli, ediciones","number-of-pages":"169","publisher":"Grupo Editorial Éxodo","publisher-place":"México, D.F.","title":"Metodología de la Investigación","volume":"0","author":[{"family":"Monroy","given":"Maria"},{"family":"Nava","given":"Nelisahuel"}],"issued":{"date-parts":[["2018",8]]}},"locator":"106","label":"page"}],"schema":"https://github.com/citation-style-language/schema/raw/master/csl-citation.json"} </w:instrText>
      </w:r>
      <w:r w:rsidRPr="006E4D3C">
        <w:rPr>
          <w:rFonts w:ascii="Times New Roman" w:hAnsi="Times New Roman" w:cs="Times New Roman"/>
        </w:rPr>
        <w:fldChar w:fldCharType="separate"/>
      </w:r>
      <w:r w:rsidRPr="006E4D3C">
        <w:rPr>
          <w:rFonts w:ascii="Times New Roman" w:hAnsi="Times New Roman" w:cs="Times New Roman"/>
        </w:rPr>
        <w:t>(Monroy &amp; Nava, 2018, p. 106)</w:t>
      </w:r>
      <w:r w:rsidRPr="006E4D3C">
        <w:rPr>
          <w:rFonts w:ascii="Times New Roman" w:hAnsi="Times New Roman" w:cs="Times New Roman"/>
        </w:rPr>
        <w:fldChar w:fldCharType="end"/>
      </w:r>
    </w:p>
    <w:p w14:paraId="3C64DC6B" w14:textId="77777777" w:rsidR="006E4D3C" w:rsidRPr="006E4D3C" w:rsidRDefault="006E4D3C" w:rsidP="006745CB">
      <w:pPr>
        <w:spacing w:line="360" w:lineRule="auto"/>
        <w:ind w:firstLine="720"/>
        <w:jc w:val="both"/>
        <w:rPr>
          <w:rFonts w:ascii="Times New Roman" w:hAnsi="Times New Roman" w:cs="Times New Roman"/>
          <w:sz w:val="24"/>
          <w:szCs w:val="24"/>
        </w:rPr>
      </w:pPr>
      <w:r w:rsidRPr="006E4D3C">
        <w:rPr>
          <w:rFonts w:ascii="Times New Roman" w:hAnsi="Times New Roman" w:cs="Times New Roman"/>
          <w:sz w:val="24"/>
          <w:szCs w:val="24"/>
        </w:rPr>
        <w:t>Para esta investigación, se emplearán dos técnicas:</w:t>
      </w:r>
    </w:p>
    <w:p w14:paraId="0468D742" w14:textId="26476394" w:rsidR="006E4D3C" w:rsidRPr="006E4D3C" w:rsidRDefault="00151798" w:rsidP="006745CB">
      <w:pPr>
        <w:pStyle w:val="Prrafodelista"/>
        <w:widowControl/>
        <w:numPr>
          <w:ilvl w:val="0"/>
          <w:numId w:val="24"/>
        </w:numPr>
        <w:spacing w:after="160" w:line="360" w:lineRule="auto"/>
        <w:ind w:left="0" w:firstLine="720"/>
        <w:contextualSpacing/>
        <w:jc w:val="both"/>
        <w:rPr>
          <w:rFonts w:ascii="Times New Roman" w:hAnsi="Times New Roman" w:cs="Times New Roman"/>
          <w:sz w:val="24"/>
          <w:szCs w:val="24"/>
        </w:rPr>
      </w:pPr>
      <w:r>
        <w:rPr>
          <w:rFonts w:ascii="Times New Roman" w:hAnsi="Times New Roman" w:cs="Times New Roman"/>
          <w:sz w:val="24"/>
          <w:szCs w:val="24"/>
        </w:rPr>
        <w:t>A</w:t>
      </w:r>
      <w:r w:rsidR="006E4D3C" w:rsidRPr="006E4D3C">
        <w:rPr>
          <w:rFonts w:ascii="Times New Roman" w:hAnsi="Times New Roman" w:cs="Times New Roman"/>
          <w:sz w:val="24"/>
          <w:szCs w:val="24"/>
        </w:rPr>
        <w:t>nálisis de bases de datos financieros; y</w:t>
      </w:r>
    </w:p>
    <w:p w14:paraId="58A1750C" w14:textId="76E61341" w:rsidR="006745CB" w:rsidRDefault="00C0458C" w:rsidP="006745CB">
      <w:pPr>
        <w:pStyle w:val="Prrafodelista"/>
        <w:widowControl/>
        <w:numPr>
          <w:ilvl w:val="0"/>
          <w:numId w:val="24"/>
        </w:numPr>
        <w:spacing w:after="160" w:line="360" w:lineRule="auto"/>
        <w:ind w:left="0" w:firstLine="720"/>
        <w:contextualSpacing/>
        <w:jc w:val="both"/>
        <w:rPr>
          <w:rFonts w:ascii="Times New Roman" w:hAnsi="Times New Roman" w:cs="Times New Roman"/>
          <w:sz w:val="24"/>
          <w:szCs w:val="24"/>
        </w:rPr>
      </w:pPr>
      <w:r>
        <w:rPr>
          <w:rFonts w:ascii="Times New Roman" w:hAnsi="Times New Roman" w:cs="Times New Roman"/>
          <w:sz w:val="24"/>
          <w:szCs w:val="24"/>
        </w:rPr>
        <w:t>E</w:t>
      </w:r>
      <w:r w:rsidR="006E4D3C" w:rsidRPr="006E4D3C">
        <w:rPr>
          <w:rFonts w:ascii="Times New Roman" w:hAnsi="Times New Roman" w:cs="Times New Roman"/>
          <w:sz w:val="24"/>
          <w:szCs w:val="24"/>
        </w:rPr>
        <w:t>ntrevistas.</w:t>
      </w:r>
    </w:p>
    <w:p w14:paraId="3215468B" w14:textId="77777777" w:rsidR="006745CB" w:rsidRPr="006745CB" w:rsidRDefault="006745CB" w:rsidP="006745CB">
      <w:pPr>
        <w:widowControl/>
        <w:spacing w:after="160" w:line="360" w:lineRule="auto"/>
        <w:contextualSpacing/>
        <w:jc w:val="both"/>
        <w:rPr>
          <w:rFonts w:ascii="Times New Roman" w:hAnsi="Times New Roman" w:cs="Times New Roman"/>
          <w:sz w:val="24"/>
          <w:szCs w:val="24"/>
        </w:rPr>
      </w:pPr>
    </w:p>
    <w:p w14:paraId="103E8D0C" w14:textId="45C3AF16" w:rsidR="00424F95" w:rsidRPr="00B260A8" w:rsidRDefault="00B260A8" w:rsidP="00B260A8">
      <w:pPr>
        <w:pStyle w:val="Ttulo4"/>
        <w:spacing w:line="360" w:lineRule="auto"/>
        <w:ind w:left="0" w:firstLine="1440"/>
        <w:jc w:val="both"/>
      </w:pPr>
      <w:bookmarkStart w:id="210" w:name="_Toc166705811"/>
      <w:bookmarkStart w:id="211" w:name="_Toc175171413"/>
      <w:r w:rsidRPr="00B260A8">
        <w:lastRenderedPageBreak/>
        <w:t>3.4.1.1 ANÁLISIS DE BASE DE DATOS</w:t>
      </w:r>
      <w:bookmarkEnd w:id="210"/>
      <w:bookmarkEnd w:id="211"/>
    </w:p>
    <w:p w14:paraId="206EC12C" w14:textId="5F269108" w:rsidR="00424F95" w:rsidRPr="00424F95" w:rsidRDefault="00424F95" w:rsidP="00424F95">
      <w:pPr>
        <w:spacing w:line="360" w:lineRule="auto"/>
        <w:ind w:firstLine="708"/>
        <w:jc w:val="both"/>
        <w:rPr>
          <w:rFonts w:ascii="Times New Roman" w:hAnsi="Times New Roman" w:cs="Times New Roman"/>
          <w:sz w:val="24"/>
          <w:szCs w:val="24"/>
        </w:rPr>
      </w:pPr>
      <w:r w:rsidRPr="00424F95">
        <w:rPr>
          <w:rFonts w:ascii="Times New Roman" w:hAnsi="Times New Roman" w:cs="Times New Roman"/>
          <w:sz w:val="24"/>
          <w:szCs w:val="24"/>
        </w:rPr>
        <w:t xml:space="preserve">“Una base de datos es una colección de datos relacionados. Con la palabra data nos referimos a los hechos (datos) conocidos que se pueden grabar y que tienen un significado implícito” </w:t>
      </w:r>
      <w:r w:rsidRPr="00424F95">
        <w:rPr>
          <w:rFonts w:ascii="Times New Roman" w:hAnsi="Times New Roman" w:cs="Times New Roman"/>
          <w:sz w:val="24"/>
          <w:szCs w:val="24"/>
        </w:rPr>
        <w:fldChar w:fldCharType="begin"/>
      </w:r>
      <w:r w:rsidR="00C52841">
        <w:rPr>
          <w:rFonts w:ascii="Times New Roman" w:hAnsi="Times New Roman" w:cs="Times New Roman"/>
          <w:sz w:val="24"/>
          <w:szCs w:val="24"/>
        </w:rPr>
        <w:instrText xml:space="preserve"> ADDIN ZOTERO_ITEM CSL_CITATION {"citationID":"XG5WiBaY","properties":{"formattedCitation":"(Elmasri &amp; Navathe, 2007)","plainCitation":"(Elmasri &amp; Navathe, 2007)","noteIndex":0},"citationItems":[{"id":"mhK3fgOx/g6T9H4ZD","uris":["http://zotero.org/users/local/rewjbDUP/items/ADIDLY3B"],"itemData":{"id":22,"type":"book","edition":"5","event-place":"Madrid","ISBN":"978-84-7829-085-7","language":"Español","license":"Pearson Educación S.A.","publisher-place":"Madrid","title":"Fundamentos de Sistemas de Bases de Datos","author":[{"family":"Elmasri","given":"Ramez"},{"family":"Navathe","given":"Shamkant"}],"issued":{"date-parts":[["2007"]]}}}],"schema":"https://github.com/citation-style-language/schema/raw/master/csl-citation.json"} </w:instrText>
      </w:r>
      <w:r w:rsidRPr="00424F95">
        <w:rPr>
          <w:rFonts w:ascii="Times New Roman" w:hAnsi="Times New Roman" w:cs="Times New Roman"/>
          <w:sz w:val="24"/>
          <w:szCs w:val="24"/>
        </w:rPr>
        <w:fldChar w:fldCharType="separate"/>
      </w:r>
      <w:r w:rsidRPr="00424F95">
        <w:rPr>
          <w:rFonts w:ascii="Times New Roman" w:hAnsi="Times New Roman" w:cs="Times New Roman"/>
          <w:sz w:val="24"/>
          <w:szCs w:val="24"/>
        </w:rPr>
        <w:t>(</w:t>
      </w:r>
      <w:proofErr w:type="spellStart"/>
      <w:r w:rsidRPr="00424F95">
        <w:rPr>
          <w:rFonts w:ascii="Times New Roman" w:hAnsi="Times New Roman" w:cs="Times New Roman"/>
          <w:sz w:val="24"/>
          <w:szCs w:val="24"/>
        </w:rPr>
        <w:t>Elmasri</w:t>
      </w:r>
      <w:proofErr w:type="spellEnd"/>
      <w:r w:rsidRPr="00424F95">
        <w:rPr>
          <w:rFonts w:ascii="Times New Roman" w:hAnsi="Times New Roman" w:cs="Times New Roman"/>
          <w:sz w:val="24"/>
          <w:szCs w:val="24"/>
        </w:rPr>
        <w:t xml:space="preserve"> &amp; </w:t>
      </w:r>
      <w:proofErr w:type="spellStart"/>
      <w:r w:rsidRPr="00424F95">
        <w:rPr>
          <w:rFonts w:ascii="Times New Roman" w:hAnsi="Times New Roman" w:cs="Times New Roman"/>
          <w:sz w:val="24"/>
          <w:szCs w:val="24"/>
        </w:rPr>
        <w:t>Navathe</w:t>
      </w:r>
      <w:proofErr w:type="spellEnd"/>
      <w:r w:rsidRPr="00424F95">
        <w:rPr>
          <w:rFonts w:ascii="Times New Roman" w:hAnsi="Times New Roman" w:cs="Times New Roman"/>
          <w:sz w:val="24"/>
          <w:szCs w:val="24"/>
        </w:rPr>
        <w:t>, 2007)</w:t>
      </w:r>
      <w:r w:rsidRPr="00424F95">
        <w:rPr>
          <w:rFonts w:ascii="Times New Roman" w:hAnsi="Times New Roman" w:cs="Times New Roman"/>
          <w:sz w:val="24"/>
          <w:szCs w:val="24"/>
        </w:rPr>
        <w:fldChar w:fldCharType="end"/>
      </w:r>
      <w:r w:rsidRPr="00424F95">
        <w:rPr>
          <w:rFonts w:ascii="Times New Roman" w:hAnsi="Times New Roman" w:cs="Times New Roman"/>
          <w:sz w:val="24"/>
          <w:szCs w:val="24"/>
        </w:rPr>
        <w:t>.</w:t>
      </w:r>
    </w:p>
    <w:p w14:paraId="53F567DC" w14:textId="6C71EF7D" w:rsidR="00424F95" w:rsidRPr="00424F95" w:rsidRDefault="006745CB" w:rsidP="006745CB">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sidR="00424F95" w:rsidRPr="00424F95">
        <w:rPr>
          <w:rFonts w:ascii="Times New Roman" w:hAnsi="Times New Roman" w:cs="Times New Roman"/>
          <w:sz w:val="24"/>
          <w:szCs w:val="24"/>
        </w:rPr>
        <w:tab/>
        <w:t xml:space="preserve">Para esta investigación, se llevará a cabo un análisis exhaustivo de una extensa base de datos proporcionada por la microfinanciera </w:t>
      </w:r>
      <w:r w:rsidR="00E5074B">
        <w:rPr>
          <w:rFonts w:ascii="Times New Roman" w:hAnsi="Times New Roman" w:cs="Times New Roman"/>
          <w:sz w:val="24"/>
          <w:szCs w:val="24"/>
        </w:rPr>
        <w:t>“XYZ”</w:t>
      </w:r>
      <w:r w:rsidR="00424F95" w:rsidRPr="00424F95">
        <w:rPr>
          <w:rFonts w:ascii="Times New Roman" w:hAnsi="Times New Roman" w:cs="Times New Roman"/>
          <w:sz w:val="24"/>
          <w:szCs w:val="24"/>
        </w:rPr>
        <w:t>. Esta base de datos abarca estados financieros, reportes de clientes y saldos de cartera, incluyendo así toda la información correspondiente al periodo de estudio, que va desde el año 2019 hasta el 2023.</w:t>
      </w:r>
    </w:p>
    <w:p w14:paraId="31FB184D" w14:textId="77777777" w:rsidR="00424F95" w:rsidRPr="00424F95" w:rsidRDefault="00424F95" w:rsidP="00424F95">
      <w:pPr>
        <w:widowControl/>
        <w:spacing w:after="160" w:line="360" w:lineRule="auto"/>
        <w:contextualSpacing/>
        <w:jc w:val="both"/>
        <w:rPr>
          <w:rFonts w:ascii="Times New Roman" w:hAnsi="Times New Roman" w:cs="Times New Roman"/>
          <w:sz w:val="24"/>
          <w:szCs w:val="24"/>
        </w:rPr>
      </w:pPr>
    </w:p>
    <w:p w14:paraId="6D38D544" w14:textId="5962FE53" w:rsidR="00424F95" w:rsidRDefault="00B260A8" w:rsidP="00B260A8">
      <w:pPr>
        <w:pStyle w:val="Ttulo4"/>
        <w:spacing w:line="360" w:lineRule="auto"/>
        <w:ind w:left="0" w:firstLine="1440"/>
        <w:jc w:val="both"/>
        <w:rPr>
          <w:i/>
          <w:iCs/>
        </w:rPr>
      </w:pPr>
      <w:bookmarkStart w:id="212" w:name="_Toc166705812"/>
      <w:bookmarkStart w:id="213" w:name="_Toc175171414"/>
      <w:r w:rsidRPr="00B260A8">
        <w:t>3.4.1.2 ENTREVISTA</w:t>
      </w:r>
      <w:bookmarkEnd w:id="212"/>
      <w:bookmarkEnd w:id="213"/>
    </w:p>
    <w:p w14:paraId="337B400C" w14:textId="28A0069B" w:rsidR="00424F95" w:rsidRPr="00424F95" w:rsidRDefault="00424F95" w:rsidP="00424F95">
      <w:pPr>
        <w:spacing w:line="360" w:lineRule="auto"/>
        <w:ind w:firstLine="708"/>
        <w:jc w:val="both"/>
        <w:rPr>
          <w:rFonts w:ascii="Times New Roman" w:hAnsi="Times New Roman" w:cs="Times New Roman"/>
          <w:sz w:val="24"/>
          <w:szCs w:val="24"/>
        </w:rPr>
      </w:pPr>
      <w:r w:rsidRPr="00424F95">
        <w:rPr>
          <w:rFonts w:ascii="Times New Roman" w:hAnsi="Times New Roman" w:cs="Times New Roman"/>
          <w:b/>
          <w:bCs/>
          <w:sz w:val="24"/>
          <w:szCs w:val="24"/>
        </w:rPr>
        <w:t>“</w:t>
      </w:r>
      <w:r w:rsidRPr="00424F95">
        <w:rPr>
          <w:rFonts w:ascii="Times New Roman" w:hAnsi="Times New Roman" w:cs="Times New Roman"/>
          <w:sz w:val="24"/>
          <w:szCs w:val="24"/>
        </w:rPr>
        <w:t xml:space="preserve">Es una actividad presencial entre dos personas. La actividad consiste en que una persona (entrevistador) de manera oral extrae información de otra persona (entrevistado), así mismo se intercambian opiniones e información sobre una temática en particular” </w:t>
      </w:r>
      <w:r w:rsidRPr="00424F95">
        <w:rPr>
          <w:rFonts w:ascii="Times New Roman" w:hAnsi="Times New Roman" w:cs="Times New Roman"/>
          <w:sz w:val="24"/>
          <w:szCs w:val="24"/>
        </w:rPr>
        <w:fldChar w:fldCharType="begin"/>
      </w:r>
      <w:r w:rsidR="00C52841">
        <w:rPr>
          <w:rFonts w:ascii="Times New Roman" w:hAnsi="Times New Roman" w:cs="Times New Roman"/>
          <w:sz w:val="24"/>
          <w:szCs w:val="24"/>
        </w:rPr>
        <w:instrText xml:space="preserve"> ADDIN ZOTERO_ITEM CSL_CITATION {"citationID":"lnNAC8Ra","properties":{"formattedCitation":"(Useche et\\uc0\\u160{}al., 2019, p. 38)","plainCitation":"(Useche et al., 2019, p. 38)","noteIndex":0},"citationItems":[{"id":"mhK3fgOx/bV2E2jYq","uris":["http://zotero.org/users/local/rewjbDUP/items/YTSEDW6R"],"itemData":{"id":21,"type":"book","edition":"1","event-place":"Colombia","ISBN":"978-956-603-704-0","language":"Español","license":"Universidad de La Guajira","publisher":"Gente Nueva","publisher-place":"Colombia","title":"Técnicas e Instrumentos de recolección de datos cuali-cuantitativos","author":[{"family":"Useche","given":"María"},{"family":"Artigas","given":"Wileydis"},{"family":"Queipo","given":"Beatriz"},{"family":"Édison","given":"Perozo"}],"issued":{"date-parts":[["2019"]]}},"locator":"38","label":"page"}],"schema":"https://github.com/citation-style-language/schema/raw/master/csl-citation.json"} </w:instrText>
      </w:r>
      <w:r w:rsidRPr="00424F95">
        <w:rPr>
          <w:rFonts w:ascii="Times New Roman" w:hAnsi="Times New Roman" w:cs="Times New Roman"/>
          <w:sz w:val="24"/>
          <w:szCs w:val="24"/>
        </w:rPr>
        <w:fldChar w:fldCharType="separate"/>
      </w:r>
      <w:r w:rsidRPr="00424F95">
        <w:rPr>
          <w:rFonts w:ascii="Times New Roman" w:hAnsi="Times New Roman" w:cs="Times New Roman"/>
          <w:sz w:val="24"/>
          <w:szCs w:val="24"/>
        </w:rPr>
        <w:t>(Useche et al., 2019, p. 38)</w:t>
      </w:r>
      <w:r w:rsidRPr="00424F95">
        <w:rPr>
          <w:rFonts w:ascii="Times New Roman" w:hAnsi="Times New Roman" w:cs="Times New Roman"/>
          <w:sz w:val="24"/>
          <w:szCs w:val="24"/>
        </w:rPr>
        <w:fldChar w:fldCharType="end"/>
      </w:r>
      <w:r w:rsidRPr="00424F95">
        <w:rPr>
          <w:rFonts w:ascii="Times New Roman" w:hAnsi="Times New Roman" w:cs="Times New Roman"/>
          <w:sz w:val="24"/>
          <w:szCs w:val="24"/>
        </w:rPr>
        <w:t>.</w:t>
      </w:r>
    </w:p>
    <w:p w14:paraId="1A54C96E" w14:textId="77777777" w:rsidR="00424F95" w:rsidRPr="00424F95" w:rsidRDefault="00424F95" w:rsidP="006745CB">
      <w:pPr>
        <w:spacing w:line="360" w:lineRule="auto"/>
        <w:ind w:firstLine="720"/>
        <w:jc w:val="both"/>
        <w:rPr>
          <w:rFonts w:ascii="Times New Roman" w:hAnsi="Times New Roman" w:cs="Times New Roman"/>
          <w:sz w:val="24"/>
          <w:szCs w:val="24"/>
        </w:rPr>
      </w:pPr>
      <w:r w:rsidRPr="00424F95">
        <w:rPr>
          <w:rFonts w:ascii="Times New Roman" w:hAnsi="Times New Roman" w:cs="Times New Roman"/>
          <w:sz w:val="24"/>
          <w:szCs w:val="24"/>
        </w:rPr>
        <w:t>De acuerdo con el tipo de preguntas, las entrevistas se clasifican en:</w:t>
      </w:r>
    </w:p>
    <w:p w14:paraId="41C035DC" w14:textId="77777777" w:rsidR="00424F95" w:rsidRPr="00424F95" w:rsidRDefault="00424F95" w:rsidP="006745CB">
      <w:pPr>
        <w:pStyle w:val="Prrafodelista"/>
        <w:widowControl/>
        <w:numPr>
          <w:ilvl w:val="0"/>
          <w:numId w:val="25"/>
        </w:numPr>
        <w:spacing w:after="160" w:line="360" w:lineRule="auto"/>
        <w:ind w:hanging="153"/>
        <w:contextualSpacing/>
        <w:jc w:val="both"/>
        <w:rPr>
          <w:rFonts w:ascii="Times New Roman" w:hAnsi="Times New Roman" w:cs="Times New Roman"/>
          <w:sz w:val="24"/>
          <w:szCs w:val="24"/>
        </w:rPr>
      </w:pPr>
      <w:r w:rsidRPr="00424F95">
        <w:rPr>
          <w:rFonts w:ascii="Times New Roman" w:hAnsi="Times New Roman" w:cs="Times New Roman"/>
          <w:sz w:val="24"/>
          <w:szCs w:val="24"/>
        </w:rPr>
        <w:t>Estructurada: con preguntas cerradas</w:t>
      </w:r>
    </w:p>
    <w:p w14:paraId="05DF1BE8" w14:textId="77777777" w:rsidR="00424F95" w:rsidRPr="00424F95" w:rsidRDefault="00424F95" w:rsidP="006745CB">
      <w:pPr>
        <w:pStyle w:val="Prrafodelista"/>
        <w:widowControl/>
        <w:numPr>
          <w:ilvl w:val="0"/>
          <w:numId w:val="25"/>
        </w:numPr>
        <w:spacing w:after="160" w:line="360" w:lineRule="auto"/>
        <w:ind w:hanging="153"/>
        <w:contextualSpacing/>
        <w:jc w:val="both"/>
        <w:rPr>
          <w:rFonts w:ascii="Times New Roman" w:hAnsi="Times New Roman" w:cs="Times New Roman"/>
          <w:sz w:val="24"/>
          <w:szCs w:val="24"/>
        </w:rPr>
      </w:pPr>
      <w:r w:rsidRPr="00424F95">
        <w:rPr>
          <w:rFonts w:ascii="Times New Roman" w:hAnsi="Times New Roman" w:cs="Times New Roman"/>
          <w:sz w:val="24"/>
          <w:szCs w:val="24"/>
        </w:rPr>
        <w:t>Semiestructurada: con preguntas abiertas y cerradas</w:t>
      </w:r>
    </w:p>
    <w:p w14:paraId="5B3E44BC" w14:textId="77777777" w:rsidR="00424F95" w:rsidRPr="00424F95" w:rsidRDefault="00424F95" w:rsidP="006745CB">
      <w:pPr>
        <w:pStyle w:val="Prrafodelista"/>
        <w:widowControl/>
        <w:numPr>
          <w:ilvl w:val="0"/>
          <w:numId w:val="25"/>
        </w:numPr>
        <w:spacing w:after="160" w:line="360" w:lineRule="auto"/>
        <w:ind w:hanging="153"/>
        <w:contextualSpacing/>
        <w:jc w:val="both"/>
        <w:rPr>
          <w:rFonts w:ascii="Times New Roman" w:hAnsi="Times New Roman" w:cs="Times New Roman"/>
          <w:sz w:val="24"/>
          <w:szCs w:val="24"/>
        </w:rPr>
      </w:pPr>
      <w:r w:rsidRPr="00424F95">
        <w:rPr>
          <w:rFonts w:ascii="Times New Roman" w:hAnsi="Times New Roman" w:cs="Times New Roman"/>
          <w:sz w:val="24"/>
          <w:szCs w:val="24"/>
        </w:rPr>
        <w:t>No estructurada: con preguntas abiertas</w:t>
      </w:r>
      <w:r w:rsidRPr="00424F95">
        <w:rPr>
          <w:rFonts w:ascii="Times New Roman" w:hAnsi="Times New Roman" w:cs="Times New Roman"/>
          <w:sz w:val="24"/>
          <w:szCs w:val="24"/>
        </w:rPr>
        <w:tab/>
      </w:r>
    </w:p>
    <w:p w14:paraId="7EDFB5A3" w14:textId="7734A37F" w:rsidR="00424F95" w:rsidRPr="00424F95" w:rsidRDefault="00424F95" w:rsidP="006745CB">
      <w:pPr>
        <w:spacing w:line="360" w:lineRule="auto"/>
        <w:ind w:firstLine="720"/>
        <w:jc w:val="both"/>
        <w:rPr>
          <w:rFonts w:ascii="Times New Roman" w:hAnsi="Times New Roman" w:cs="Times New Roman"/>
          <w:sz w:val="24"/>
          <w:szCs w:val="24"/>
        </w:rPr>
      </w:pPr>
      <w:r w:rsidRPr="00424F95">
        <w:rPr>
          <w:rFonts w:ascii="Times New Roman" w:hAnsi="Times New Roman" w:cs="Times New Roman"/>
          <w:sz w:val="24"/>
          <w:szCs w:val="24"/>
        </w:rPr>
        <w:tab/>
        <w:t xml:space="preserve">Como parte de las técnicas seleccionadas para esta investigación, se ha decidido recopilar información de los </w:t>
      </w:r>
      <w:r w:rsidR="005D17BB">
        <w:rPr>
          <w:rFonts w:ascii="Times New Roman" w:hAnsi="Times New Roman" w:cs="Times New Roman"/>
          <w:sz w:val="24"/>
          <w:szCs w:val="24"/>
        </w:rPr>
        <w:t xml:space="preserve">seis </w:t>
      </w:r>
      <w:r w:rsidRPr="00424F95">
        <w:rPr>
          <w:rFonts w:ascii="Times New Roman" w:hAnsi="Times New Roman" w:cs="Times New Roman"/>
          <w:sz w:val="24"/>
          <w:szCs w:val="24"/>
        </w:rPr>
        <w:t>(</w:t>
      </w:r>
      <w:r w:rsidR="005D17BB">
        <w:rPr>
          <w:rFonts w:ascii="Times New Roman" w:hAnsi="Times New Roman" w:cs="Times New Roman"/>
          <w:sz w:val="24"/>
          <w:szCs w:val="24"/>
        </w:rPr>
        <w:t>6</w:t>
      </w:r>
      <w:r w:rsidRPr="00424F95">
        <w:rPr>
          <w:rFonts w:ascii="Times New Roman" w:hAnsi="Times New Roman" w:cs="Times New Roman"/>
          <w:sz w:val="24"/>
          <w:szCs w:val="24"/>
        </w:rPr>
        <w:t xml:space="preserve">) gerentes de la microfinanciera </w:t>
      </w:r>
      <w:r w:rsidR="00E5074B">
        <w:rPr>
          <w:rFonts w:ascii="Times New Roman" w:hAnsi="Times New Roman" w:cs="Times New Roman"/>
          <w:sz w:val="24"/>
          <w:szCs w:val="24"/>
        </w:rPr>
        <w:t>“XYZ”</w:t>
      </w:r>
      <w:r w:rsidRPr="00424F95">
        <w:rPr>
          <w:rFonts w:ascii="Times New Roman" w:hAnsi="Times New Roman" w:cs="Times New Roman"/>
          <w:sz w:val="24"/>
          <w:szCs w:val="24"/>
        </w:rPr>
        <w:t>, a través de entrevistas semiestructuradas con el objetivo de obtener una comprensión más profunda de los temas pertinentes, asimismo, de los aspectos actuales y de los procesos financieros de la empresa.</w:t>
      </w:r>
    </w:p>
    <w:p w14:paraId="51EF4181" w14:textId="05709D4C" w:rsidR="00424F95" w:rsidRPr="00424F95" w:rsidRDefault="00424F95" w:rsidP="00424F95">
      <w:pPr>
        <w:widowControl/>
        <w:spacing w:after="160" w:line="259" w:lineRule="auto"/>
        <w:rPr>
          <w:rFonts w:ascii="Times New Roman" w:hAnsi="Times New Roman" w:cs="Times New Roman"/>
          <w:sz w:val="24"/>
          <w:szCs w:val="24"/>
        </w:rPr>
      </w:pPr>
    </w:p>
    <w:p w14:paraId="298ABAD0" w14:textId="66A97646" w:rsidR="00C8705C" w:rsidRPr="002A218D" w:rsidRDefault="00C8705C" w:rsidP="002A218D">
      <w:pPr>
        <w:pStyle w:val="Ttulo3"/>
        <w:spacing w:line="360" w:lineRule="auto"/>
        <w:ind w:left="0" w:firstLine="720"/>
      </w:pPr>
      <w:bookmarkStart w:id="214" w:name="_Toc166705813"/>
      <w:bookmarkStart w:id="215" w:name="_Toc175171415"/>
      <w:r w:rsidRPr="002A218D">
        <w:t>3.4.2. INSTRUMENTOS</w:t>
      </w:r>
      <w:bookmarkEnd w:id="214"/>
      <w:bookmarkEnd w:id="215"/>
    </w:p>
    <w:p w14:paraId="04F803D8" w14:textId="6AD1A656" w:rsidR="002561CE" w:rsidRDefault="002561CE" w:rsidP="002561CE">
      <w:pPr>
        <w:spacing w:line="360" w:lineRule="auto"/>
        <w:ind w:firstLine="708"/>
        <w:jc w:val="both"/>
        <w:rPr>
          <w:rFonts w:ascii="Times New Roman" w:hAnsi="Times New Roman" w:cs="Times New Roman"/>
          <w:sz w:val="24"/>
          <w:szCs w:val="24"/>
        </w:rPr>
      </w:pPr>
      <w:r w:rsidRPr="002561CE">
        <w:rPr>
          <w:rFonts w:ascii="Times New Roman" w:hAnsi="Times New Roman" w:cs="Times New Roman"/>
          <w:sz w:val="24"/>
          <w:szCs w:val="24"/>
        </w:rPr>
        <w:t xml:space="preserve">Según </w:t>
      </w:r>
      <w:r w:rsidRPr="002561CE">
        <w:rPr>
          <w:rFonts w:ascii="Times New Roman" w:hAnsi="Times New Roman" w:cs="Times New Roman"/>
          <w:sz w:val="24"/>
          <w:szCs w:val="24"/>
        </w:rPr>
        <w:fldChar w:fldCharType="begin"/>
      </w:r>
      <w:r w:rsidR="00C52841">
        <w:rPr>
          <w:rFonts w:ascii="Times New Roman" w:hAnsi="Times New Roman" w:cs="Times New Roman"/>
          <w:sz w:val="24"/>
          <w:szCs w:val="24"/>
        </w:rPr>
        <w:instrText xml:space="preserve"> ADDIN ZOTERO_ITEM CSL_CITATION {"citationID":"9NPZrJKm","properties":{"formattedCitation":"(Hern\\uc0\\u225{}ndez &amp; Mendoza, 2023)","plainCitation":"(Hernández &amp; Mendoza, 2023)","dontUpdate":true,"noteIndex":0},"citationItems":[{"id":"mhK3fgOx/MdrS2A3M","uris":["http://zotero.org/users/local/rewjbDUP/items/ETNG3M7M"],"itemData":{"id":23,"type":"book","edition":"2","event-place":"Ciudad de México","ISBN":"978-607-15-2031-9","language":"Español","license":"McGraw-Hill Interamericana Editores, S.A. de C.V","publisher":"McGraw-Hill Interamericana","publisher-place":"Ciudad de México","title":"Metodología de la Investigación","author":[{"family":"Hernández","given":"Roberto"},{"family":"Mendoza","given":"Christian"}],"issued":{"date-parts":[["2023"]],"season":"2018"}}}],"schema":"https://github.com/citation-style-language/schema/raw/master/csl-citation.json"} </w:instrText>
      </w:r>
      <w:r w:rsidRPr="002561CE">
        <w:rPr>
          <w:rFonts w:ascii="Times New Roman" w:hAnsi="Times New Roman" w:cs="Times New Roman"/>
          <w:sz w:val="24"/>
          <w:szCs w:val="24"/>
        </w:rPr>
        <w:fldChar w:fldCharType="separate"/>
      </w:r>
      <w:r w:rsidRPr="002561CE">
        <w:rPr>
          <w:rFonts w:ascii="Times New Roman" w:hAnsi="Times New Roman" w:cs="Times New Roman"/>
          <w:sz w:val="24"/>
          <w:szCs w:val="24"/>
        </w:rPr>
        <w:t>Hernández &amp; Mendoza (2023)</w:t>
      </w:r>
      <w:r w:rsidRPr="002561CE">
        <w:rPr>
          <w:rFonts w:ascii="Times New Roman" w:hAnsi="Times New Roman" w:cs="Times New Roman"/>
          <w:sz w:val="24"/>
          <w:szCs w:val="24"/>
        </w:rPr>
        <w:fldChar w:fldCharType="end"/>
      </w:r>
      <w:r w:rsidRPr="002561CE">
        <w:rPr>
          <w:rFonts w:ascii="Times New Roman" w:hAnsi="Times New Roman" w:cs="Times New Roman"/>
          <w:sz w:val="24"/>
          <w:szCs w:val="24"/>
        </w:rPr>
        <w:t>, “</w:t>
      </w:r>
      <w:r>
        <w:rPr>
          <w:rFonts w:ascii="Times New Roman" w:hAnsi="Times New Roman" w:cs="Times New Roman"/>
          <w:sz w:val="24"/>
          <w:szCs w:val="24"/>
        </w:rPr>
        <w:t>U</w:t>
      </w:r>
      <w:r w:rsidRPr="002561CE">
        <w:rPr>
          <w:rFonts w:ascii="Times New Roman" w:hAnsi="Times New Roman" w:cs="Times New Roman"/>
          <w:sz w:val="24"/>
          <w:szCs w:val="24"/>
        </w:rPr>
        <w:t>n instrumento de medición es el recurso que utiliza el investigador para registrar información o datos sobre las variables que tiene en mente”.</w:t>
      </w:r>
    </w:p>
    <w:p w14:paraId="7052AA07" w14:textId="77777777" w:rsidR="00F4260C" w:rsidRPr="002561CE" w:rsidRDefault="00F4260C" w:rsidP="002561CE">
      <w:pPr>
        <w:spacing w:line="360" w:lineRule="auto"/>
        <w:ind w:firstLine="708"/>
        <w:jc w:val="both"/>
        <w:rPr>
          <w:rFonts w:ascii="Times New Roman" w:hAnsi="Times New Roman" w:cs="Times New Roman"/>
          <w:sz w:val="24"/>
          <w:szCs w:val="24"/>
        </w:rPr>
      </w:pPr>
    </w:p>
    <w:p w14:paraId="376ECF01" w14:textId="58C0AD59" w:rsidR="00ED78DA" w:rsidRPr="00F4260C" w:rsidRDefault="00F4260C" w:rsidP="000D7C63">
      <w:pPr>
        <w:pStyle w:val="Ttulo4"/>
        <w:spacing w:line="360" w:lineRule="auto"/>
        <w:ind w:left="0" w:firstLine="1440"/>
      </w:pPr>
      <w:bookmarkStart w:id="216" w:name="_Toc166705814"/>
      <w:bookmarkStart w:id="217" w:name="_Toc175171416"/>
      <w:r w:rsidRPr="00F4260C">
        <w:t>3.4.2.1 ANÁLISIS COMPARATIVO DE BASES DE DATOS EN EXCEL</w:t>
      </w:r>
      <w:bookmarkEnd w:id="216"/>
      <w:bookmarkEnd w:id="217"/>
    </w:p>
    <w:p w14:paraId="06520AC1" w14:textId="464D58BC" w:rsidR="000D7C63" w:rsidRDefault="000D7C63" w:rsidP="000D7C63">
      <w:pPr>
        <w:pStyle w:val="TextoPrincipal"/>
        <w:spacing w:line="360" w:lineRule="auto"/>
      </w:pPr>
      <w:r>
        <w:t xml:space="preserve">Para llevar a cabo esta investigación, se ha solicitado autorización a las autoridades de la </w:t>
      </w:r>
      <w:r>
        <w:lastRenderedPageBreak/>
        <w:t xml:space="preserve">microfinanciera </w:t>
      </w:r>
      <w:r w:rsidR="00E5074B">
        <w:t>“XYZ”</w:t>
      </w:r>
      <w:r>
        <w:t xml:space="preserve"> para acceder a sus bases de datos históricas, abarcando el periodo entre 2019 y 2023. El propósito de este acceso es recopilar la información necesaria sobre la situación financiera de la empresa durante este tiempo, utilizando Microsoft Excel para realizar los cálculos y tablas requeridas para el análisis.</w:t>
      </w:r>
    </w:p>
    <w:p w14:paraId="147349D6" w14:textId="77777777" w:rsidR="000D7C63" w:rsidRDefault="000D7C63" w:rsidP="000D7C63">
      <w:pPr>
        <w:pStyle w:val="TextoPrincipal"/>
        <w:spacing w:line="360" w:lineRule="auto"/>
      </w:pPr>
      <w:r>
        <w:tab/>
        <w:t>Una vez obtenida la información de las bases de datos, se procederá a identificar cada una de las variables pertinentes para la investigación. Se aplicarán fórmulas financieras adecuadas para realizar los cálculos comparativos a lo largo del periodo de estudio. Además, se emplearán tablas y gráficos para visualizar y analizar los resultados obtenidos, lo que facilitará la identificación de diferencias significativas.</w:t>
      </w:r>
    </w:p>
    <w:p w14:paraId="64106C8B" w14:textId="050AF0D4" w:rsidR="003556FB" w:rsidRDefault="000D7C63" w:rsidP="000D7C63">
      <w:pPr>
        <w:pStyle w:val="TextoPrincipal"/>
        <w:spacing w:line="360" w:lineRule="auto"/>
      </w:pPr>
      <w:r>
        <w:tab/>
        <w:t xml:space="preserve">Una vez completado el análisis de las bases de datos, se redactará un informe detallado que comunique de manera clara y efectiva los hallazgos del análisis comparativo. Este informe será fundamental para presentar y explicar los resultados obtenidos, así como para extraer conclusiones pertinentes sobre la situación financiera de la microfinanciera </w:t>
      </w:r>
      <w:r w:rsidR="00E5074B">
        <w:t>“XYZ”</w:t>
      </w:r>
      <w:r>
        <w:t xml:space="preserve"> durante el periodo estudiado.</w:t>
      </w:r>
    </w:p>
    <w:p w14:paraId="2CF6629D" w14:textId="77777777" w:rsidR="00312614" w:rsidRDefault="00312614">
      <w:pPr>
        <w:widowControl/>
        <w:spacing w:after="160" w:line="259" w:lineRule="auto"/>
        <w:rPr>
          <w:rFonts w:ascii="Times New Roman" w:hAnsi="Times New Roman" w:cs="Times New Roman"/>
          <w:sz w:val="24"/>
          <w:szCs w:val="24"/>
        </w:rPr>
      </w:pPr>
    </w:p>
    <w:p w14:paraId="3E4A8259" w14:textId="03C70491" w:rsidR="000D7C63" w:rsidRDefault="00F4260C" w:rsidP="000D7C63">
      <w:pPr>
        <w:pStyle w:val="Ttulo4"/>
        <w:ind w:left="0" w:firstLine="1440"/>
      </w:pPr>
      <w:bookmarkStart w:id="218" w:name="_Toc166705815"/>
      <w:bookmarkStart w:id="219" w:name="_Toc175171417"/>
      <w:r w:rsidRPr="00F4260C">
        <w:t>3.4.2.2. GUIÓN DE ENTREVISTA</w:t>
      </w:r>
      <w:bookmarkEnd w:id="218"/>
      <w:bookmarkEnd w:id="219"/>
    </w:p>
    <w:p w14:paraId="58FA8D1C" w14:textId="77777777" w:rsidR="00D57B12" w:rsidRDefault="000D7C63" w:rsidP="00D57B12">
      <w:r>
        <w:tab/>
      </w:r>
    </w:p>
    <w:p w14:paraId="1F04617C" w14:textId="09423222" w:rsidR="00D57B12" w:rsidRPr="00D57B12" w:rsidRDefault="00D57B12" w:rsidP="00D57B12">
      <w:pPr>
        <w:ind w:left="720" w:hanging="720"/>
        <w:jc w:val="both"/>
        <w:rPr>
          <w:rFonts w:ascii="Times New Roman" w:hAnsi="Times New Roman"/>
          <w:sz w:val="24"/>
          <w:szCs w:val="36"/>
        </w:rPr>
      </w:pPr>
      <w:r>
        <w:rPr>
          <w:rFonts w:ascii="Times New Roman" w:hAnsi="Times New Roman"/>
          <w:szCs w:val="32"/>
        </w:rPr>
        <w:tab/>
      </w:r>
      <w:r w:rsidRPr="00D57B12">
        <w:rPr>
          <w:rFonts w:ascii="Times New Roman" w:hAnsi="Times New Roman"/>
          <w:szCs w:val="28"/>
        </w:rPr>
        <w:t xml:space="preserve">En las entrevistas semiestructuradas, cada categoría se convierte en un tópico de conversación con la persona entrevistada, de manera que sirva de guía de conversación y entrevista para el entrevistador, no en preguntas cerradas, porque en ese caso los entrevistados suelen dar respuestas breves y escuetas, que es lo que no queremos que suceda; por el contrario, nos interesa que respondan tanto como puedan sobre nuestro “tópico” (la categoría) de entrevista, por lo que sin salirnos de él, podemos reformular las preguntas e insistir haciendo nuevas preguntas que buscan precisar más sobre lo que el entrevistado realmente piensa del tema. </w:t>
      </w:r>
      <w:r w:rsidRPr="00D57B12">
        <w:rPr>
          <w:rFonts w:ascii="Times New Roman" w:hAnsi="Times New Roman"/>
          <w:szCs w:val="28"/>
        </w:rPr>
        <w:fldChar w:fldCharType="begin"/>
      </w:r>
      <w:r w:rsidR="00C52841">
        <w:rPr>
          <w:rFonts w:ascii="Times New Roman" w:hAnsi="Times New Roman"/>
          <w:szCs w:val="28"/>
        </w:rPr>
        <w:instrText xml:space="preserve"> ADDIN ZOTERO_ITEM CSL_CITATION {"citationID":"6BRIvWyp","properties":{"formattedCitation":"(Cruz del Castillo et\\uc0\\u160{}al., 2014)","plainCitation":"(Cruz del Castillo et al., 2014)","noteIndex":0},"citationItems":[{"id":"mhK3fgOx/7E3ozVz5","uris":["http://zotero.org/users/local/rewjbDUP/items/NVU497NJ"],"itemData":{"id":26,"type":"book","call-number":"Science , Research, Methodology","edition":"1","event-place":"México D.F.","ISBN":"978-607-438-876-3","language":"Español","license":"Cinthia Cruz del Castillo, Socorro Olivares Orozco, Martín González García Cruz del Castillo, C. y Olivares Orozco, S.","publisher":"Grupo Editorial Patria","publisher-place":"México D.F.","title":"Metodología de la investigación","author":[{"family":"Cruz del Castillo","given":"Cinthia"},{"family":"Olivares","given":"Socorro"},{"family":"Gonzáles","given":"Martín"}],"issued":{"date-parts":[["2014"]]}}}],"schema":"https://github.com/citation-style-language/schema/raw/master/csl-citation.json"} </w:instrText>
      </w:r>
      <w:r w:rsidRPr="00D57B12">
        <w:rPr>
          <w:rFonts w:ascii="Times New Roman" w:hAnsi="Times New Roman"/>
          <w:szCs w:val="28"/>
        </w:rPr>
        <w:fldChar w:fldCharType="separate"/>
      </w:r>
      <w:r w:rsidRPr="00D57B12">
        <w:rPr>
          <w:rFonts w:ascii="Times New Roman" w:hAnsi="Times New Roman" w:cs="Times New Roman"/>
        </w:rPr>
        <w:t>(Cruz del Castillo et al., 2014)</w:t>
      </w:r>
      <w:r w:rsidRPr="00D57B12">
        <w:rPr>
          <w:rFonts w:ascii="Times New Roman" w:hAnsi="Times New Roman"/>
          <w:szCs w:val="28"/>
        </w:rPr>
        <w:fldChar w:fldCharType="end"/>
      </w:r>
    </w:p>
    <w:p w14:paraId="6CB06311" w14:textId="77777777" w:rsidR="006E3A72" w:rsidRDefault="006E3A72" w:rsidP="00D57B12">
      <w:pPr>
        <w:spacing w:line="360" w:lineRule="auto"/>
        <w:ind w:firstLine="720"/>
        <w:jc w:val="both"/>
        <w:rPr>
          <w:rFonts w:ascii="Times New Roman" w:hAnsi="Times New Roman"/>
          <w:sz w:val="24"/>
          <w:szCs w:val="36"/>
        </w:rPr>
      </w:pPr>
    </w:p>
    <w:p w14:paraId="061CA49F" w14:textId="2EFD0301" w:rsidR="00D57B12" w:rsidRDefault="00D57B12" w:rsidP="00294C9A">
      <w:pPr>
        <w:spacing w:line="360" w:lineRule="auto"/>
        <w:ind w:firstLine="720"/>
        <w:jc w:val="both"/>
        <w:rPr>
          <w:rFonts w:ascii="Times New Roman" w:hAnsi="Times New Roman"/>
          <w:sz w:val="24"/>
          <w:szCs w:val="36"/>
        </w:rPr>
      </w:pPr>
      <w:r w:rsidRPr="00D57B12">
        <w:rPr>
          <w:rFonts w:ascii="Times New Roman" w:hAnsi="Times New Roman"/>
          <w:sz w:val="24"/>
          <w:szCs w:val="36"/>
        </w:rPr>
        <w:tab/>
        <w:t xml:space="preserve">La entrevista diseñada para esta investigación ha sido cuidadosamente estructurada con el objetivo de obtener un conocimiento más profundo sobre la gestión de créditos realizada por la microfinanciera </w:t>
      </w:r>
      <w:r w:rsidR="00E5074B">
        <w:rPr>
          <w:rFonts w:ascii="Times New Roman" w:hAnsi="Times New Roman"/>
          <w:sz w:val="24"/>
          <w:szCs w:val="36"/>
        </w:rPr>
        <w:t>“XYZ”</w:t>
      </w:r>
      <w:r w:rsidRPr="00D57B12">
        <w:rPr>
          <w:rFonts w:ascii="Times New Roman" w:hAnsi="Times New Roman"/>
          <w:sz w:val="24"/>
          <w:szCs w:val="36"/>
        </w:rPr>
        <w:t>, con el fin de obtener datos cualitativos significativos. Este proceso de entrevista está dirigido exclusivamente a todas las gerencias de la IMF mencionada.</w:t>
      </w:r>
    </w:p>
    <w:p w14:paraId="13E421AF" w14:textId="458F43EB" w:rsidR="00D57B12" w:rsidRPr="00D57B12" w:rsidRDefault="00D57B12" w:rsidP="00294C9A">
      <w:pPr>
        <w:spacing w:line="360" w:lineRule="auto"/>
        <w:ind w:firstLine="720"/>
        <w:jc w:val="both"/>
        <w:rPr>
          <w:sz w:val="24"/>
          <w:szCs w:val="24"/>
        </w:rPr>
      </w:pPr>
      <w:r>
        <w:rPr>
          <w:rFonts w:ascii="Times New Roman" w:hAnsi="Times New Roman"/>
          <w:sz w:val="24"/>
          <w:szCs w:val="36"/>
        </w:rPr>
        <w:tab/>
      </w:r>
      <w:r>
        <w:rPr>
          <w:rFonts w:ascii="Times New Roman" w:hAnsi="Times New Roman"/>
          <w:sz w:val="24"/>
          <w:szCs w:val="36"/>
        </w:rPr>
        <w:tab/>
      </w:r>
      <w:r w:rsidRPr="00D57B12">
        <w:rPr>
          <w:rFonts w:ascii="Times New Roman" w:hAnsi="Times New Roman"/>
          <w:sz w:val="24"/>
          <w:szCs w:val="36"/>
        </w:rPr>
        <w:tab/>
        <w:t>La entrevista consta de un total de diez (10) preguntas abiertas que se formularán de manera personal a los gerentes de la institución. Estas preguntas están diseñadas para explorar en detalle diversos aspectos relacionados con la gestión de créditos, permitiendo así una comprensión más completa de las prácticas, desafíos y estrategias empleadas por la microfinanciera en este ámbito.</w:t>
      </w:r>
    </w:p>
    <w:p w14:paraId="7D852915" w14:textId="77777777" w:rsidR="00294C9A" w:rsidRDefault="00294C9A" w:rsidP="00DB4C09">
      <w:pPr>
        <w:pStyle w:val="Ttulo4"/>
        <w:ind w:left="0" w:firstLine="1440"/>
      </w:pPr>
      <w:bookmarkStart w:id="220" w:name="_Toc166705816"/>
    </w:p>
    <w:p w14:paraId="38C4C093" w14:textId="66A9072D" w:rsidR="00DB4C09" w:rsidRDefault="00DB4C09" w:rsidP="00DB4C09">
      <w:pPr>
        <w:pStyle w:val="Ttulo4"/>
        <w:ind w:left="0" w:firstLine="1440"/>
      </w:pPr>
      <w:bookmarkStart w:id="221" w:name="_Toc175171418"/>
      <w:r>
        <w:lastRenderedPageBreak/>
        <w:t>3.4.2.3. VALIDACIÓN DEL INSTRUMENTO</w:t>
      </w:r>
      <w:bookmarkEnd w:id="220"/>
      <w:bookmarkEnd w:id="221"/>
    </w:p>
    <w:p w14:paraId="6F860494" w14:textId="29DF568A" w:rsidR="00DB4C09" w:rsidRPr="00DB4C09" w:rsidRDefault="00DB4C09" w:rsidP="00DB4C09">
      <w:pPr>
        <w:spacing w:line="360" w:lineRule="auto"/>
        <w:ind w:firstLine="720"/>
        <w:jc w:val="both"/>
        <w:rPr>
          <w:rFonts w:ascii="Times New Roman" w:hAnsi="Times New Roman" w:cs="Times New Roman"/>
          <w:sz w:val="24"/>
          <w:szCs w:val="24"/>
        </w:rPr>
      </w:pPr>
      <w:r w:rsidRPr="00DB4C09">
        <w:rPr>
          <w:rFonts w:ascii="Times New Roman" w:hAnsi="Times New Roman" w:cs="Times New Roman"/>
          <w:sz w:val="24"/>
          <w:szCs w:val="24"/>
        </w:rPr>
        <w:t xml:space="preserve">“La validez, en términos generales, se refiere al grado en que un instrumento realmente mide la variable que pretende medir” </w:t>
      </w:r>
      <w:r w:rsidRPr="00DB4C09">
        <w:rPr>
          <w:rFonts w:ascii="Times New Roman" w:hAnsi="Times New Roman" w:cs="Times New Roman"/>
          <w:sz w:val="24"/>
          <w:szCs w:val="24"/>
        </w:rPr>
        <w:fldChar w:fldCharType="begin"/>
      </w:r>
      <w:r w:rsidR="00C52841">
        <w:rPr>
          <w:rFonts w:ascii="Times New Roman" w:hAnsi="Times New Roman" w:cs="Times New Roman"/>
          <w:sz w:val="24"/>
          <w:szCs w:val="24"/>
        </w:rPr>
        <w:instrText xml:space="preserve"> ADDIN ZOTERO_ITEM CSL_CITATION {"citationID":"MsjInga3","properties":{"formattedCitation":"(G\\uc0\\u243{}mez, 2009)","plainCitation":"(Gómez, 2009)","noteIndex":0},"citationItems":[{"id":"mhK3fgOx/GaeOczBv","uris":["http://zotero.org/users/local/rewjbDUP/items/6IJFP9VT"],"itemData":{"id":27,"type":"book","edition":"2","event-place":"Argentina","ISBN":"978-1-4135-7159-2","language":"Español","license":"Editorial Brujas","number-of-pages":"189","publisher":"Editorial Brujas","publisher-place":"Argentina","title":"Introducción a la Metodología de la Investigación Científica","author":[{"family":"Gómez","given":"Marcelo"}],"issued":{"date-parts":[["2009"]]}}}],"schema":"https://github.com/citation-style-language/schema/raw/master/csl-citation.json"} </w:instrText>
      </w:r>
      <w:r w:rsidRPr="00DB4C09">
        <w:rPr>
          <w:rFonts w:ascii="Times New Roman" w:hAnsi="Times New Roman" w:cs="Times New Roman"/>
          <w:sz w:val="24"/>
          <w:szCs w:val="24"/>
        </w:rPr>
        <w:fldChar w:fldCharType="separate"/>
      </w:r>
      <w:r w:rsidRPr="00DB4C09">
        <w:rPr>
          <w:rFonts w:ascii="Times New Roman" w:hAnsi="Times New Roman" w:cs="Times New Roman"/>
          <w:sz w:val="24"/>
          <w:szCs w:val="24"/>
        </w:rPr>
        <w:t>(Gómez, 2009)</w:t>
      </w:r>
      <w:r w:rsidRPr="00DB4C09">
        <w:rPr>
          <w:rFonts w:ascii="Times New Roman" w:hAnsi="Times New Roman" w:cs="Times New Roman"/>
          <w:sz w:val="24"/>
          <w:szCs w:val="24"/>
        </w:rPr>
        <w:fldChar w:fldCharType="end"/>
      </w:r>
      <w:r w:rsidRPr="00DB4C09">
        <w:rPr>
          <w:rFonts w:ascii="Times New Roman" w:hAnsi="Times New Roman" w:cs="Times New Roman"/>
          <w:sz w:val="24"/>
          <w:szCs w:val="24"/>
        </w:rPr>
        <w:t>.</w:t>
      </w:r>
    </w:p>
    <w:p w14:paraId="036AA69E" w14:textId="7895AA6E" w:rsidR="00DB4C09" w:rsidRPr="00DB4C09" w:rsidRDefault="00DB4C09" w:rsidP="00DB4C09">
      <w:pPr>
        <w:spacing w:line="360" w:lineRule="auto"/>
        <w:ind w:firstLine="720"/>
        <w:jc w:val="both"/>
        <w:rPr>
          <w:rFonts w:ascii="Times New Roman" w:hAnsi="Times New Roman" w:cs="Times New Roman"/>
          <w:sz w:val="24"/>
          <w:szCs w:val="24"/>
        </w:rPr>
      </w:pPr>
      <w:r w:rsidRPr="00DB4C09">
        <w:rPr>
          <w:rFonts w:ascii="Times New Roman" w:hAnsi="Times New Roman" w:cs="Times New Roman"/>
          <w:sz w:val="24"/>
          <w:szCs w:val="24"/>
        </w:rPr>
        <w:tab/>
        <w:t xml:space="preserve">La validación del instrumento para esta investigación se realizó mediante la inclusión de preguntas en una matriz, la cual posteriormente fue enviada al experto </w:t>
      </w:r>
      <w:r w:rsidR="00801FFE">
        <w:rPr>
          <w:rFonts w:ascii="Times New Roman" w:hAnsi="Times New Roman" w:cs="Times New Roman"/>
          <w:sz w:val="24"/>
          <w:szCs w:val="24"/>
        </w:rPr>
        <w:t>MAE</w:t>
      </w:r>
      <w:r w:rsidRPr="00DB4C09">
        <w:rPr>
          <w:rFonts w:ascii="Times New Roman" w:hAnsi="Times New Roman" w:cs="Times New Roman"/>
          <w:sz w:val="24"/>
          <w:szCs w:val="24"/>
        </w:rPr>
        <w:t xml:space="preserve">. </w:t>
      </w:r>
      <w:r w:rsidR="00801FFE">
        <w:rPr>
          <w:rFonts w:ascii="Times New Roman" w:hAnsi="Times New Roman" w:cs="Times New Roman"/>
          <w:sz w:val="24"/>
          <w:szCs w:val="24"/>
        </w:rPr>
        <w:t xml:space="preserve">Cid Canales Aguilar </w:t>
      </w:r>
      <w:r w:rsidRPr="00DB4C09">
        <w:rPr>
          <w:rFonts w:ascii="Times New Roman" w:hAnsi="Times New Roman" w:cs="Times New Roman"/>
          <w:sz w:val="24"/>
          <w:szCs w:val="24"/>
        </w:rPr>
        <w:t xml:space="preserve">en fecha </w:t>
      </w:r>
      <w:r w:rsidR="00801FFE">
        <w:rPr>
          <w:rFonts w:ascii="Times New Roman" w:hAnsi="Times New Roman" w:cs="Times New Roman"/>
          <w:sz w:val="24"/>
          <w:szCs w:val="24"/>
        </w:rPr>
        <w:t>20</w:t>
      </w:r>
      <w:r w:rsidRPr="00DB4C09">
        <w:rPr>
          <w:rFonts w:ascii="Times New Roman" w:hAnsi="Times New Roman" w:cs="Times New Roman"/>
          <w:sz w:val="24"/>
          <w:szCs w:val="24"/>
        </w:rPr>
        <w:t xml:space="preserve"> de </w:t>
      </w:r>
      <w:r w:rsidR="00801FFE">
        <w:rPr>
          <w:rFonts w:ascii="Times New Roman" w:hAnsi="Times New Roman" w:cs="Times New Roman"/>
          <w:sz w:val="24"/>
          <w:szCs w:val="24"/>
        </w:rPr>
        <w:t>abril</w:t>
      </w:r>
      <w:r w:rsidRPr="00DB4C09">
        <w:rPr>
          <w:rFonts w:ascii="Times New Roman" w:hAnsi="Times New Roman" w:cs="Times New Roman"/>
          <w:sz w:val="24"/>
          <w:szCs w:val="24"/>
        </w:rPr>
        <w:t xml:space="preserve"> de 2024. El experto devolvió el documento en fecha </w:t>
      </w:r>
      <w:r w:rsidR="00801FFE">
        <w:rPr>
          <w:rFonts w:ascii="Times New Roman" w:hAnsi="Times New Roman" w:cs="Times New Roman"/>
          <w:sz w:val="24"/>
          <w:szCs w:val="24"/>
        </w:rPr>
        <w:t>07</w:t>
      </w:r>
      <w:r w:rsidRPr="00DB4C09">
        <w:rPr>
          <w:rFonts w:ascii="Times New Roman" w:hAnsi="Times New Roman" w:cs="Times New Roman"/>
          <w:sz w:val="24"/>
          <w:szCs w:val="24"/>
        </w:rPr>
        <w:t xml:space="preserve"> de </w:t>
      </w:r>
      <w:r w:rsidR="00801FFE">
        <w:rPr>
          <w:rFonts w:ascii="Times New Roman" w:hAnsi="Times New Roman" w:cs="Times New Roman"/>
          <w:sz w:val="24"/>
          <w:szCs w:val="24"/>
        </w:rPr>
        <w:t>mayo</w:t>
      </w:r>
      <w:r w:rsidRPr="00DB4C09">
        <w:rPr>
          <w:rFonts w:ascii="Times New Roman" w:hAnsi="Times New Roman" w:cs="Times New Roman"/>
          <w:sz w:val="24"/>
          <w:szCs w:val="24"/>
        </w:rPr>
        <w:t xml:space="preserve"> de 2024, indicando que las preguntas son coherentes con el tema de investigación sin observaciones o cambios a realizar. (Ver anexo </w:t>
      </w:r>
      <w:r w:rsidR="00865CC4">
        <w:rPr>
          <w:rFonts w:ascii="Times New Roman" w:hAnsi="Times New Roman" w:cs="Times New Roman"/>
          <w:sz w:val="24"/>
          <w:szCs w:val="24"/>
        </w:rPr>
        <w:t>2</w:t>
      </w:r>
      <w:r w:rsidRPr="00DB4C09">
        <w:rPr>
          <w:rFonts w:ascii="Times New Roman" w:hAnsi="Times New Roman" w:cs="Times New Roman"/>
          <w:sz w:val="24"/>
          <w:szCs w:val="24"/>
        </w:rPr>
        <w:t>).</w:t>
      </w:r>
    </w:p>
    <w:p w14:paraId="21AF20DD" w14:textId="77777777" w:rsidR="008668B4" w:rsidRDefault="008668B4" w:rsidP="008668B4">
      <w:pPr>
        <w:pStyle w:val="TextoPrincipal"/>
        <w:spacing w:line="360" w:lineRule="auto"/>
        <w:ind w:firstLine="0"/>
      </w:pPr>
    </w:p>
    <w:p w14:paraId="2A3F040A" w14:textId="30B7112C" w:rsidR="00C8705C" w:rsidRDefault="00532E2A" w:rsidP="005C0109">
      <w:pPr>
        <w:pStyle w:val="Ttulo3"/>
        <w:spacing w:before="0" w:line="360" w:lineRule="auto"/>
        <w:ind w:left="0" w:firstLine="720"/>
      </w:pPr>
      <w:bookmarkStart w:id="222" w:name="_Toc166705817"/>
      <w:bookmarkStart w:id="223" w:name="_Toc175171419"/>
      <w:r>
        <w:t xml:space="preserve">3.4.3. </w:t>
      </w:r>
      <w:r w:rsidR="00C8705C">
        <w:t>PROCEDIMIENTOS</w:t>
      </w:r>
      <w:bookmarkEnd w:id="222"/>
      <w:bookmarkEnd w:id="223"/>
    </w:p>
    <w:p w14:paraId="2F62D918" w14:textId="0CDB8B91" w:rsidR="00EE398A" w:rsidRPr="00EE398A" w:rsidRDefault="00EE398A" w:rsidP="00EE398A">
      <w:pPr>
        <w:spacing w:line="360" w:lineRule="auto"/>
        <w:ind w:firstLine="720"/>
        <w:jc w:val="both"/>
        <w:rPr>
          <w:rFonts w:ascii="Times New Roman" w:hAnsi="Times New Roman" w:cs="Times New Roman"/>
          <w:sz w:val="24"/>
          <w:szCs w:val="24"/>
        </w:rPr>
      </w:pPr>
      <w:r w:rsidRPr="00EE398A">
        <w:rPr>
          <w:rFonts w:ascii="Times New Roman" w:hAnsi="Times New Roman" w:cs="Times New Roman"/>
          <w:sz w:val="24"/>
          <w:szCs w:val="24"/>
        </w:rPr>
        <w:tab/>
        <w:t xml:space="preserve">Con relación a la información cuantitativa, se emplearán diversos reportes relacionados con la morosidad, como ser los reportes de cartera y de clientes, para examinar la variación que ha experimentado la mora de los clientes de la IMF a lo largo del periodo de estudio. Además, se analizará el estado de resultados para entender cómo la morosidad ha afectado las utilidades de la microfinanciera. </w:t>
      </w:r>
    </w:p>
    <w:p w14:paraId="7E2F319A" w14:textId="6BBCF508" w:rsidR="00EE398A" w:rsidRPr="00EE398A" w:rsidRDefault="00EE398A" w:rsidP="00EE398A">
      <w:pPr>
        <w:spacing w:line="360" w:lineRule="auto"/>
        <w:ind w:firstLine="720"/>
        <w:jc w:val="both"/>
        <w:rPr>
          <w:rFonts w:ascii="Times New Roman" w:hAnsi="Times New Roman" w:cs="Times New Roman"/>
          <w:sz w:val="24"/>
          <w:szCs w:val="24"/>
        </w:rPr>
      </w:pPr>
      <w:r w:rsidRPr="00EE398A">
        <w:rPr>
          <w:rFonts w:ascii="Times New Roman" w:hAnsi="Times New Roman" w:cs="Times New Roman"/>
          <w:sz w:val="24"/>
          <w:szCs w:val="24"/>
        </w:rPr>
        <w:tab/>
        <w:t xml:space="preserve">Por otro lado, se utilizarán los estados de situación financiera correspondientes al periodo 2019–2023 para calcular y analizar diversos </w:t>
      </w:r>
      <w:proofErr w:type="gramStart"/>
      <w:r w:rsidRPr="00EE398A">
        <w:rPr>
          <w:rFonts w:ascii="Times New Roman" w:hAnsi="Times New Roman" w:cs="Times New Roman"/>
          <w:sz w:val="24"/>
          <w:szCs w:val="24"/>
        </w:rPr>
        <w:t>ratios financieros</w:t>
      </w:r>
      <w:proofErr w:type="gramEnd"/>
      <w:r w:rsidRPr="00EE398A">
        <w:rPr>
          <w:rFonts w:ascii="Times New Roman" w:hAnsi="Times New Roman" w:cs="Times New Roman"/>
          <w:sz w:val="24"/>
          <w:szCs w:val="24"/>
        </w:rPr>
        <w:t xml:space="preserve"> relevantes para esta investigación. </w:t>
      </w:r>
      <w:proofErr w:type="gramStart"/>
      <w:r w:rsidRPr="00EE398A">
        <w:rPr>
          <w:rFonts w:ascii="Times New Roman" w:hAnsi="Times New Roman" w:cs="Times New Roman"/>
          <w:sz w:val="24"/>
          <w:szCs w:val="24"/>
        </w:rPr>
        <w:t>Estos ratios</w:t>
      </w:r>
      <w:proofErr w:type="gramEnd"/>
      <w:r w:rsidRPr="00EE398A">
        <w:rPr>
          <w:rFonts w:ascii="Times New Roman" w:hAnsi="Times New Roman" w:cs="Times New Roman"/>
          <w:sz w:val="24"/>
          <w:szCs w:val="24"/>
        </w:rPr>
        <w:t xml:space="preserve"> proporcionarán información importante sobre la salud financiera de la IMF, así como su capacidad para gestionar eficazmente el riesgo de morosidad y mantener la estabilidad financiera a lo largo del tiempo.</w:t>
      </w:r>
    </w:p>
    <w:p w14:paraId="738ED083" w14:textId="47DD2C62" w:rsidR="00EE398A" w:rsidRDefault="00EE398A" w:rsidP="00EE398A">
      <w:pPr>
        <w:spacing w:line="360" w:lineRule="auto"/>
        <w:ind w:firstLine="720"/>
        <w:jc w:val="both"/>
        <w:rPr>
          <w:rFonts w:ascii="Times New Roman" w:hAnsi="Times New Roman" w:cs="Times New Roman"/>
          <w:sz w:val="24"/>
          <w:szCs w:val="24"/>
        </w:rPr>
      </w:pPr>
      <w:r w:rsidRPr="00EE398A">
        <w:rPr>
          <w:rFonts w:ascii="Times New Roman" w:hAnsi="Times New Roman" w:cs="Times New Roman"/>
          <w:sz w:val="24"/>
          <w:szCs w:val="24"/>
        </w:rPr>
        <w:tab/>
        <w:t xml:space="preserve">Referente a la información cualitativa se aplicarán entrevistas semiestructuradas que se realizarán a los gerentes de las diferentes áreas directamente involucradas con la gestión de créditos. Las interrogantes que se plantean en este instrumento están relacionadas al actual procedimiento créditos y cobros de la microfinanciera </w:t>
      </w:r>
      <w:r w:rsidR="00E5074B">
        <w:rPr>
          <w:rFonts w:ascii="Times New Roman" w:hAnsi="Times New Roman" w:cs="Times New Roman"/>
          <w:sz w:val="24"/>
          <w:szCs w:val="24"/>
        </w:rPr>
        <w:t>“XYZ”</w:t>
      </w:r>
      <w:r w:rsidRPr="00EE398A">
        <w:rPr>
          <w:rFonts w:ascii="Times New Roman" w:hAnsi="Times New Roman" w:cs="Times New Roman"/>
          <w:sz w:val="24"/>
          <w:szCs w:val="24"/>
        </w:rPr>
        <w:t>. Al finalizar las entrevistas, se elaborará un resumen de estas con el fin de analizar los datos cualitativos obtenidos.</w:t>
      </w:r>
    </w:p>
    <w:p w14:paraId="5B436E9E" w14:textId="100516B5" w:rsidR="00EE398A" w:rsidRDefault="00EE398A" w:rsidP="00DD2547">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A </w:t>
      </w:r>
      <w:r w:rsidR="00DD2547">
        <w:rPr>
          <w:rFonts w:ascii="Times New Roman" w:hAnsi="Times New Roman" w:cs="Times New Roman"/>
          <w:sz w:val="24"/>
          <w:szCs w:val="24"/>
        </w:rPr>
        <w:t>continuación,</w:t>
      </w:r>
      <w:r>
        <w:rPr>
          <w:rFonts w:ascii="Times New Roman" w:hAnsi="Times New Roman" w:cs="Times New Roman"/>
          <w:sz w:val="24"/>
          <w:szCs w:val="24"/>
        </w:rPr>
        <w:t xml:space="preserve"> se muestra un diagrama de </w:t>
      </w:r>
      <w:r w:rsidR="00DD2547">
        <w:rPr>
          <w:rFonts w:ascii="Times New Roman" w:hAnsi="Times New Roman" w:cs="Times New Roman"/>
          <w:sz w:val="24"/>
          <w:szCs w:val="24"/>
        </w:rPr>
        <w:t xml:space="preserve">recolección de datos </w:t>
      </w:r>
      <w:r>
        <w:rPr>
          <w:rFonts w:ascii="Times New Roman" w:hAnsi="Times New Roman" w:cs="Times New Roman"/>
          <w:sz w:val="24"/>
          <w:szCs w:val="24"/>
        </w:rPr>
        <w:t>elaborado para dar seguimiento puntual a las principales tareas que se deberán de llevar a cabo para el satisfactorio cumplimiento de esta investigación:</w:t>
      </w:r>
    </w:p>
    <w:p w14:paraId="601BAB71" w14:textId="77777777" w:rsidR="00816B30" w:rsidRDefault="00816B30" w:rsidP="00DD2547">
      <w:pPr>
        <w:spacing w:line="360" w:lineRule="auto"/>
        <w:ind w:firstLine="720"/>
        <w:jc w:val="both"/>
        <w:rPr>
          <w:rFonts w:ascii="Times New Roman" w:hAnsi="Times New Roman" w:cs="Times New Roman"/>
          <w:sz w:val="24"/>
          <w:szCs w:val="24"/>
        </w:rPr>
      </w:pPr>
    </w:p>
    <w:p w14:paraId="5AB6EFD5" w14:textId="77777777" w:rsidR="00816B30" w:rsidRDefault="00816B30" w:rsidP="00DD2547">
      <w:pPr>
        <w:spacing w:line="360" w:lineRule="auto"/>
        <w:ind w:firstLine="720"/>
        <w:jc w:val="both"/>
        <w:rPr>
          <w:rFonts w:ascii="Times New Roman" w:hAnsi="Times New Roman" w:cs="Times New Roman"/>
          <w:sz w:val="24"/>
          <w:szCs w:val="24"/>
        </w:rPr>
      </w:pPr>
    </w:p>
    <w:p w14:paraId="509B12CB" w14:textId="77777777" w:rsidR="003E2058" w:rsidRDefault="003E2058" w:rsidP="00DD2547">
      <w:pPr>
        <w:spacing w:line="360" w:lineRule="auto"/>
        <w:ind w:firstLine="720"/>
        <w:jc w:val="both"/>
        <w:rPr>
          <w:rFonts w:ascii="Times New Roman" w:hAnsi="Times New Roman" w:cs="Times New Roman"/>
          <w:sz w:val="24"/>
          <w:szCs w:val="24"/>
        </w:rPr>
      </w:pPr>
    </w:p>
    <w:p w14:paraId="6720337C" w14:textId="1936B2B6" w:rsidR="007C0BE5" w:rsidRDefault="007C0BE5" w:rsidP="00DD2547">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lastRenderedPageBreak/>
        <w:t>Tabla 3. Cronograma de actividades.</w:t>
      </w:r>
    </w:p>
    <w:tbl>
      <w:tblPr>
        <w:tblW w:w="9412" w:type="dxa"/>
        <w:jc w:val="center"/>
        <w:tblCellMar>
          <w:left w:w="70" w:type="dxa"/>
          <w:right w:w="70" w:type="dxa"/>
        </w:tblCellMar>
        <w:tblLook w:val="04A0" w:firstRow="1" w:lastRow="0" w:firstColumn="1" w:lastColumn="0" w:noHBand="0" w:noVBand="1"/>
      </w:tblPr>
      <w:tblGrid>
        <w:gridCol w:w="256"/>
        <w:gridCol w:w="1360"/>
        <w:gridCol w:w="1435"/>
        <w:gridCol w:w="908"/>
        <w:gridCol w:w="908"/>
        <w:gridCol w:w="910"/>
        <w:gridCol w:w="908"/>
        <w:gridCol w:w="908"/>
        <w:gridCol w:w="908"/>
        <w:gridCol w:w="911"/>
      </w:tblGrid>
      <w:tr w:rsidR="00083E8E" w:rsidRPr="007C0BE5" w14:paraId="414D756E" w14:textId="77777777" w:rsidTr="00083E8E">
        <w:trPr>
          <w:trHeight w:val="125"/>
          <w:jc w:val="center"/>
        </w:trPr>
        <w:tc>
          <w:tcPr>
            <w:tcW w:w="1616" w:type="dxa"/>
            <w:gridSpan w:val="2"/>
            <w:vMerge w:val="restart"/>
            <w:tcBorders>
              <w:top w:val="single" w:sz="8" w:space="0" w:color="auto"/>
              <w:left w:val="single" w:sz="8" w:space="0" w:color="auto"/>
              <w:bottom w:val="single" w:sz="8" w:space="0" w:color="000000"/>
              <w:right w:val="single" w:sz="4" w:space="0" w:color="auto"/>
            </w:tcBorders>
            <w:shd w:val="clear" w:color="000000" w:fill="305496"/>
            <w:noWrap/>
            <w:vAlign w:val="center"/>
            <w:hideMark/>
          </w:tcPr>
          <w:p w14:paraId="12FE3494" w14:textId="77777777" w:rsidR="00083E8E" w:rsidRPr="007C0BE5" w:rsidRDefault="00083E8E" w:rsidP="007C0BE5">
            <w:pPr>
              <w:widowControl/>
              <w:jc w:val="center"/>
              <w:rPr>
                <w:rFonts w:ascii="Times New Roman" w:eastAsia="Times New Roman" w:hAnsi="Times New Roman" w:cs="Times New Roman"/>
                <w:b/>
                <w:bCs/>
                <w:color w:val="FFFFFF"/>
                <w:sz w:val="16"/>
                <w:szCs w:val="16"/>
                <w:lang w:eastAsia="es-HN"/>
              </w:rPr>
            </w:pPr>
            <w:r w:rsidRPr="007C0BE5">
              <w:rPr>
                <w:rFonts w:ascii="Times New Roman" w:eastAsia="Times New Roman" w:hAnsi="Times New Roman" w:cs="Times New Roman"/>
                <w:b/>
                <w:bCs/>
                <w:color w:val="FFFFFF"/>
                <w:sz w:val="16"/>
                <w:szCs w:val="16"/>
                <w:lang w:eastAsia="es-HN"/>
              </w:rPr>
              <w:t>Actividad</w:t>
            </w:r>
          </w:p>
        </w:tc>
        <w:tc>
          <w:tcPr>
            <w:tcW w:w="1435" w:type="dxa"/>
            <w:vMerge w:val="restart"/>
            <w:tcBorders>
              <w:top w:val="single" w:sz="8" w:space="0" w:color="auto"/>
              <w:left w:val="single" w:sz="4" w:space="0" w:color="auto"/>
              <w:bottom w:val="single" w:sz="8" w:space="0" w:color="000000"/>
              <w:right w:val="single" w:sz="4" w:space="0" w:color="auto"/>
            </w:tcBorders>
            <w:shd w:val="clear" w:color="000000" w:fill="305496"/>
            <w:vAlign w:val="center"/>
            <w:hideMark/>
          </w:tcPr>
          <w:p w14:paraId="3D33CD2F" w14:textId="77777777" w:rsidR="00083E8E" w:rsidRPr="007C0BE5" w:rsidRDefault="00083E8E" w:rsidP="007C0BE5">
            <w:pPr>
              <w:widowControl/>
              <w:jc w:val="center"/>
              <w:rPr>
                <w:rFonts w:ascii="Times New Roman" w:eastAsia="Times New Roman" w:hAnsi="Times New Roman" w:cs="Times New Roman"/>
                <w:b/>
                <w:bCs/>
                <w:color w:val="FFFFFF"/>
                <w:sz w:val="16"/>
                <w:szCs w:val="16"/>
                <w:lang w:eastAsia="es-HN"/>
              </w:rPr>
            </w:pPr>
            <w:r w:rsidRPr="007C0BE5">
              <w:rPr>
                <w:rFonts w:ascii="Times New Roman" w:eastAsia="Times New Roman" w:hAnsi="Times New Roman" w:cs="Times New Roman"/>
                <w:b/>
                <w:bCs/>
                <w:color w:val="FFFFFF"/>
                <w:sz w:val="16"/>
                <w:szCs w:val="16"/>
                <w:lang w:eastAsia="es-HN"/>
              </w:rPr>
              <w:t>Responsables</w:t>
            </w:r>
          </w:p>
        </w:tc>
        <w:tc>
          <w:tcPr>
            <w:tcW w:w="2726" w:type="dxa"/>
            <w:gridSpan w:val="3"/>
            <w:tcBorders>
              <w:top w:val="single" w:sz="8" w:space="0" w:color="auto"/>
              <w:left w:val="nil"/>
              <w:bottom w:val="single" w:sz="4" w:space="0" w:color="auto"/>
              <w:right w:val="single" w:sz="4" w:space="0" w:color="000000"/>
            </w:tcBorders>
            <w:shd w:val="clear" w:color="000000" w:fill="305496"/>
            <w:noWrap/>
            <w:vAlign w:val="center"/>
            <w:hideMark/>
          </w:tcPr>
          <w:p w14:paraId="07535F7E" w14:textId="77777777" w:rsidR="00083E8E" w:rsidRPr="007C0BE5" w:rsidRDefault="00083E8E" w:rsidP="007C0BE5">
            <w:pPr>
              <w:widowControl/>
              <w:jc w:val="center"/>
              <w:rPr>
                <w:rFonts w:ascii="Times New Roman" w:eastAsia="Times New Roman" w:hAnsi="Times New Roman" w:cs="Times New Roman"/>
                <w:b/>
                <w:bCs/>
                <w:color w:val="FFFFFF"/>
                <w:sz w:val="16"/>
                <w:szCs w:val="16"/>
                <w:lang w:eastAsia="es-HN"/>
              </w:rPr>
            </w:pPr>
            <w:r w:rsidRPr="007C0BE5">
              <w:rPr>
                <w:rFonts w:ascii="Times New Roman" w:eastAsia="Times New Roman" w:hAnsi="Times New Roman" w:cs="Times New Roman"/>
                <w:b/>
                <w:bCs/>
                <w:color w:val="FFFFFF"/>
                <w:sz w:val="16"/>
                <w:szCs w:val="16"/>
                <w:lang w:eastAsia="es-HN"/>
              </w:rPr>
              <w:t>Marzo</w:t>
            </w:r>
          </w:p>
        </w:tc>
        <w:tc>
          <w:tcPr>
            <w:tcW w:w="3635" w:type="dxa"/>
            <w:gridSpan w:val="4"/>
            <w:tcBorders>
              <w:top w:val="single" w:sz="8" w:space="0" w:color="auto"/>
              <w:left w:val="nil"/>
              <w:bottom w:val="single" w:sz="4" w:space="0" w:color="auto"/>
              <w:right w:val="single" w:sz="4" w:space="0" w:color="000000"/>
            </w:tcBorders>
            <w:shd w:val="clear" w:color="000000" w:fill="305496"/>
            <w:noWrap/>
            <w:vAlign w:val="center"/>
            <w:hideMark/>
          </w:tcPr>
          <w:p w14:paraId="248308F7" w14:textId="77777777" w:rsidR="00083E8E" w:rsidRPr="007C0BE5" w:rsidRDefault="00083E8E" w:rsidP="007C0BE5">
            <w:pPr>
              <w:widowControl/>
              <w:jc w:val="center"/>
              <w:rPr>
                <w:rFonts w:ascii="Times New Roman" w:eastAsia="Times New Roman" w:hAnsi="Times New Roman" w:cs="Times New Roman"/>
                <w:b/>
                <w:bCs/>
                <w:color w:val="FFFFFF"/>
                <w:sz w:val="16"/>
                <w:szCs w:val="16"/>
                <w:lang w:eastAsia="es-HN"/>
              </w:rPr>
            </w:pPr>
            <w:r w:rsidRPr="007C0BE5">
              <w:rPr>
                <w:rFonts w:ascii="Times New Roman" w:eastAsia="Times New Roman" w:hAnsi="Times New Roman" w:cs="Times New Roman"/>
                <w:b/>
                <w:bCs/>
                <w:color w:val="FFFFFF"/>
                <w:sz w:val="16"/>
                <w:szCs w:val="16"/>
                <w:lang w:eastAsia="es-HN"/>
              </w:rPr>
              <w:t>Abril</w:t>
            </w:r>
          </w:p>
        </w:tc>
      </w:tr>
      <w:tr w:rsidR="00083E8E" w:rsidRPr="007C0BE5" w14:paraId="5F313C25" w14:textId="77777777" w:rsidTr="00083E8E">
        <w:trPr>
          <w:trHeight w:val="260"/>
          <w:jc w:val="center"/>
        </w:trPr>
        <w:tc>
          <w:tcPr>
            <w:tcW w:w="1616" w:type="dxa"/>
            <w:gridSpan w:val="2"/>
            <w:vMerge/>
            <w:tcBorders>
              <w:top w:val="single" w:sz="8" w:space="0" w:color="auto"/>
              <w:left w:val="single" w:sz="8" w:space="0" w:color="auto"/>
              <w:bottom w:val="single" w:sz="8" w:space="0" w:color="000000"/>
              <w:right w:val="single" w:sz="4" w:space="0" w:color="auto"/>
            </w:tcBorders>
            <w:vAlign w:val="center"/>
            <w:hideMark/>
          </w:tcPr>
          <w:p w14:paraId="539ECB7C" w14:textId="77777777" w:rsidR="00083E8E" w:rsidRPr="007C0BE5" w:rsidRDefault="00083E8E" w:rsidP="007C0BE5">
            <w:pPr>
              <w:widowControl/>
              <w:rPr>
                <w:rFonts w:ascii="Times New Roman" w:eastAsia="Times New Roman" w:hAnsi="Times New Roman" w:cs="Times New Roman"/>
                <w:b/>
                <w:bCs/>
                <w:color w:val="FFFFFF"/>
                <w:sz w:val="16"/>
                <w:szCs w:val="16"/>
                <w:lang w:eastAsia="es-HN"/>
              </w:rPr>
            </w:pPr>
          </w:p>
        </w:tc>
        <w:tc>
          <w:tcPr>
            <w:tcW w:w="1435" w:type="dxa"/>
            <w:vMerge/>
            <w:tcBorders>
              <w:top w:val="single" w:sz="8" w:space="0" w:color="auto"/>
              <w:left w:val="single" w:sz="4" w:space="0" w:color="auto"/>
              <w:bottom w:val="single" w:sz="8" w:space="0" w:color="000000"/>
              <w:right w:val="single" w:sz="4" w:space="0" w:color="auto"/>
            </w:tcBorders>
            <w:vAlign w:val="center"/>
            <w:hideMark/>
          </w:tcPr>
          <w:p w14:paraId="0DF13BAD" w14:textId="77777777" w:rsidR="00083E8E" w:rsidRPr="007C0BE5" w:rsidRDefault="00083E8E" w:rsidP="007C0BE5">
            <w:pPr>
              <w:widowControl/>
              <w:rPr>
                <w:rFonts w:ascii="Times New Roman" w:eastAsia="Times New Roman" w:hAnsi="Times New Roman" w:cs="Times New Roman"/>
                <w:b/>
                <w:bCs/>
                <w:color w:val="FFFFFF"/>
                <w:sz w:val="16"/>
                <w:szCs w:val="16"/>
                <w:lang w:eastAsia="es-HN"/>
              </w:rPr>
            </w:pPr>
          </w:p>
        </w:tc>
        <w:tc>
          <w:tcPr>
            <w:tcW w:w="908" w:type="dxa"/>
            <w:tcBorders>
              <w:top w:val="nil"/>
              <w:left w:val="nil"/>
              <w:bottom w:val="single" w:sz="8" w:space="0" w:color="auto"/>
              <w:right w:val="single" w:sz="4" w:space="0" w:color="auto"/>
            </w:tcBorders>
            <w:shd w:val="clear" w:color="000000" w:fill="305496"/>
            <w:vAlign w:val="center"/>
            <w:hideMark/>
          </w:tcPr>
          <w:p w14:paraId="7A8B1756" w14:textId="77777777" w:rsidR="00083E8E" w:rsidRPr="007C0BE5" w:rsidRDefault="00083E8E" w:rsidP="007C0BE5">
            <w:pPr>
              <w:widowControl/>
              <w:jc w:val="center"/>
              <w:rPr>
                <w:rFonts w:ascii="Times New Roman" w:eastAsia="Times New Roman" w:hAnsi="Times New Roman" w:cs="Times New Roman"/>
                <w:b/>
                <w:bCs/>
                <w:color w:val="FFFFFF"/>
                <w:sz w:val="16"/>
                <w:szCs w:val="16"/>
                <w:lang w:eastAsia="es-HN"/>
              </w:rPr>
            </w:pPr>
            <w:r w:rsidRPr="007C0BE5">
              <w:rPr>
                <w:rFonts w:ascii="Times New Roman" w:eastAsia="Times New Roman" w:hAnsi="Times New Roman" w:cs="Times New Roman"/>
                <w:b/>
                <w:bCs/>
                <w:color w:val="FFFFFF"/>
                <w:sz w:val="16"/>
                <w:szCs w:val="16"/>
                <w:lang w:eastAsia="es-HN"/>
              </w:rPr>
              <w:t>Semana 1</w:t>
            </w:r>
            <w:r w:rsidRPr="007C0BE5">
              <w:rPr>
                <w:rFonts w:ascii="Times New Roman" w:eastAsia="Times New Roman" w:hAnsi="Times New Roman" w:cs="Times New Roman"/>
                <w:b/>
                <w:bCs/>
                <w:color w:val="FFFFFF"/>
                <w:sz w:val="16"/>
                <w:szCs w:val="16"/>
                <w:lang w:eastAsia="es-HN"/>
              </w:rPr>
              <w:br/>
              <w:t>17-23</w:t>
            </w:r>
          </w:p>
        </w:tc>
        <w:tc>
          <w:tcPr>
            <w:tcW w:w="908" w:type="dxa"/>
            <w:tcBorders>
              <w:top w:val="nil"/>
              <w:left w:val="nil"/>
              <w:bottom w:val="single" w:sz="8" w:space="0" w:color="auto"/>
              <w:right w:val="single" w:sz="4" w:space="0" w:color="auto"/>
            </w:tcBorders>
            <w:shd w:val="clear" w:color="000000" w:fill="305496"/>
            <w:vAlign w:val="center"/>
            <w:hideMark/>
          </w:tcPr>
          <w:p w14:paraId="450B46FD" w14:textId="77777777" w:rsidR="00083E8E" w:rsidRPr="007C0BE5" w:rsidRDefault="00083E8E" w:rsidP="007C0BE5">
            <w:pPr>
              <w:widowControl/>
              <w:jc w:val="center"/>
              <w:rPr>
                <w:rFonts w:ascii="Times New Roman" w:eastAsia="Times New Roman" w:hAnsi="Times New Roman" w:cs="Times New Roman"/>
                <w:b/>
                <w:bCs/>
                <w:color w:val="FFFFFF"/>
                <w:sz w:val="16"/>
                <w:szCs w:val="16"/>
                <w:lang w:eastAsia="es-HN"/>
              </w:rPr>
            </w:pPr>
            <w:r w:rsidRPr="007C0BE5">
              <w:rPr>
                <w:rFonts w:ascii="Times New Roman" w:eastAsia="Times New Roman" w:hAnsi="Times New Roman" w:cs="Times New Roman"/>
                <w:b/>
                <w:bCs/>
                <w:color w:val="FFFFFF"/>
                <w:sz w:val="16"/>
                <w:szCs w:val="16"/>
                <w:lang w:eastAsia="es-HN"/>
              </w:rPr>
              <w:t xml:space="preserve">Semana 2 </w:t>
            </w:r>
            <w:r w:rsidRPr="007C0BE5">
              <w:rPr>
                <w:rFonts w:ascii="Times New Roman" w:eastAsia="Times New Roman" w:hAnsi="Times New Roman" w:cs="Times New Roman"/>
                <w:b/>
                <w:bCs/>
                <w:color w:val="FFFFFF"/>
                <w:sz w:val="16"/>
                <w:szCs w:val="16"/>
                <w:lang w:eastAsia="es-HN"/>
              </w:rPr>
              <w:br/>
              <w:t>24-30</w:t>
            </w:r>
          </w:p>
        </w:tc>
        <w:tc>
          <w:tcPr>
            <w:tcW w:w="909" w:type="dxa"/>
            <w:tcBorders>
              <w:top w:val="nil"/>
              <w:left w:val="nil"/>
              <w:bottom w:val="single" w:sz="8" w:space="0" w:color="auto"/>
              <w:right w:val="single" w:sz="4" w:space="0" w:color="auto"/>
            </w:tcBorders>
            <w:shd w:val="clear" w:color="000000" w:fill="305496"/>
            <w:vAlign w:val="center"/>
            <w:hideMark/>
          </w:tcPr>
          <w:p w14:paraId="5CAF1E6B" w14:textId="77777777" w:rsidR="00083E8E" w:rsidRPr="007C0BE5" w:rsidRDefault="00083E8E" w:rsidP="007C0BE5">
            <w:pPr>
              <w:widowControl/>
              <w:jc w:val="center"/>
              <w:rPr>
                <w:rFonts w:ascii="Times New Roman" w:eastAsia="Times New Roman" w:hAnsi="Times New Roman" w:cs="Times New Roman"/>
                <w:b/>
                <w:bCs/>
                <w:color w:val="FFFFFF"/>
                <w:sz w:val="16"/>
                <w:szCs w:val="16"/>
                <w:lang w:eastAsia="es-HN"/>
              </w:rPr>
            </w:pPr>
            <w:r w:rsidRPr="007C0BE5">
              <w:rPr>
                <w:rFonts w:ascii="Times New Roman" w:eastAsia="Times New Roman" w:hAnsi="Times New Roman" w:cs="Times New Roman"/>
                <w:b/>
                <w:bCs/>
                <w:color w:val="FFFFFF"/>
                <w:sz w:val="16"/>
                <w:szCs w:val="16"/>
                <w:lang w:eastAsia="es-HN"/>
              </w:rPr>
              <w:t>Semana 3</w:t>
            </w:r>
            <w:r w:rsidRPr="007C0BE5">
              <w:rPr>
                <w:rFonts w:ascii="Times New Roman" w:eastAsia="Times New Roman" w:hAnsi="Times New Roman" w:cs="Times New Roman"/>
                <w:b/>
                <w:bCs/>
                <w:color w:val="FFFFFF"/>
                <w:sz w:val="16"/>
                <w:szCs w:val="16"/>
                <w:lang w:eastAsia="es-HN"/>
              </w:rPr>
              <w:br/>
              <w:t>31-6 ab</w:t>
            </w:r>
          </w:p>
        </w:tc>
        <w:tc>
          <w:tcPr>
            <w:tcW w:w="908" w:type="dxa"/>
            <w:tcBorders>
              <w:top w:val="nil"/>
              <w:left w:val="nil"/>
              <w:bottom w:val="single" w:sz="8" w:space="0" w:color="auto"/>
              <w:right w:val="single" w:sz="4" w:space="0" w:color="auto"/>
            </w:tcBorders>
            <w:shd w:val="clear" w:color="000000" w:fill="305496"/>
            <w:vAlign w:val="center"/>
            <w:hideMark/>
          </w:tcPr>
          <w:p w14:paraId="452EC5CA" w14:textId="77777777" w:rsidR="00083E8E" w:rsidRPr="007C0BE5" w:rsidRDefault="00083E8E" w:rsidP="007C0BE5">
            <w:pPr>
              <w:widowControl/>
              <w:jc w:val="center"/>
              <w:rPr>
                <w:rFonts w:ascii="Times New Roman" w:eastAsia="Times New Roman" w:hAnsi="Times New Roman" w:cs="Times New Roman"/>
                <w:b/>
                <w:bCs/>
                <w:color w:val="FFFFFF"/>
                <w:sz w:val="16"/>
                <w:szCs w:val="16"/>
                <w:lang w:eastAsia="es-HN"/>
              </w:rPr>
            </w:pPr>
            <w:r w:rsidRPr="007C0BE5">
              <w:rPr>
                <w:rFonts w:ascii="Times New Roman" w:eastAsia="Times New Roman" w:hAnsi="Times New Roman" w:cs="Times New Roman"/>
                <w:b/>
                <w:bCs/>
                <w:color w:val="FFFFFF"/>
                <w:sz w:val="16"/>
                <w:szCs w:val="16"/>
                <w:lang w:eastAsia="es-HN"/>
              </w:rPr>
              <w:t>Semana 4</w:t>
            </w:r>
            <w:r w:rsidRPr="007C0BE5">
              <w:rPr>
                <w:rFonts w:ascii="Times New Roman" w:eastAsia="Times New Roman" w:hAnsi="Times New Roman" w:cs="Times New Roman"/>
                <w:b/>
                <w:bCs/>
                <w:color w:val="FFFFFF"/>
                <w:sz w:val="16"/>
                <w:szCs w:val="16"/>
                <w:lang w:eastAsia="es-HN"/>
              </w:rPr>
              <w:br/>
              <w:t>7-13</w:t>
            </w:r>
          </w:p>
        </w:tc>
        <w:tc>
          <w:tcPr>
            <w:tcW w:w="908" w:type="dxa"/>
            <w:tcBorders>
              <w:top w:val="nil"/>
              <w:left w:val="nil"/>
              <w:bottom w:val="single" w:sz="8" w:space="0" w:color="auto"/>
              <w:right w:val="single" w:sz="4" w:space="0" w:color="auto"/>
            </w:tcBorders>
            <w:shd w:val="clear" w:color="000000" w:fill="305496"/>
            <w:vAlign w:val="center"/>
            <w:hideMark/>
          </w:tcPr>
          <w:p w14:paraId="2E66A4D6" w14:textId="77777777" w:rsidR="00083E8E" w:rsidRPr="007C0BE5" w:rsidRDefault="00083E8E" w:rsidP="007C0BE5">
            <w:pPr>
              <w:widowControl/>
              <w:jc w:val="center"/>
              <w:rPr>
                <w:rFonts w:ascii="Times New Roman" w:eastAsia="Times New Roman" w:hAnsi="Times New Roman" w:cs="Times New Roman"/>
                <w:b/>
                <w:bCs/>
                <w:color w:val="FFFFFF"/>
                <w:sz w:val="16"/>
                <w:szCs w:val="16"/>
                <w:lang w:eastAsia="es-HN"/>
              </w:rPr>
            </w:pPr>
            <w:r w:rsidRPr="007C0BE5">
              <w:rPr>
                <w:rFonts w:ascii="Times New Roman" w:eastAsia="Times New Roman" w:hAnsi="Times New Roman" w:cs="Times New Roman"/>
                <w:b/>
                <w:bCs/>
                <w:color w:val="FFFFFF"/>
                <w:sz w:val="16"/>
                <w:szCs w:val="16"/>
                <w:lang w:eastAsia="es-HN"/>
              </w:rPr>
              <w:t>Semana 5</w:t>
            </w:r>
            <w:r w:rsidRPr="007C0BE5">
              <w:rPr>
                <w:rFonts w:ascii="Times New Roman" w:eastAsia="Times New Roman" w:hAnsi="Times New Roman" w:cs="Times New Roman"/>
                <w:b/>
                <w:bCs/>
                <w:color w:val="FFFFFF"/>
                <w:sz w:val="16"/>
                <w:szCs w:val="16"/>
                <w:lang w:eastAsia="es-HN"/>
              </w:rPr>
              <w:br/>
              <w:t>14-20</w:t>
            </w:r>
          </w:p>
        </w:tc>
        <w:tc>
          <w:tcPr>
            <w:tcW w:w="908" w:type="dxa"/>
            <w:tcBorders>
              <w:top w:val="nil"/>
              <w:left w:val="nil"/>
              <w:bottom w:val="single" w:sz="8" w:space="0" w:color="auto"/>
              <w:right w:val="single" w:sz="4" w:space="0" w:color="auto"/>
            </w:tcBorders>
            <w:shd w:val="clear" w:color="000000" w:fill="305496"/>
            <w:vAlign w:val="center"/>
            <w:hideMark/>
          </w:tcPr>
          <w:p w14:paraId="32CE600A" w14:textId="77777777" w:rsidR="00083E8E" w:rsidRPr="007C0BE5" w:rsidRDefault="00083E8E" w:rsidP="007C0BE5">
            <w:pPr>
              <w:widowControl/>
              <w:jc w:val="center"/>
              <w:rPr>
                <w:rFonts w:ascii="Times New Roman" w:eastAsia="Times New Roman" w:hAnsi="Times New Roman" w:cs="Times New Roman"/>
                <w:b/>
                <w:bCs/>
                <w:color w:val="FFFFFF"/>
                <w:sz w:val="16"/>
                <w:szCs w:val="16"/>
                <w:lang w:eastAsia="es-HN"/>
              </w:rPr>
            </w:pPr>
            <w:r w:rsidRPr="007C0BE5">
              <w:rPr>
                <w:rFonts w:ascii="Times New Roman" w:eastAsia="Times New Roman" w:hAnsi="Times New Roman" w:cs="Times New Roman"/>
                <w:b/>
                <w:bCs/>
                <w:color w:val="FFFFFF"/>
                <w:sz w:val="16"/>
                <w:szCs w:val="16"/>
                <w:lang w:eastAsia="es-HN"/>
              </w:rPr>
              <w:t>Semana 6</w:t>
            </w:r>
            <w:r w:rsidRPr="007C0BE5">
              <w:rPr>
                <w:rFonts w:ascii="Times New Roman" w:eastAsia="Times New Roman" w:hAnsi="Times New Roman" w:cs="Times New Roman"/>
                <w:b/>
                <w:bCs/>
                <w:color w:val="FFFFFF"/>
                <w:sz w:val="16"/>
                <w:szCs w:val="16"/>
                <w:lang w:eastAsia="es-HN"/>
              </w:rPr>
              <w:br/>
              <w:t>21-27</w:t>
            </w:r>
          </w:p>
        </w:tc>
        <w:tc>
          <w:tcPr>
            <w:tcW w:w="910" w:type="dxa"/>
            <w:tcBorders>
              <w:top w:val="nil"/>
              <w:left w:val="nil"/>
              <w:bottom w:val="single" w:sz="8" w:space="0" w:color="auto"/>
              <w:right w:val="single" w:sz="4" w:space="0" w:color="auto"/>
            </w:tcBorders>
            <w:shd w:val="clear" w:color="000000" w:fill="305496"/>
            <w:vAlign w:val="center"/>
            <w:hideMark/>
          </w:tcPr>
          <w:p w14:paraId="32471F40" w14:textId="77777777" w:rsidR="00083E8E" w:rsidRPr="007C0BE5" w:rsidRDefault="00083E8E" w:rsidP="007C0BE5">
            <w:pPr>
              <w:widowControl/>
              <w:jc w:val="center"/>
              <w:rPr>
                <w:rFonts w:ascii="Times New Roman" w:eastAsia="Times New Roman" w:hAnsi="Times New Roman" w:cs="Times New Roman"/>
                <w:b/>
                <w:bCs/>
                <w:color w:val="FFFFFF"/>
                <w:sz w:val="16"/>
                <w:szCs w:val="16"/>
                <w:lang w:eastAsia="es-HN"/>
              </w:rPr>
            </w:pPr>
            <w:r w:rsidRPr="007C0BE5">
              <w:rPr>
                <w:rFonts w:ascii="Times New Roman" w:eastAsia="Times New Roman" w:hAnsi="Times New Roman" w:cs="Times New Roman"/>
                <w:b/>
                <w:bCs/>
                <w:color w:val="FFFFFF"/>
                <w:sz w:val="16"/>
                <w:szCs w:val="16"/>
                <w:lang w:eastAsia="es-HN"/>
              </w:rPr>
              <w:t>Semana 7</w:t>
            </w:r>
            <w:r w:rsidRPr="007C0BE5">
              <w:rPr>
                <w:rFonts w:ascii="Times New Roman" w:eastAsia="Times New Roman" w:hAnsi="Times New Roman" w:cs="Times New Roman"/>
                <w:b/>
                <w:bCs/>
                <w:color w:val="FFFFFF"/>
                <w:sz w:val="16"/>
                <w:szCs w:val="16"/>
                <w:lang w:eastAsia="es-HN"/>
              </w:rPr>
              <w:br/>
              <w:t xml:space="preserve">28-4 </w:t>
            </w:r>
            <w:proofErr w:type="spellStart"/>
            <w:r w:rsidRPr="007C0BE5">
              <w:rPr>
                <w:rFonts w:ascii="Times New Roman" w:eastAsia="Times New Roman" w:hAnsi="Times New Roman" w:cs="Times New Roman"/>
                <w:b/>
                <w:bCs/>
                <w:color w:val="FFFFFF"/>
                <w:sz w:val="16"/>
                <w:szCs w:val="16"/>
                <w:lang w:eastAsia="es-HN"/>
              </w:rPr>
              <w:t>may</w:t>
            </w:r>
            <w:proofErr w:type="spellEnd"/>
          </w:p>
        </w:tc>
      </w:tr>
      <w:tr w:rsidR="00083E8E" w:rsidRPr="007C0BE5" w14:paraId="76A71B43" w14:textId="77777777" w:rsidTr="00083E8E">
        <w:trPr>
          <w:trHeight w:val="295"/>
          <w:jc w:val="center"/>
        </w:trPr>
        <w:tc>
          <w:tcPr>
            <w:tcW w:w="256" w:type="dxa"/>
            <w:tcBorders>
              <w:top w:val="nil"/>
              <w:left w:val="single" w:sz="8" w:space="0" w:color="auto"/>
              <w:bottom w:val="single" w:sz="4" w:space="0" w:color="auto"/>
              <w:right w:val="single" w:sz="4" w:space="0" w:color="auto"/>
            </w:tcBorders>
            <w:shd w:val="clear" w:color="auto" w:fill="auto"/>
            <w:noWrap/>
            <w:vAlign w:val="center"/>
            <w:hideMark/>
          </w:tcPr>
          <w:p w14:paraId="7EDD3C11" w14:textId="77777777" w:rsidR="00083E8E" w:rsidRPr="007C0BE5" w:rsidRDefault="00083E8E" w:rsidP="007C0BE5">
            <w:pPr>
              <w:widowControl/>
              <w:jc w:val="center"/>
              <w:rPr>
                <w:rFonts w:ascii="Times New Roman" w:eastAsia="Times New Roman" w:hAnsi="Times New Roman" w:cs="Times New Roman"/>
                <w:b/>
                <w:bCs/>
                <w:color w:val="000000"/>
                <w:sz w:val="16"/>
                <w:szCs w:val="16"/>
                <w:lang w:eastAsia="es-HN"/>
              </w:rPr>
            </w:pPr>
            <w:r w:rsidRPr="007C0BE5">
              <w:rPr>
                <w:rFonts w:ascii="Times New Roman" w:eastAsia="Times New Roman" w:hAnsi="Times New Roman" w:cs="Times New Roman"/>
                <w:b/>
                <w:bCs/>
                <w:color w:val="000000"/>
                <w:sz w:val="16"/>
                <w:szCs w:val="16"/>
                <w:lang w:eastAsia="es-HN"/>
              </w:rPr>
              <w:t>1</w:t>
            </w:r>
          </w:p>
        </w:tc>
        <w:tc>
          <w:tcPr>
            <w:tcW w:w="1359" w:type="dxa"/>
            <w:tcBorders>
              <w:top w:val="nil"/>
              <w:left w:val="nil"/>
              <w:bottom w:val="single" w:sz="4" w:space="0" w:color="auto"/>
              <w:right w:val="single" w:sz="4" w:space="0" w:color="auto"/>
            </w:tcBorders>
            <w:shd w:val="clear" w:color="auto" w:fill="auto"/>
            <w:vAlign w:val="center"/>
            <w:hideMark/>
          </w:tcPr>
          <w:p w14:paraId="08565635" w14:textId="77777777" w:rsidR="00083E8E" w:rsidRPr="007C0BE5" w:rsidRDefault="00083E8E" w:rsidP="007C0BE5">
            <w:pPr>
              <w:widowControl/>
              <w:rPr>
                <w:rFonts w:ascii="Times New Roman" w:eastAsia="Times New Roman" w:hAnsi="Times New Roman" w:cs="Times New Roman"/>
                <w:color w:val="000000"/>
                <w:sz w:val="16"/>
                <w:szCs w:val="16"/>
                <w:lang w:eastAsia="es-HN"/>
              </w:rPr>
            </w:pPr>
            <w:r w:rsidRPr="007C0BE5">
              <w:rPr>
                <w:rFonts w:ascii="Times New Roman" w:eastAsia="Times New Roman" w:hAnsi="Times New Roman" w:cs="Times New Roman"/>
                <w:color w:val="000000"/>
                <w:sz w:val="16"/>
                <w:szCs w:val="16"/>
                <w:lang w:eastAsia="es-HN"/>
              </w:rPr>
              <w:t xml:space="preserve">Socialización del proyecto de investigación con los Gerentes de la IMF </w:t>
            </w:r>
          </w:p>
        </w:tc>
        <w:tc>
          <w:tcPr>
            <w:tcW w:w="1435" w:type="dxa"/>
            <w:tcBorders>
              <w:top w:val="nil"/>
              <w:left w:val="nil"/>
              <w:bottom w:val="single" w:sz="4" w:space="0" w:color="auto"/>
              <w:right w:val="single" w:sz="4" w:space="0" w:color="auto"/>
            </w:tcBorders>
            <w:shd w:val="clear" w:color="auto" w:fill="auto"/>
            <w:vAlign w:val="center"/>
            <w:hideMark/>
          </w:tcPr>
          <w:p w14:paraId="7335F6CF" w14:textId="77777777" w:rsidR="00083E8E" w:rsidRPr="007C0BE5" w:rsidRDefault="00083E8E" w:rsidP="007C0BE5">
            <w:pPr>
              <w:widowControl/>
              <w:jc w:val="center"/>
              <w:rPr>
                <w:rFonts w:ascii="Times New Roman" w:eastAsia="Times New Roman" w:hAnsi="Times New Roman" w:cs="Times New Roman"/>
                <w:color w:val="000000"/>
                <w:sz w:val="16"/>
                <w:szCs w:val="16"/>
                <w:lang w:eastAsia="es-HN"/>
              </w:rPr>
            </w:pPr>
            <w:r w:rsidRPr="007C0BE5">
              <w:rPr>
                <w:rFonts w:ascii="Times New Roman" w:eastAsia="Times New Roman" w:hAnsi="Times New Roman" w:cs="Times New Roman"/>
                <w:color w:val="000000"/>
                <w:sz w:val="16"/>
                <w:szCs w:val="16"/>
                <w:lang w:eastAsia="es-HN"/>
              </w:rPr>
              <w:t>Jimmy R. Sánchez / Dania Marín</w:t>
            </w:r>
          </w:p>
        </w:tc>
        <w:tc>
          <w:tcPr>
            <w:tcW w:w="908" w:type="dxa"/>
            <w:tcBorders>
              <w:top w:val="nil"/>
              <w:left w:val="nil"/>
              <w:bottom w:val="single" w:sz="4" w:space="0" w:color="auto"/>
              <w:right w:val="single" w:sz="4" w:space="0" w:color="auto"/>
            </w:tcBorders>
            <w:shd w:val="clear" w:color="000000" w:fill="FF0000"/>
            <w:noWrap/>
            <w:vAlign w:val="center"/>
            <w:hideMark/>
          </w:tcPr>
          <w:p w14:paraId="784A4EF1" w14:textId="77777777" w:rsidR="00083E8E" w:rsidRPr="007C0BE5" w:rsidRDefault="00083E8E" w:rsidP="007C0BE5">
            <w:pPr>
              <w:widowControl/>
              <w:rPr>
                <w:rFonts w:ascii="Times New Roman" w:eastAsia="Times New Roman" w:hAnsi="Times New Roman" w:cs="Times New Roman"/>
                <w:color w:val="000000"/>
                <w:sz w:val="16"/>
                <w:szCs w:val="16"/>
                <w:lang w:eastAsia="es-HN"/>
              </w:rPr>
            </w:pPr>
            <w:r w:rsidRPr="007C0BE5">
              <w:rPr>
                <w:rFonts w:ascii="Times New Roman" w:eastAsia="Times New Roman" w:hAnsi="Times New Roman" w:cs="Times New Roman"/>
                <w:color w:val="000000"/>
                <w:sz w:val="16"/>
                <w:szCs w:val="16"/>
                <w:lang w:eastAsia="es-HN"/>
              </w:rPr>
              <w:t> </w:t>
            </w:r>
          </w:p>
        </w:tc>
        <w:tc>
          <w:tcPr>
            <w:tcW w:w="908" w:type="dxa"/>
            <w:tcBorders>
              <w:top w:val="nil"/>
              <w:left w:val="nil"/>
              <w:bottom w:val="single" w:sz="4" w:space="0" w:color="auto"/>
              <w:right w:val="single" w:sz="4" w:space="0" w:color="auto"/>
            </w:tcBorders>
            <w:shd w:val="clear" w:color="auto" w:fill="auto"/>
            <w:noWrap/>
            <w:vAlign w:val="center"/>
            <w:hideMark/>
          </w:tcPr>
          <w:p w14:paraId="55C37B8B" w14:textId="77777777" w:rsidR="00083E8E" w:rsidRPr="007C0BE5" w:rsidRDefault="00083E8E" w:rsidP="007C0BE5">
            <w:pPr>
              <w:widowControl/>
              <w:rPr>
                <w:rFonts w:ascii="Times New Roman" w:eastAsia="Times New Roman" w:hAnsi="Times New Roman" w:cs="Times New Roman"/>
                <w:color w:val="000000"/>
                <w:sz w:val="16"/>
                <w:szCs w:val="16"/>
                <w:lang w:eastAsia="es-HN"/>
              </w:rPr>
            </w:pPr>
            <w:r w:rsidRPr="007C0BE5">
              <w:rPr>
                <w:rFonts w:ascii="Times New Roman" w:eastAsia="Times New Roman" w:hAnsi="Times New Roman" w:cs="Times New Roman"/>
                <w:color w:val="000000"/>
                <w:sz w:val="16"/>
                <w:szCs w:val="16"/>
                <w:lang w:eastAsia="es-HN"/>
              </w:rPr>
              <w:t> </w:t>
            </w:r>
          </w:p>
        </w:tc>
        <w:tc>
          <w:tcPr>
            <w:tcW w:w="909" w:type="dxa"/>
            <w:tcBorders>
              <w:top w:val="nil"/>
              <w:left w:val="nil"/>
              <w:bottom w:val="single" w:sz="4" w:space="0" w:color="auto"/>
              <w:right w:val="single" w:sz="4" w:space="0" w:color="auto"/>
            </w:tcBorders>
            <w:shd w:val="clear" w:color="auto" w:fill="auto"/>
            <w:noWrap/>
            <w:vAlign w:val="center"/>
            <w:hideMark/>
          </w:tcPr>
          <w:p w14:paraId="47677769" w14:textId="77777777" w:rsidR="00083E8E" w:rsidRPr="007C0BE5" w:rsidRDefault="00083E8E" w:rsidP="007C0BE5">
            <w:pPr>
              <w:widowControl/>
              <w:rPr>
                <w:rFonts w:ascii="Times New Roman" w:eastAsia="Times New Roman" w:hAnsi="Times New Roman" w:cs="Times New Roman"/>
                <w:color w:val="000000"/>
                <w:sz w:val="16"/>
                <w:szCs w:val="16"/>
                <w:lang w:eastAsia="es-HN"/>
              </w:rPr>
            </w:pPr>
            <w:r w:rsidRPr="007C0BE5">
              <w:rPr>
                <w:rFonts w:ascii="Times New Roman" w:eastAsia="Times New Roman" w:hAnsi="Times New Roman" w:cs="Times New Roman"/>
                <w:color w:val="000000"/>
                <w:sz w:val="16"/>
                <w:szCs w:val="16"/>
                <w:lang w:eastAsia="es-HN"/>
              </w:rPr>
              <w:t> </w:t>
            </w:r>
          </w:p>
        </w:tc>
        <w:tc>
          <w:tcPr>
            <w:tcW w:w="908" w:type="dxa"/>
            <w:tcBorders>
              <w:top w:val="nil"/>
              <w:left w:val="nil"/>
              <w:bottom w:val="single" w:sz="4" w:space="0" w:color="auto"/>
              <w:right w:val="single" w:sz="4" w:space="0" w:color="auto"/>
            </w:tcBorders>
            <w:shd w:val="clear" w:color="auto" w:fill="auto"/>
            <w:noWrap/>
            <w:vAlign w:val="center"/>
            <w:hideMark/>
          </w:tcPr>
          <w:p w14:paraId="675CD0E8" w14:textId="77777777" w:rsidR="00083E8E" w:rsidRPr="007C0BE5" w:rsidRDefault="00083E8E" w:rsidP="007C0BE5">
            <w:pPr>
              <w:widowControl/>
              <w:rPr>
                <w:rFonts w:ascii="Times New Roman" w:eastAsia="Times New Roman" w:hAnsi="Times New Roman" w:cs="Times New Roman"/>
                <w:color w:val="000000"/>
                <w:sz w:val="16"/>
                <w:szCs w:val="16"/>
                <w:lang w:eastAsia="es-HN"/>
              </w:rPr>
            </w:pPr>
            <w:r w:rsidRPr="007C0BE5">
              <w:rPr>
                <w:rFonts w:ascii="Times New Roman" w:eastAsia="Times New Roman" w:hAnsi="Times New Roman" w:cs="Times New Roman"/>
                <w:color w:val="000000"/>
                <w:sz w:val="16"/>
                <w:szCs w:val="16"/>
                <w:lang w:eastAsia="es-HN"/>
              </w:rPr>
              <w:t> </w:t>
            </w:r>
          </w:p>
        </w:tc>
        <w:tc>
          <w:tcPr>
            <w:tcW w:w="908" w:type="dxa"/>
            <w:tcBorders>
              <w:top w:val="nil"/>
              <w:left w:val="nil"/>
              <w:bottom w:val="single" w:sz="4" w:space="0" w:color="auto"/>
              <w:right w:val="single" w:sz="4" w:space="0" w:color="auto"/>
            </w:tcBorders>
            <w:shd w:val="clear" w:color="auto" w:fill="auto"/>
            <w:noWrap/>
            <w:vAlign w:val="center"/>
            <w:hideMark/>
          </w:tcPr>
          <w:p w14:paraId="6EC74558" w14:textId="77777777" w:rsidR="00083E8E" w:rsidRPr="007C0BE5" w:rsidRDefault="00083E8E" w:rsidP="007C0BE5">
            <w:pPr>
              <w:widowControl/>
              <w:rPr>
                <w:rFonts w:ascii="Times New Roman" w:eastAsia="Times New Roman" w:hAnsi="Times New Roman" w:cs="Times New Roman"/>
                <w:color w:val="000000"/>
                <w:sz w:val="16"/>
                <w:szCs w:val="16"/>
                <w:lang w:eastAsia="es-HN"/>
              </w:rPr>
            </w:pPr>
            <w:r w:rsidRPr="007C0BE5">
              <w:rPr>
                <w:rFonts w:ascii="Times New Roman" w:eastAsia="Times New Roman" w:hAnsi="Times New Roman" w:cs="Times New Roman"/>
                <w:color w:val="000000"/>
                <w:sz w:val="16"/>
                <w:szCs w:val="16"/>
                <w:lang w:eastAsia="es-HN"/>
              </w:rPr>
              <w:t> </w:t>
            </w:r>
          </w:p>
        </w:tc>
        <w:tc>
          <w:tcPr>
            <w:tcW w:w="908" w:type="dxa"/>
            <w:tcBorders>
              <w:top w:val="nil"/>
              <w:left w:val="nil"/>
              <w:bottom w:val="single" w:sz="4" w:space="0" w:color="auto"/>
              <w:right w:val="single" w:sz="4" w:space="0" w:color="auto"/>
            </w:tcBorders>
            <w:shd w:val="clear" w:color="auto" w:fill="auto"/>
            <w:noWrap/>
            <w:vAlign w:val="center"/>
            <w:hideMark/>
          </w:tcPr>
          <w:p w14:paraId="6DBC44D7" w14:textId="77777777" w:rsidR="00083E8E" w:rsidRPr="007C0BE5" w:rsidRDefault="00083E8E" w:rsidP="007C0BE5">
            <w:pPr>
              <w:widowControl/>
              <w:rPr>
                <w:rFonts w:ascii="Times New Roman" w:eastAsia="Times New Roman" w:hAnsi="Times New Roman" w:cs="Times New Roman"/>
                <w:color w:val="000000"/>
                <w:sz w:val="16"/>
                <w:szCs w:val="16"/>
                <w:lang w:eastAsia="es-HN"/>
              </w:rPr>
            </w:pPr>
            <w:r w:rsidRPr="007C0BE5">
              <w:rPr>
                <w:rFonts w:ascii="Times New Roman" w:eastAsia="Times New Roman" w:hAnsi="Times New Roman" w:cs="Times New Roman"/>
                <w:color w:val="000000"/>
                <w:sz w:val="16"/>
                <w:szCs w:val="16"/>
                <w:lang w:eastAsia="es-HN"/>
              </w:rPr>
              <w:t> </w:t>
            </w:r>
          </w:p>
        </w:tc>
        <w:tc>
          <w:tcPr>
            <w:tcW w:w="910" w:type="dxa"/>
            <w:tcBorders>
              <w:top w:val="nil"/>
              <w:left w:val="nil"/>
              <w:bottom w:val="single" w:sz="4" w:space="0" w:color="auto"/>
              <w:right w:val="single" w:sz="4" w:space="0" w:color="auto"/>
            </w:tcBorders>
            <w:shd w:val="clear" w:color="auto" w:fill="auto"/>
            <w:noWrap/>
            <w:vAlign w:val="center"/>
            <w:hideMark/>
          </w:tcPr>
          <w:p w14:paraId="6AA9E051" w14:textId="77777777" w:rsidR="00083E8E" w:rsidRPr="007C0BE5" w:rsidRDefault="00083E8E" w:rsidP="007C0BE5">
            <w:pPr>
              <w:widowControl/>
              <w:rPr>
                <w:rFonts w:ascii="Times New Roman" w:eastAsia="Times New Roman" w:hAnsi="Times New Roman" w:cs="Times New Roman"/>
                <w:color w:val="000000"/>
                <w:sz w:val="16"/>
                <w:szCs w:val="16"/>
                <w:lang w:eastAsia="es-HN"/>
              </w:rPr>
            </w:pPr>
            <w:r w:rsidRPr="007C0BE5">
              <w:rPr>
                <w:rFonts w:ascii="Times New Roman" w:eastAsia="Times New Roman" w:hAnsi="Times New Roman" w:cs="Times New Roman"/>
                <w:color w:val="000000"/>
                <w:sz w:val="16"/>
                <w:szCs w:val="16"/>
                <w:lang w:eastAsia="es-HN"/>
              </w:rPr>
              <w:t> </w:t>
            </w:r>
          </w:p>
        </w:tc>
      </w:tr>
      <w:tr w:rsidR="00083E8E" w:rsidRPr="007C0BE5" w14:paraId="1E2573CC" w14:textId="77777777" w:rsidTr="00083E8E">
        <w:trPr>
          <w:trHeight w:val="254"/>
          <w:jc w:val="center"/>
        </w:trPr>
        <w:tc>
          <w:tcPr>
            <w:tcW w:w="256" w:type="dxa"/>
            <w:tcBorders>
              <w:top w:val="nil"/>
              <w:left w:val="single" w:sz="8" w:space="0" w:color="auto"/>
              <w:bottom w:val="single" w:sz="4" w:space="0" w:color="auto"/>
              <w:right w:val="single" w:sz="4" w:space="0" w:color="auto"/>
            </w:tcBorders>
            <w:shd w:val="clear" w:color="auto" w:fill="auto"/>
            <w:noWrap/>
            <w:vAlign w:val="center"/>
            <w:hideMark/>
          </w:tcPr>
          <w:p w14:paraId="03CDDA98" w14:textId="77777777" w:rsidR="00083E8E" w:rsidRPr="007C0BE5" w:rsidRDefault="00083E8E" w:rsidP="009B16C3">
            <w:pPr>
              <w:widowControl/>
              <w:jc w:val="center"/>
              <w:rPr>
                <w:rFonts w:ascii="Times New Roman" w:eastAsia="Times New Roman" w:hAnsi="Times New Roman" w:cs="Times New Roman"/>
                <w:b/>
                <w:bCs/>
                <w:color w:val="000000"/>
                <w:sz w:val="16"/>
                <w:szCs w:val="16"/>
                <w:lang w:eastAsia="es-HN"/>
              </w:rPr>
            </w:pPr>
            <w:r w:rsidRPr="007C0BE5">
              <w:rPr>
                <w:rFonts w:ascii="Times New Roman" w:eastAsia="Times New Roman" w:hAnsi="Times New Roman" w:cs="Times New Roman"/>
                <w:b/>
                <w:bCs/>
                <w:color w:val="000000"/>
                <w:sz w:val="16"/>
                <w:szCs w:val="16"/>
                <w:lang w:eastAsia="es-HN"/>
              </w:rPr>
              <w:t>2</w:t>
            </w:r>
          </w:p>
        </w:tc>
        <w:tc>
          <w:tcPr>
            <w:tcW w:w="1359" w:type="dxa"/>
            <w:tcBorders>
              <w:top w:val="nil"/>
              <w:left w:val="nil"/>
              <w:bottom w:val="single" w:sz="4" w:space="0" w:color="auto"/>
              <w:right w:val="single" w:sz="4" w:space="0" w:color="auto"/>
            </w:tcBorders>
            <w:shd w:val="clear" w:color="auto" w:fill="auto"/>
            <w:vAlign w:val="center"/>
            <w:hideMark/>
          </w:tcPr>
          <w:p w14:paraId="0B47B970" w14:textId="77777777" w:rsidR="00083E8E" w:rsidRPr="007C0BE5" w:rsidRDefault="00083E8E" w:rsidP="009B16C3">
            <w:pPr>
              <w:widowControl/>
              <w:rPr>
                <w:rFonts w:ascii="Times New Roman" w:eastAsia="Times New Roman" w:hAnsi="Times New Roman" w:cs="Times New Roman"/>
                <w:color w:val="000000"/>
                <w:sz w:val="16"/>
                <w:szCs w:val="16"/>
                <w:lang w:eastAsia="es-HN"/>
              </w:rPr>
            </w:pPr>
            <w:r w:rsidRPr="007C0BE5">
              <w:rPr>
                <w:rFonts w:ascii="Times New Roman" w:eastAsia="Times New Roman" w:hAnsi="Times New Roman" w:cs="Times New Roman"/>
                <w:color w:val="000000"/>
                <w:sz w:val="16"/>
                <w:szCs w:val="16"/>
                <w:lang w:eastAsia="es-HN"/>
              </w:rPr>
              <w:t>Solicitud de información para desarrollar la investigación</w:t>
            </w:r>
          </w:p>
        </w:tc>
        <w:tc>
          <w:tcPr>
            <w:tcW w:w="1435" w:type="dxa"/>
            <w:tcBorders>
              <w:top w:val="nil"/>
              <w:left w:val="nil"/>
              <w:bottom w:val="single" w:sz="4" w:space="0" w:color="auto"/>
              <w:right w:val="single" w:sz="4" w:space="0" w:color="auto"/>
            </w:tcBorders>
            <w:shd w:val="clear" w:color="auto" w:fill="auto"/>
            <w:vAlign w:val="center"/>
            <w:hideMark/>
          </w:tcPr>
          <w:p w14:paraId="59A1A459" w14:textId="77777777" w:rsidR="00083E8E" w:rsidRPr="007C0BE5" w:rsidRDefault="00083E8E" w:rsidP="009B16C3">
            <w:pPr>
              <w:widowControl/>
              <w:jc w:val="center"/>
              <w:rPr>
                <w:rFonts w:ascii="Times New Roman" w:eastAsia="Times New Roman" w:hAnsi="Times New Roman" w:cs="Times New Roman"/>
                <w:color w:val="000000"/>
                <w:sz w:val="16"/>
                <w:szCs w:val="16"/>
                <w:lang w:eastAsia="es-HN"/>
              </w:rPr>
            </w:pPr>
            <w:r w:rsidRPr="007C0BE5">
              <w:rPr>
                <w:rFonts w:ascii="Times New Roman" w:eastAsia="Times New Roman" w:hAnsi="Times New Roman" w:cs="Times New Roman"/>
                <w:color w:val="000000"/>
                <w:sz w:val="16"/>
                <w:szCs w:val="16"/>
                <w:lang w:eastAsia="es-HN"/>
              </w:rPr>
              <w:t>Jimmy R. Sánchez / Dania Marín</w:t>
            </w:r>
          </w:p>
        </w:tc>
        <w:tc>
          <w:tcPr>
            <w:tcW w:w="908" w:type="dxa"/>
            <w:tcBorders>
              <w:top w:val="nil"/>
              <w:left w:val="nil"/>
              <w:bottom w:val="single" w:sz="4" w:space="0" w:color="auto"/>
              <w:right w:val="single" w:sz="4" w:space="0" w:color="auto"/>
            </w:tcBorders>
            <w:shd w:val="clear" w:color="auto" w:fill="auto"/>
            <w:noWrap/>
            <w:vAlign w:val="center"/>
            <w:hideMark/>
          </w:tcPr>
          <w:p w14:paraId="292AE00C" w14:textId="77777777" w:rsidR="00083E8E" w:rsidRPr="007C0BE5" w:rsidRDefault="00083E8E" w:rsidP="009B16C3">
            <w:pPr>
              <w:widowControl/>
              <w:rPr>
                <w:rFonts w:ascii="Times New Roman" w:eastAsia="Times New Roman" w:hAnsi="Times New Roman" w:cs="Times New Roman"/>
                <w:color w:val="000000"/>
                <w:sz w:val="16"/>
                <w:szCs w:val="16"/>
                <w:lang w:eastAsia="es-HN"/>
              </w:rPr>
            </w:pPr>
            <w:r w:rsidRPr="007C0BE5">
              <w:rPr>
                <w:rFonts w:ascii="Times New Roman" w:eastAsia="Times New Roman" w:hAnsi="Times New Roman" w:cs="Times New Roman"/>
                <w:color w:val="000000"/>
                <w:sz w:val="16"/>
                <w:szCs w:val="16"/>
                <w:lang w:eastAsia="es-HN"/>
              </w:rPr>
              <w:t> </w:t>
            </w:r>
          </w:p>
        </w:tc>
        <w:tc>
          <w:tcPr>
            <w:tcW w:w="908" w:type="dxa"/>
            <w:tcBorders>
              <w:top w:val="nil"/>
              <w:left w:val="nil"/>
              <w:bottom w:val="single" w:sz="4" w:space="0" w:color="auto"/>
              <w:right w:val="single" w:sz="4" w:space="0" w:color="auto"/>
            </w:tcBorders>
            <w:shd w:val="clear" w:color="000000" w:fill="FF0000"/>
            <w:noWrap/>
            <w:vAlign w:val="center"/>
            <w:hideMark/>
          </w:tcPr>
          <w:p w14:paraId="6CE1ED8B" w14:textId="77777777" w:rsidR="00083E8E" w:rsidRPr="007C0BE5" w:rsidRDefault="00083E8E" w:rsidP="009B16C3">
            <w:pPr>
              <w:widowControl/>
              <w:rPr>
                <w:rFonts w:ascii="Times New Roman" w:eastAsia="Times New Roman" w:hAnsi="Times New Roman" w:cs="Times New Roman"/>
                <w:color w:val="000000"/>
                <w:sz w:val="16"/>
                <w:szCs w:val="16"/>
                <w:lang w:eastAsia="es-HN"/>
              </w:rPr>
            </w:pPr>
            <w:r w:rsidRPr="007C0BE5">
              <w:rPr>
                <w:rFonts w:ascii="Times New Roman" w:eastAsia="Times New Roman" w:hAnsi="Times New Roman" w:cs="Times New Roman"/>
                <w:color w:val="000000"/>
                <w:sz w:val="16"/>
                <w:szCs w:val="16"/>
                <w:lang w:eastAsia="es-HN"/>
              </w:rPr>
              <w:t> </w:t>
            </w:r>
          </w:p>
        </w:tc>
        <w:tc>
          <w:tcPr>
            <w:tcW w:w="909" w:type="dxa"/>
            <w:tcBorders>
              <w:top w:val="nil"/>
              <w:left w:val="nil"/>
              <w:bottom w:val="single" w:sz="4" w:space="0" w:color="auto"/>
              <w:right w:val="single" w:sz="4" w:space="0" w:color="auto"/>
            </w:tcBorders>
            <w:shd w:val="clear" w:color="auto" w:fill="auto"/>
            <w:noWrap/>
            <w:vAlign w:val="center"/>
            <w:hideMark/>
          </w:tcPr>
          <w:p w14:paraId="3262EEC0" w14:textId="77777777" w:rsidR="00083E8E" w:rsidRPr="007C0BE5" w:rsidRDefault="00083E8E" w:rsidP="009B16C3">
            <w:pPr>
              <w:widowControl/>
              <w:rPr>
                <w:rFonts w:ascii="Times New Roman" w:eastAsia="Times New Roman" w:hAnsi="Times New Roman" w:cs="Times New Roman"/>
                <w:color w:val="000000"/>
                <w:sz w:val="16"/>
                <w:szCs w:val="16"/>
                <w:lang w:eastAsia="es-HN"/>
              </w:rPr>
            </w:pPr>
            <w:r w:rsidRPr="007C0BE5">
              <w:rPr>
                <w:rFonts w:ascii="Times New Roman" w:eastAsia="Times New Roman" w:hAnsi="Times New Roman" w:cs="Times New Roman"/>
                <w:color w:val="000000"/>
                <w:sz w:val="16"/>
                <w:szCs w:val="16"/>
                <w:lang w:eastAsia="es-HN"/>
              </w:rPr>
              <w:t> </w:t>
            </w:r>
          </w:p>
        </w:tc>
        <w:tc>
          <w:tcPr>
            <w:tcW w:w="908" w:type="dxa"/>
            <w:tcBorders>
              <w:top w:val="nil"/>
              <w:left w:val="nil"/>
              <w:bottom w:val="single" w:sz="4" w:space="0" w:color="auto"/>
              <w:right w:val="single" w:sz="4" w:space="0" w:color="auto"/>
            </w:tcBorders>
            <w:shd w:val="clear" w:color="auto" w:fill="auto"/>
            <w:noWrap/>
            <w:vAlign w:val="center"/>
            <w:hideMark/>
          </w:tcPr>
          <w:p w14:paraId="186DFBF7" w14:textId="77777777" w:rsidR="00083E8E" w:rsidRPr="007C0BE5" w:rsidRDefault="00083E8E" w:rsidP="009B16C3">
            <w:pPr>
              <w:widowControl/>
              <w:rPr>
                <w:rFonts w:ascii="Times New Roman" w:eastAsia="Times New Roman" w:hAnsi="Times New Roman" w:cs="Times New Roman"/>
                <w:color w:val="000000"/>
                <w:sz w:val="16"/>
                <w:szCs w:val="16"/>
                <w:lang w:eastAsia="es-HN"/>
              </w:rPr>
            </w:pPr>
            <w:r w:rsidRPr="007C0BE5">
              <w:rPr>
                <w:rFonts w:ascii="Times New Roman" w:eastAsia="Times New Roman" w:hAnsi="Times New Roman" w:cs="Times New Roman"/>
                <w:color w:val="000000"/>
                <w:sz w:val="16"/>
                <w:szCs w:val="16"/>
                <w:lang w:eastAsia="es-HN"/>
              </w:rPr>
              <w:t> </w:t>
            </w:r>
          </w:p>
        </w:tc>
        <w:tc>
          <w:tcPr>
            <w:tcW w:w="908" w:type="dxa"/>
            <w:tcBorders>
              <w:top w:val="nil"/>
              <w:left w:val="nil"/>
              <w:bottom w:val="single" w:sz="4" w:space="0" w:color="auto"/>
              <w:right w:val="single" w:sz="4" w:space="0" w:color="auto"/>
            </w:tcBorders>
            <w:shd w:val="clear" w:color="auto" w:fill="auto"/>
            <w:noWrap/>
            <w:vAlign w:val="center"/>
            <w:hideMark/>
          </w:tcPr>
          <w:p w14:paraId="4E67FFC2" w14:textId="77777777" w:rsidR="00083E8E" w:rsidRPr="007C0BE5" w:rsidRDefault="00083E8E" w:rsidP="009B16C3">
            <w:pPr>
              <w:widowControl/>
              <w:rPr>
                <w:rFonts w:ascii="Times New Roman" w:eastAsia="Times New Roman" w:hAnsi="Times New Roman" w:cs="Times New Roman"/>
                <w:color w:val="000000"/>
                <w:sz w:val="16"/>
                <w:szCs w:val="16"/>
                <w:lang w:eastAsia="es-HN"/>
              </w:rPr>
            </w:pPr>
            <w:r w:rsidRPr="007C0BE5">
              <w:rPr>
                <w:rFonts w:ascii="Times New Roman" w:eastAsia="Times New Roman" w:hAnsi="Times New Roman" w:cs="Times New Roman"/>
                <w:color w:val="000000"/>
                <w:sz w:val="16"/>
                <w:szCs w:val="16"/>
                <w:lang w:eastAsia="es-HN"/>
              </w:rPr>
              <w:t> </w:t>
            </w:r>
          </w:p>
        </w:tc>
        <w:tc>
          <w:tcPr>
            <w:tcW w:w="908" w:type="dxa"/>
            <w:tcBorders>
              <w:top w:val="nil"/>
              <w:left w:val="nil"/>
              <w:bottom w:val="single" w:sz="4" w:space="0" w:color="auto"/>
              <w:right w:val="single" w:sz="4" w:space="0" w:color="auto"/>
            </w:tcBorders>
            <w:shd w:val="clear" w:color="auto" w:fill="auto"/>
            <w:noWrap/>
            <w:vAlign w:val="center"/>
            <w:hideMark/>
          </w:tcPr>
          <w:p w14:paraId="06CB84D4" w14:textId="77777777" w:rsidR="00083E8E" w:rsidRPr="007C0BE5" w:rsidRDefault="00083E8E" w:rsidP="009B16C3">
            <w:pPr>
              <w:widowControl/>
              <w:rPr>
                <w:rFonts w:ascii="Times New Roman" w:eastAsia="Times New Roman" w:hAnsi="Times New Roman" w:cs="Times New Roman"/>
                <w:color w:val="000000"/>
                <w:sz w:val="16"/>
                <w:szCs w:val="16"/>
                <w:lang w:eastAsia="es-HN"/>
              </w:rPr>
            </w:pPr>
            <w:r w:rsidRPr="007C0BE5">
              <w:rPr>
                <w:rFonts w:ascii="Times New Roman" w:eastAsia="Times New Roman" w:hAnsi="Times New Roman" w:cs="Times New Roman"/>
                <w:color w:val="000000"/>
                <w:sz w:val="16"/>
                <w:szCs w:val="16"/>
                <w:lang w:eastAsia="es-HN"/>
              </w:rPr>
              <w:t> </w:t>
            </w:r>
          </w:p>
        </w:tc>
        <w:tc>
          <w:tcPr>
            <w:tcW w:w="910" w:type="dxa"/>
            <w:tcBorders>
              <w:top w:val="nil"/>
              <w:left w:val="nil"/>
              <w:bottom w:val="single" w:sz="4" w:space="0" w:color="auto"/>
              <w:right w:val="single" w:sz="4" w:space="0" w:color="auto"/>
            </w:tcBorders>
            <w:shd w:val="clear" w:color="auto" w:fill="auto"/>
            <w:noWrap/>
            <w:vAlign w:val="center"/>
            <w:hideMark/>
          </w:tcPr>
          <w:p w14:paraId="48B37A34" w14:textId="77777777" w:rsidR="00083E8E" w:rsidRPr="007C0BE5" w:rsidRDefault="00083E8E" w:rsidP="009B16C3">
            <w:pPr>
              <w:widowControl/>
              <w:rPr>
                <w:rFonts w:ascii="Times New Roman" w:eastAsia="Times New Roman" w:hAnsi="Times New Roman" w:cs="Times New Roman"/>
                <w:color w:val="000000"/>
                <w:sz w:val="16"/>
                <w:szCs w:val="16"/>
                <w:lang w:eastAsia="es-HN"/>
              </w:rPr>
            </w:pPr>
            <w:r w:rsidRPr="007C0BE5">
              <w:rPr>
                <w:rFonts w:ascii="Times New Roman" w:eastAsia="Times New Roman" w:hAnsi="Times New Roman" w:cs="Times New Roman"/>
                <w:color w:val="000000"/>
                <w:sz w:val="16"/>
                <w:szCs w:val="16"/>
                <w:lang w:eastAsia="es-HN"/>
              </w:rPr>
              <w:t> </w:t>
            </w:r>
          </w:p>
        </w:tc>
      </w:tr>
      <w:tr w:rsidR="00083E8E" w:rsidRPr="007C0BE5" w14:paraId="5E71916E" w14:textId="77777777" w:rsidTr="00083E8E">
        <w:trPr>
          <w:trHeight w:val="254"/>
          <w:jc w:val="center"/>
        </w:trPr>
        <w:tc>
          <w:tcPr>
            <w:tcW w:w="256" w:type="dxa"/>
            <w:tcBorders>
              <w:top w:val="nil"/>
              <w:left w:val="single" w:sz="8" w:space="0" w:color="auto"/>
              <w:bottom w:val="single" w:sz="4" w:space="0" w:color="auto"/>
              <w:right w:val="single" w:sz="4" w:space="0" w:color="auto"/>
            </w:tcBorders>
            <w:shd w:val="clear" w:color="auto" w:fill="auto"/>
            <w:noWrap/>
            <w:vAlign w:val="center"/>
            <w:hideMark/>
          </w:tcPr>
          <w:p w14:paraId="1DD81F2B" w14:textId="77777777" w:rsidR="00083E8E" w:rsidRPr="007C0BE5" w:rsidRDefault="00083E8E" w:rsidP="007C0BE5">
            <w:pPr>
              <w:widowControl/>
              <w:jc w:val="center"/>
              <w:rPr>
                <w:rFonts w:ascii="Times New Roman" w:eastAsia="Times New Roman" w:hAnsi="Times New Roman" w:cs="Times New Roman"/>
                <w:b/>
                <w:bCs/>
                <w:color w:val="000000"/>
                <w:sz w:val="16"/>
                <w:szCs w:val="16"/>
                <w:lang w:eastAsia="es-HN"/>
              </w:rPr>
            </w:pPr>
            <w:r w:rsidRPr="007C0BE5">
              <w:rPr>
                <w:rFonts w:ascii="Times New Roman" w:eastAsia="Times New Roman" w:hAnsi="Times New Roman" w:cs="Times New Roman"/>
                <w:b/>
                <w:bCs/>
                <w:color w:val="000000"/>
                <w:sz w:val="16"/>
                <w:szCs w:val="16"/>
                <w:lang w:eastAsia="es-HN"/>
              </w:rPr>
              <w:t>3</w:t>
            </w:r>
          </w:p>
        </w:tc>
        <w:tc>
          <w:tcPr>
            <w:tcW w:w="1359" w:type="dxa"/>
            <w:tcBorders>
              <w:top w:val="nil"/>
              <w:left w:val="nil"/>
              <w:bottom w:val="single" w:sz="4" w:space="0" w:color="auto"/>
              <w:right w:val="single" w:sz="4" w:space="0" w:color="auto"/>
            </w:tcBorders>
            <w:shd w:val="clear" w:color="auto" w:fill="auto"/>
            <w:vAlign w:val="center"/>
            <w:hideMark/>
          </w:tcPr>
          <w:p w14:paraId="07308818" w14:textId="77777777" w:rsidR="00083E8E" w:rsidRPr="007C0BE5" w:rsidRDefault="00083E8E" w:rsidP="007C0BE5">
            <w:pPr>
              <w:widowControl/>
              <w:rPr>
                <w:rFonts w:ascii="Times New Roman" w:eastAsia="Times New Roman" w:hAnsi="Times New Roman" w:cs="Times New Roman"/>
                <w:color w:val="000000"/>
                <w:sz w:val="16"/>
                <w:szCs w:val="16"/>
                <w:lang w:eastAsia="es-HN"/>
              </w:rPr>
            </w:pPr>
            <w:r w:rsidRPr="007C0BE5">
              <w:rPr>
                <w:rFonts w:ascii="Times New Roman" w:eastAsia="Times New Roman" w:hAnsi="Times New Roman" w:cs="Times New Roman"/>
                <w:color w:val="000000"/>
                <w:sz w:val="16"/>
                <w:szCs w:val="16"/>
                <w:lang w:eastAsia="es-HN"/>
              </w:rPr>
              <w:t>Acceso y Entrega de la información Financiera de la Empresa</w:t>
            </w:r>
          </w:p>
        </w:tc>
        <w:tc>
          <w:tcPr>
            <w:tcW w:w="1435" w:type="dxa"/>
            <w:tcBorders>
              <w:top w:val="nil"/>
              <w:left w:val="nil"/>
              <w:bottom w:val="single" w:sz="4" w:space="0" w:color="auto"/>
              <w:right w:val="single" w:sz="4" w:space="0" w:color="auto"/>
            </w:tcBorders>
            <w:shd w:val="clear" w:color="auto" w:fill="auto"/>
            <w:vAlign w:val="center"/>
            <w:hideMark/>
          </w:tcPr>
          <w:p w14:paraId="6BE1C188" w14:textId="77777777" w:rsidR="00083E8E" w:rsidRPr="007C0BE5" w:rsidRDefault="00083E8E" w:rsidP="007C0BE5">
            <w:pPr>
              <w:widowControl/>
              <w:jc w:val="center"/>
              <w:rPr>
                <w:rFonts w:ascii="Times New Roman" w:eastAsia="Times New Roman" w:hAnsi="Times New Roman" w:cs="Times New Roman"/>
                <w:color w:val="000000"/>
                <w:sz w:val="16"/>
                <w:szCs w:val="16"/>
                <w:lang w:eastAsia="es-HN"/>
              </w:rPr>
            </w:pPr>
            <w:r w:rsidRPr="007C0BE5">
              <w:rPr>
                <w:rFonts w:ascii="Times New Roman" w:eastAsia="Times New Roman" w:hAnsi="Times New Roman" w:cs="Times New Roman"/>
                <w:color w:val="000000"/>
                <w:sz w:val="16"/>
                <w:szCs w:val="16"/>
                <w:lang w:eastAsia="es-HN"/>
              </w:rPr>
              <w:t>Jimmy R. Sánchez / Dania Marín</w:t>
            </w:r>
          </w:p>
        </w:tc>
        <w:tc>
          <w:tcPr>
            <w:tcW w:w="908" w:type="dxa"/>
            <w:tcBorders>
              <w:top w:val="nil"/>
              <w:left w:val="nil"/>
              <w:bottom w:val="single" w:sz="4" w:space="0" w:color="auto"/>
              <w:right w:val="single" w:sz="4" w:space="0" w:color="auto"/>
            </w:tcBorders>
            <w:shd w:val="clear" w:color="auto" w:fill="auto"/>
            <w:noWrap/>
            <w:vAlign w:val="center"/>
            <w:hideMark/>
          </w:tcPr>
          <w:p w14:paraId="4ECA5CD1" w14:textId="77777777" w:rsidR="00083E8E" w:rsidRPr="007C0BE5" w:rsidRDefault="00083E8E" w:rsidP="007C0BE5">
            <w:pPr>
              <w:widowControl/>
              <w:rPr>
                <w:rFonts w:ascii="Times New Roman" w:eastAsia="Times New Roman" w:hAnsi="Times New Roman" w:cs="Times New Roman"/>
                <w:color w:val="000000"/>
                <w:sz w:val="16"/>
                <w:szCs w:val="16"/>
                <w:lang w:eastAsia="es-HN"/>
              </w:rPr>
            </w:pPr>
            <w:r w:rsidRPr="007C0BE5">
              <w:rPr>
                <w:rFonts w:ascii="Times New Roman" w:eastAsia="Times New Roman" w:hAnsi="Times New Roman" w:cs="Times New Roman"/>
                <w:color w:val="000000"/>
                <w:sz w:val="16"/>
                <w:szCs w:val="16"/>
                <w:lang w:eastAsia="es-HN"/>
              </w:rPr>
              <w:t> </w:t>
            </w:r>
          </w:p>
        </w:tc>
        <w:tc>
          <w:tcPr>
            <w:tcW w:w="908" w:type="dxa"/>
            <w:tcBorders>
              <w:top w:val="nil"/>
              <w:left w:val="nil"/>
              <w:bottom w:val="single" w:sz="4" w:space="0" w:color="auto"/>
              <w:right w:val="single" w:sz="4" w:space="0" w:color="auto"/>
            </w:tcBorders>
            <w:shd w:val="clear" w:color="000000" w:fill="FF0000"/>
            <w:noWrap/>
            <w:vAlign w:val="center"/>
            <w:hideMark/>
          </w:tcPr>
          <w:p w14:paraId="445792AB" w14:textId="77777777" w:rsidR="00083E8E" w:rsidRPr="007C0BE5" w:rsidRDefault="00083E8E" w:rsidP="007C0BE5">
            <w:pPr>
              <w:widowControl/>
              <w:rPr>
                <w:rFonts w:ascii="Times New Roman" w:eastAsia="Times New Roman" w:hAnsi="Times New Roman" w:cs="Times New Roman"/>
                <w:color w:val="000000"/>
                <w:sz w:val="16"/>
                <w:szCs w:val="16"/>
                <w:lang w:eastAsia="es-HN"/>
              </w:rPr>
            </w:pPr>
            <w:r w:rsidRPr="007C0BE5">
              <w:rPr>
                <w:rFonts w:ascii="Times New Roman" w:eastAsia="Times New Roman" w:hAnsi="Times New Roman" w:cs="Times New Roman"/>
                <w:color w:val="000000"/>
                <w:sz w:val="16"/>
                <w:szCs w:val="16"/>
                <w:lang w:eastAsia="es-HN"/>
              </w:rPr>
              <w:t> </w:t>
            </w:r>
          </w:p>
        </w:tc>
        <w:tc>
          <w:tcPr>
            <w:tcW w:w="909" w:type="dxa"/>
            <w:tcBorders>
              <w:top w:val="nil"/>
              <w:left w:val="nil"/>
              <w:bottom w:val="single" w:sz="4" w:space="0" w:color="auto"/>
              <w:right w:val="single" w:sz="4" w:space="0" w:color="auto"/>
            </w:tcBorders>
            <w:shd w:val="clear" w:color="auto" w:fill="auto"/>
            <w:noWrap/>
            <w:vAlign w:val="center"/>
            <w:hideMark/>
          </w:tcPr>
          <w:p w14:paraId="6EA294AB" w14:textId="77777777" w:rsidR="00083E8E" w:rsidRPr="007C0BE5" w:rsidRDefault="00083E8E" w:rsidP="007C0BE5">
            <w:pPr>
              <w:widowControl/>
              <w:rPr>
                <w:rFonts w:ascii="Times New Roman" w:eastAsia="Times New Roman" w:hAnsi="Times New Roman" w:cs="Times New Roman"/>
                <w:color w:val="000000"/>
                <w:sz w:val="16"/>
                <w:szCs w:val="16"/>
                <w:lang w:eastAsia="es-HN"/>
              </w:rPr>
            </w:pPr>
            <w:r w:rsidRPr="007C0BE5">
              <w:rPr>
                <w:rFonts w:ascii="Times New Roman" w:eastAsia="Times New Roman" w:hAnsi="Times New Roman" w:cs="Times New Roman"/>
                <w:color w:val="000000"/>
                <w:sz w:val="16"/>
                <w:szCs w:val="16"/>
                <w:lang w:eastAsia="es-HN"/>
              </w:rPr>
              <w:t> </w:t>
            </w:r>
          </w:p>
        </w:tc>
        <w:tc>
          <w:tcPr>
            <w:tcW w:w="908" w:type="dxa"/>
            <w:tcBorders>
              <w:top w:val="nil"/>
              <w:left w:val="nil"/>
              <w:bottom w:val="single" w:sz="4" w:space="0" w:color="auto"/>
              <w:right w:val="single" w:sz="4" w:space="0" w:color="auto"/>
            </w:tcBorders>
            <w:shd w:val="clear" w:color="auto" w:fill="auto"/>
            <w:noWrap/>
            <w:vAlign w:val="center"/>
            <w:hideMark/>
          </w:tcPr>
          <w:p w14:paraId="6E2E4932" w14:textId="77777777" w:rsidR="00083E8E" w:rsidRPr="007C0BE5" w:rsidRDefault="00083E8E" w:rsidP="007C0BE5">
            <w:pPr>
              <w:widowControl/>
              <w:rPr>
                <w:rFonts w:ascii="Times New Roman" w:eastAsia="Times New Roman" w:hAnsi="Times New Roman" w:cs="Times New Roman"/>
                <w:color w:val="000000"/>
                <w:sz w:val="16"/>
                <w:szCs w:val="16"/>
                <w:lang w:eastAsia="es-HN"/>
              </w:rPr>
            </w:pPr>
            <w:r w:rsidRPr="007C0BE5">
              <w:rPr>
                <w:rFonts w:ascii="Times New Roman" w:eastAsia="Times New Roman" w:hAnsi="Times New Roman" w:cs="Times New Roman"/>
                <w:color w:val="000000"/>
                <w:sz w:val="16"/>
                <w:szCs w:val="16"/>
                <w:lang w:eastAsia="es-HN"/>
              </w:rPr>
              <w:t> </w:t>
            </w:r>
          </w:p>
        </w:tc>
        <w:tc>
          <w:tcPr>
            <w:tcW w:w="908" w:type="dxa"/>
            <w:tcBorders>
              <w:top w:val="nil"/>
              <w:left w:val="nil"/>
              <w:bottom w:val="single" w:sz="4" w:space="0" w:color="auto"/>
              <w:right w:val="single" w:sz="4" w:space="0" w:color="auto"/>
            </w:tcBorders>
            <w:shd w:val="clear" w:color="auto" w:fill="auto"/>
            <w:noWrap/>
            <w:vAlign w:val="center"/>
            <w:hideMark/>
          </w:tcPr>
          <w:p w14:paraId="00BB04B8" w14:textId="77777777" w:rsidR="00083E8E" w:rsidRPr="007C0BE5" w:rsidRDefault="00083E8E" w:rsidP="007C0BE5">
            <w:pPr>
              <w:widowControl/>
              <w:rPr>
                <w:rFonts w:ascii="Times New Roman" w:eastAsia="Times New Roman" w:hAnsi="Times New Roman" w:cs="Times New Roman"/>
                <w:color w:val="000000"/>
                <w:sz w:val="16"/>
                <w:szCs w:val="16"/>
                <w:lang w:eastAsia="es-HN"/>
              </w:rPr>
            </w:pPr>
            <w:r w:rsidRPr="007C0BE5">
              <w:rPr>
                <w:rFonts w:ascii="Times New Roman" w:eastAsia="Times New Roman" w:hAnsi="Times New Roman" w:cs="Times New Roman"/>
                <w:color w:val="000000"/>
                <w:sz w:val="16"/>
                <w:szCs w:val="16"/>
                <w:lang w:eastAsia="es-HN"/>
              </w:rPr>
              <w:t> </w:t>
            </w:r>
          </w:p>
        </w:tc>
        <w:tc>
          <w:tcPr>
            <w:tcW w:w="908" w:type="dxa"/>
            <w:tcBorders>
              <w:top w:val="nil"/>
              <w:left w:val="nil"/>
              <w:bottom w:val="single" w:sz="4" w:space="0" w:color="auto"/>
              <w:right w:val="single" w:sz="4" w:space="0" w:color="auto"/>
            </w:tcBorders>
            <w:shd w:val="clear" w:color="auto" w:fill="auto"/>
            <w:noWrap/>
            <w:vAlign w:val="center"/>
            <w:hideMark/>
          </w:tcPr>
          <w:p w14:paraId="21B0BC92" w14:textId="77777777" w:rsidR="00083E8E" w:rsidRPr="007C0BE5" w:rsidRDefault="00083E8E" w:rsidP="007C0BE5">
            <w:pPr>
              <w:widowControl/>
              <w:rPr>
                <w:rFonts w:ascii="Times New Roman" w:eastAsia="Times New Roman" w:hAnsi="Times New Roman" w:cs="Times New Roman"/>
                <w:color w:val="000000"/>
                <w:sz w:val="16"/>
                <w:szCs w:val="16"/>
                <w:lang w:eastAsia="es-HN"/>
              </w:rPr>
            </w:pPr>
            <w:r w:rsidRPr="007C0BE5">
              <w:rPr>
                <w:rFonts w:ascii="Times New Roman" w:eastAsia="Times New Roman" w:hAnsi="Times New Roman" w:cs="Times New Roman"/>
                <w:color w:val="000000"/>
                <w:sz w:val="16"/>
                <w:szCs w:val="16"/>
                <w:lang w:eastAsia="es-HN"/>
              </w:rPr>
              <w:t> </w:t>
            </w:r>
          </w:p>
        </w:tc>
        <w:tc>
          <w:tcPr>
            <w:tcW w:w="910" w:type="dxa"/>
            <w:tcBorders>
              <w:top w:val="nil"/>
              <w:left w:val="nil"/>
              <w:bottom w:val="single" w:sz="4" w:space="0" w:color="auto"/>
              <w:right w:val="single" w:sz="4" w:space="0" w:color="auto"/>
            </w:tcBorders>
            <w:shd w:val="clear" w:color="auto" w:fill="auto"/>
            <w:noWrap/>
            <w:vAlign w:val="center"/>
            <w:hideMark/>
          </w:tcPr>
          <w:p w14:paraId="143EE996" w14:textId="77777777" w:rsidR="00083E8E" w:rsidRPr="007C0BE5" w:rsidRDefault="00083E8E" w:rsidP="007C0BE5">
            <w:pPr>
              <w:widowControl/>
              <w:rPr>
                <w:rFonts w:ascii="Times New Roman" w:eastAsia="Times New Roman" w:hAnsi="Times New Roman" w:cs="Times New Roman"/>
                <w:color w:val="000000"/>
                <w:sz w:val="16"/>
                <w:szCs w:val="16"/>
                <w:lang w:eastAsia="es-HN"/>
              </w:rPr>
            </w:pPr>
            <w:r w:rsidRPr="007C0BE5">
              <w:rPr>
                <w:rFonts w:ascii="Times New Roman" w:eastAsia="Times New Roman" w:hAnsi="Times New Roman" w:cs="Times New Roman"/>
                <w:color w:val="000000"/>
                <w:sz w:val="16"/>
                <w:szCs w:val="16"/>
                <w:lang w:eastAsia="es-HN"/>
              </w:rPr>
              <w:t> </w:t>
            </w:r>
          </w:p>
        </w:tc>
      </w:tr>
      <w:tr w:rsidR="00083E8E" w:rsidRPr="007C0BE5" w14:paraId="7AC048BA" w14:textId="77777777" w:rsidTr="00083E8E">
        <w:trPr>
          <w:trHeight w:val="254"/>
          <w:jc w:val="center"/>
        </w:trPr>
        <w:tc>
          <w:tcPr>
            <w:tcW w:w="256" w:type="dxa"/>
            <w:tcBorders>
              <w:top w:val="nil"/>
              <w:left w:val="single" w:sz="8" w:space="0" w:color="auto"/>
              <w:bottom w:val="single" w:sz="4" w:space="0" w:color="auto"/>
              <w:right w:val="single" w:sz="4" w:space="0" w:color="auto"/>
            </w:tcBorders>
            <w:shd w:val="clear" w:color="auto" w:fill="auto"/>
            <w:noWrap/>
            <w:vAlign w:val="center"/>
            <w:hideMark/>
          </w:tcPr>
          <w:p w14:paraId="45E524E4" w14:textId="77777777" w:rsidR="00083E8E" w:rsidRPr="007C0BE5" w:rsidRDefault="00083E8E" w:rsidP="007C0BE5">
            <w:pPr>
              <w:widowControl/>
              <w:jc w:val="center"/>
              <w:rPr>
                <w:rFonts w:ascii="Times New Roman" w:eastAsia="Times New Roman" w:hAnsi="Times New Roman" w:cs="Times New Roman"/>
                <w:b/>
                <w:bCs/>
                <w:color w:val="000000"/>
                <w:sz w:val="16"/>
                <w:szCs w:val="16"/>
                <w:lang w:eastAsia="es-HN"/>
              </w:rPr>
            </w:pPr>
            <w:r w:rsidRPr="007C0BE5">
              <w:rPr>
                <w:rFonts w:ascii="Times New Roman" w:eastAsia="Times New Roman" w:hAnsi="Times New Roman" w:cs="Times New Roman"/>
                <w:b/>
                <w:bCs/>
                <w:color w:val="000000"/>
                <w:sz w:val="16"/>
                <w:szCs w:val="16"/>
                <w:lang w:eastAsia="es-HN"/>
              </w:rPr>
              <w:t>4</w:t>
            </w:r>
          </w:p>
        </w:tc>
        <w:tc>
          <w:tcPr>
            <w:tcW w:w="1359" w:type="dxa"/>
            <w:tcBorders>
              <w:top w:val="nil"/>
              <w:left w:val="nil"/>
              <w:bottom w:val="single" w:sz="4" w:space="0" w:color="auto"/>
              <w:right w:val="single" w:sz="4" w:space="0" w:color="auto"/>
            </w:tcBorders>
            <w:shd w:val="clear" w:color="auto" w:fill="auto"/>
            <w:vAlign w:val="center"/>
            <w:hideMark/>
          </w:tcPr>
          <w:p w14:paraId="02C5294E" w14:textId="77777777" w:rsidR="00083E8E" w:rsidRPr="007C0BE5" w:rsidRDefault="00083E8E" w:rsidP="007C0BE5">
            <w:pPr>
              <w:widowControl/>
              <w:rPr>
                <w:rFonts w:ascii="Times New Roman" w:eastAsia="Times New Roman" w:hAnsi="Times New Roman" w:cs="Times New Roman"/>
                <w:color w:val="000000"/>
                <w:sz w:val="16"/>
                <w:szCs w:val="16"/>
                <w:lang w:eastAsia="es-HN"/>
              </w:rPr>
            </w:pPr>
            <w:r w:rsidRPr="007C0BE5">
              <w:rPr>
                <w:rFonts w:ascii="Times New Roman" w:eastAsia="Times New Roman" w:hAnsi="Times New Roman" w:cs="Times New Roman"/>
                <w:color w:val="000000"/>
                <w:sz w:val="16"/>
                <w:szCs w:val="16"/>
                <w:lang w:eastAsia="es-HN"/>
              </w:rPr>
              <w:t>Validación de Preguntas de la entrevista con Experto</w:t>
            </w:r>
          </w:p>
        </w:tc>
        <w:tc>
          <w:tcPr>
            <w:tcW w:w="1435" w:type="dxa"/>
            <w:tcBorders>
              <w:top w:val="nil"/>
              <w:left w:val="nil"/>
              <w:bottom w:val="single" w:sz="4" w:space="0" w:color="auto"/>
              <w:right w:val="single" w:sz="4" w:space="0" w:color="auto"/>
            </w:tcBorders>
            <w:shd w:val="clear" w:color="auto" w:fill="auto"/>
            <w:vAlign w:val="center"/>
            <w:hideMark/>
          </w:tcPr>
          <w:p w14:paraId="60CE4D15" w14:textId="77777777" w:rsidR="00083E8E" w:rsidRPr="007C0BE5" w:rsidRDefault="00083E8E" w:rsidP="007C0BE5">
            <w:pPr>
              <w:widowControl/>
              <w:jc w:val="center"/>
              <w:rPr>
                <w:rFonts w:ascii="Times New Roman" w:eastAsia="Times New Roman" w:hAnsi="Times New Roman" w:cs="Times New Roman"/>
                <w:color w:val="000000"/>
                <w:sz w:val="16"/>
                <w:szCs w:val="16"/>
                <w:lang w:eastAsia="es-HN"/>
              </w:rPr>
            </w:pPr>
            <w:r w:rsidRPr="007C0BE5">
              <w:rPr>
                <w:rFonts w:ascii="Times New Roman" w:eastAsia="Times New Roman" w:hAnsi="Times New Roman" w:cs="Times New Roman"/>
                <w:color w:val="000000"/>
                <w:sz w:val="16"/>
                <w:szCs w:val="16"/>
                <w:lang w:eastAsia="es-HN"/>
              </w:rPr>
              <w:t>Jimmy R. Sánchez / Dania Marín</w:t>
            </w:r>
          </w:p>
        </w:tc>
        <w:tc>
          <w:tcPr>
            <w:tcW w:w="908" w:type="dxa"/>
            <w:tcBorders>
              <w:top w:val="nil"/>
              <w:left w:val="nil"/>
              <w:bottom w:val="single" w:sz="4" w:space="0" w:color="auto"/>
              <w:right w:val="single" w:sz="4" w:space="0" w:color="auto"/>
            </w:tcBorders>
            <w:shd w:val="clear" w:color="000000" w:fill="FF0000"/>
            <w:noWrap/>
            <w:vAlign w:val="center"/>
            <w:hideMark/>
          </w:tcPr>
          <w:p w14:paraId="656FFDDD" w14:textId="77777777" w:rsidR="00083E8E" w:rsidRPr="007C0BE5" w:rsidRDefault="00083E8E" w:rsidP="007C0BE5">
            <w:pPr>
              <w:widowControl/>
              <w:rPr>
                <w:rFonts w:ascii="Times New Roman" w:eastAsia="Times New Roman" w:hAnsi="Times New Roman" w:cs="Times New Roman"/>
                <w:color w:val="000000"/>
                <w:sz w:val="16"/>
                <w:szCs w:val="16"/>
                <w:lang w:eastAsia="es-HN"/>
              </w:rPr>
            </w:pPr>
            <w:r w:rsidRPr="007C0BE5">
              <w:rPr>
                <w:rFonts w:ascii="Times New Roman" w:eastAsia="Times New Roman" w:hAnsi="Times New Roman" w:cs="Times New Roman"/>
                <w:color w:val="000000"/>
                <w:sz w:val="16"/>
                <w:szCs w:val="16"/>
                <w:lang w:eastAsia="es-HN"/>
              </w:rPr>
              <w:t> </w:t>
            </w:r>
          </w:p>
        </w:tc>
        <w:tc>
          <w:tcPr>
            <w:tcW w:w="908" w:type="dxa"/>
            <w:tcBorders>
              <w:top w:val="nil"/>
              <w:left w:val="nil"/>
              <w:bottom w:val="single" w:sz="4" w:space="0" w:color="auto"/>
              <w:right w:val="single" w:sz="4" w:space="0" w:color="auto"/>
            </w:tcBorders>
            <w:shd w:val="clear" w:color="000000" w:fill="FF0000"/>
            <w:noWrap/>
            <w:vAlign w:val="center"/>
            <w:hideMark/>
          </w:tcPr>
          <w:p w14:paraId="146AF2F6" w14:textId="77777777" w:rsidR="00083E8E" w:rsidRPr="007C0BE5" w:rsidRDefault="00083E8E" w:rsidP="007C0BE5">
            <w:pPr>
              <w:widowControl/>
              <w:rPr>
                <w:rFonts w:ascii="Times New Roman" w:eastAsia="Times New Roman" w:hAnsi="Times New Roman" w:cs="Times New Roman"/>
                <w:color w:val="000000"/>
                <w:sz w:val="16"/>
                <w:szCs w:val="16"/>
                <w:lang w:eastAsia="es-HN"/>
              </w:rPr>
            </w:pPr>
            <w:r w:rsidRPr="007C0BE5">
              <w:rPr>
                <w:rFonts w:ascii="Times New Roman" w:eastAsia="Times New Roman" w:hAnsi="Times New Roman" w:cs="Times New Roman"/>
                <w:color w:val="000000"/>
                <w:sz w:val="16"/>
                <w:szCs w:val="16"/>
                <w:lang w:eastAsia="es-HN"/>
              </w:rPr>
              <w:t> </w:t>
            </w:r>
          </w:p>
        </w:tc>
        <w:tc>
          <w:tcPr>
            <w:tcW w:w="909" w:type="dxa"/>
            <w:tcBorders>
              <w:top w:val="nil"/>
              <w:left w:val="nil"/>
              <w:bottom w:val="single" w:sz="4" w:space="0" w:color="auto"/>
              <w:right w:val="single" w:sz="4" w:space="0" w:color="auto"/>
            </w:tcBorders>
            <w:shd w:val="clear" w:color="000000" w:fill="FF0000"/>
            <w:noWrap/>
            <w:vAlign w:val="center"/>
            <w:hideMark/>
          </w:tcPr>
          <w:p w14:paraId="65F77B84" w14:textId="77777777" w:rsidR="00083E8E" w:rsidRPr="007C0BE5" w:rsidRDefault="00083E8E" w:rsidP="007C0BE5">
            <w:pPr>
              <w:widowControl/>
              <w:rPr>
                <w:rFonts w:ascii="Times New Roman" w:eastAsia="Times New Roman" w:hAnsi="Times New Roman" w:cs="Times New Roman"/>
                <w:color w:val="000000"/>
                <w:sz w:val="16"/>
                <w:szCs w:val="16"/>
                <w:lang w:eastAsia="es-HN"/>
              </w:rPr>
            </w:pPr>
            <w:r w:rsidRPr="007C0BE5">
              <w:rPr>
                <w:rFonts w:ascii="Times New Roman" w:eastAsia="Times New Roman" w:hAnsi="Times New Roman" w:cs="Times New Roman"/>
                <w:color w:val="000000"/>
                <w:sz w:val="16"/>
                <w:szCs w:val="16"/>
                <w:lang w:eastAsia="es-HN"/>
              </w:rPr>
              <w:t> </w:t>
            </w:r>
          </w:p>
        </w:tc>
        <w:tc>
          <w:tcPr>
            <w:tcW w:w="908" w:type="dxa"/>
            <w:tcBorders>
              <w:top w:val="nil"/>
              <w:left w:val="nil"/>
              <w:bottom w:val="single" w:sz="4" w:space="0" w:color="auto"/>
              <w:right w:val="single" w:sz="4" w:space="0" w:color="auto"/>
            </w:tcBorders>
            <w:shd w:val="clear" w:color="auto" w:fill="auto"/>
            <w:noWrap/>
            <w:vAlign w:val="center"/>
            <w:hideMark/>
          </w:tcPr>
          <w:p w14:paraId="624A60FA" w14:textId="77777777" w:rsidR="00083E8E" w:rsidRPr="007C0BE5" w:rsidRDefault="00083E8E" w:rsidP="007C0BE5">
            <w:pPr>
              <w:widowControl/>
              <w:rPr>
                <w:rFonts w:ascii="Times New Roman" w:eastAsia="Times New Roman" w:hAnsi="Times New Roman" w:cs="Times New Roman"/>
                <w:color w:val="000000"/>
                <w:sz w:val="16"/>
                <w:szCs w:val="16"/>
                <w:lang w:eastAsia="es-HN"/>
              </w:rPr>
            </w:pPr>
            <w:r w:rsidRPr="007C0BE5">
              <w:rPr>
                <w:rFonts w:ascii="Times New Roman" w:eastAsia="Times New Roman" w:hAnsi="Times New Roman" w:cs="Times New Roman"/>
                <w:color w:val="000000"/>
                <w:sz w:val="16"/>
                <w:szCs w:val="16"/>
                <w:lang w:eastAsia="es-HN"/>
              </w:rPr>
              <w:t> </w:t>
            </w:r>
          </w:p>
        </w:tc>
        <w:tc>
          <w:tcPr>
            <w:tcW w:w="908" w:type="dxa"/>
            <w:tcBorders>
              <w:top w:val="nil"/>
              <w:left w:val="nil"/>
              <w:bottom w:val="single" w:sz="4" w:space="0" w:color="auto"/>
              <w:right w:val="single" w:sz="4" w:space="0" w:color="auto"/>
            </w:tcBorders>
            <w:shd w:val="clear" w:color="auto" w:fill="auto"/>
            <w:noWrap/>
            <w:vAlign w:val="center"/>
            <w:hideMark/>
          </w:tcPr>
          <w:p w14:paraId="5A77317B" w14:textId="77777777" w:rsidR="00083E8E" w:rsidRPr="007C0BE5" w:rsidRDefault="00083E8E" w:rsidP="007C0BE5">
            <w:pPr>
              <w:widowControl/>
              <w:rPr>
                <w:rFonts w:ascii="Times New Roman" w:eastAsia="Times New Roman" w:hAnsi="Times New Roman" w:cs="Times New Roman"/>
                <w:color w:val="000000"/>
                <w:sz w:val="16"/>
                <w:szCs w:val="16"/>
                <w:lang w:eastAsia="es-HN"/>
              </w:rPr>
            </w:pPr>
            <w:r w:rsidRPr="007C0BE5">
              <w:rPr>
                <w:rFonts w:ascii="Times New Roman" w:eastAsia="Times New Roman" w:hAnsi="Times New Roman" w:cs="Times New Roman"/>
                <w:color w:val="000000"/>
                <w:sz w:val="16"/>
                <w:szCs w:val="16"/>
                <w:lang w:eastAsia="es-HN"/>
              </w:rPr>
              <w:t> </w:t>
            </w:r>
          </w:p>
        </w:tc>
        <w:tc>
          <w:tcPr>
            <w:tcW w:w="908" w:type="dxa"/>
            <w:tcBorders>
              <w:top w:val="nil"/>
              <w:left w:val="nil"/>
              <w:bottom w:val="single" w:sz="4" w:space="0" w:color="auto"/>
              <w:right w:val="single" w:sz="4" w:space="0" w:color="auto"/>
            </w:tcBorders>
            <w:shd w:val="clear" w:color="auto" w:fill="auto"/>
            <w:noWrap/>
            <w:vAlign w:val="center"/>
            <w:hideMark/>
          </w:tcPr>
          <w:p w14:paraId="29B233A5" w14:textId="77777777" w:rsidR="00083E8E" w:rsidRPr="007C0BE5" w:rsidRDefault="00083E8E" w:rsidP="007C0BE5">
            <w:pPr>
              <w:widowControl/>
              <w:rPr>
                <w:rFonts w:ascii="Times New Roman" w:eastAsia="Times New Roman" w:hAnsi="Times New Roman" w:cs="Times New Roman"/>
                <w:color w:val="000000"/>
                <w:sz w:val="16"/>
                <w:szCs w:val="16"/>
                <w:lang w:eastAsia="es-HN"/>
              </w:rPr>
            </w:pPr>
            <w:r w:rsidRPr="007C0BE5">
              <w:rPr>
                <w:rFonts w:ascii="Times New Roman" w:eastAsia="Times New Roman" w:hAnsi="Times New Roman" w:cs="Times New Roman"/>
                <w:color w:val="000000"/>
                <w:sz w:val="16"/>
                <w:szCs w:val="16"/>
                <w:lang w:eastAsia="es-HN"/>
              </w:rPr>
              <w:t> </w:t>
            </w:r>
          </w:p>
        </w:tc>
        <w:tc>
          <w:tcPr>
            <w:tcW w:w="910" w:type="dxa"/>
            <w:tcBorders>
              <w:top w:val="nil"/>
              <w:left w:val="nil"/>
              <w:bottom w:val="single" w:sz="4" w:space="0" w:color="auto"/>
              <w:right w:val="single" w:sz="4" w:space="0" w:color="auto"/>
            </w:tcBorders>
            <w:shd w:val="clear" w:color="auto" w:fill="auto"/>
            <w:noWrap/>
            <w:vAlign w:val="center"/>
            <w:hideMark/>
          </w:tcPr>
          <w:p w14:paraId="3474135D" w14:textId="77777777" w:rsidR="00083E8E" w:rsidRPr="007C0BE5" w:rsidRDefault="00083E8E" w:rsidP="007C0BE5">
            <w:pPr>
              <w:widowControl/>
              <w:rPr>
                <w:rFonts w:ascii="Times New Roman" w:eastAsia="Times New Roman" w:hAnsi="Times New Roman" w:cs="Times New Roman"/>
                <w:color w:val="000000"/>
                <w:sz w:val="16"/>
                <w:szCs w:val="16"/>
                <w:lang w:eastAsia="es-HN"/>
              </w:rPr>
            </w:pPr>
            <w:r w:rsidRPr="007C0BE5">
              <w:rPr>
                <w:rFonts w:ascii="Times New Roman" w:eastAsia="Times New Roman" w:hAnsi="Times New Roman" w:cs="Times New Roman"/>
                <w:color w:val="000000"/>
                <w:sz w:val="16"/>
                <w:szCs w:val="16"/>
                <w:lang w:eastAsia="es-HN"/>
              </w:rPr>
              <w:t> </w:t>
            </w:r>
          </w:p>
        </w:tc>
      </w:tr>
      <w:tr w:rsidR="00083E8E" w:rsidRPr="007C0BE5" w14:paraId="66E14830" w14:textId="77777777" w:rsidTr="00083E8E">
        <w:trPr>
          <w:trHeight w:val="247"/>
          <w:jc w:val="center"/>
        </w:trPr>
        <w:tc>
          <w:tcPr>
            <w:tcW w:w="256" w:type="dxa"/>
            <w:tcBorders>
              <w:top w:val="nil"/>
              <w:left w:val="single" w:sz="8" w:space="0" w:color="auto"/>
              <w:bottom w:val="single" w:sz="4" w:space="0" w:color="auto"/>
              <w:right w:val="single" w:sz="4" w:space="0" w:color="auto"/>
            </w:tcBorders>
            <w:shd w:val="clear" w:color="auto" w:fill="auto"/>
            <w:noWrap/>
            <w:vAlign w:val="center"/>
            <w:hideMark/>
          </w:tcPr>
          <w:p w14:paraId="3DB2FD6F" w14:textId="77777777" w:rsidR="00083E8E" w:rsidRPr="007C0BE5" w:rsidRDefault="00083E8E" w:rsidP="007C0BE5">
            <w:pPr>
              <w:widowControl/>
              <w:jc w:val="center"/>
              <w:rPr>
                <w:rFonts w:ascii="Times New Roman" w:eastAsia="Times New Roman" w:hAnsi="Times New Roman" w:cs="Times New Roman"/>
                <w:b/>
                <w:bCs/>
                <w:color w:val="000000"/>
                <w:sz w:val="16"/>
                <w:szCs w:val="16"/>
                <w:lang w:eastAsia="es-HN"/>
              </w:rPr>
            </w:pPr>
            <w:r w:rsidRPr="007C0BE5">
              <w:rPr>
                <w:rFonts w:ascii="Times New Roman" w:eastAsia="Times New Roman" w:hAnsi="Times New Roman" w:cs="Times New Roman"/>
                <w:b/>
                <w:bCs/>
                <w:color w:val="000000"/>
                <w:sz w:val="16"/>
                <w:szCs w:val="16"/>
                <w:lang w:eastAsia="es-HN"/>
              </w:rPr>
              <w:t>5</w:t>
            </w:r>
          </w:p>
        </w:tc>
        <w:tc>
          <w:tcPr>
            <w:tcW w:w="1359" w:type="dxa"/>
            <w:tcBorders>
              <w:top w:val="nil"/>
              <w:left w:val="nil"/>
              <w:bottom w:val="single" w:sz="4" w:space="0" w:color="auto"/>
              <w:right w:val="single" w:sz="4" w:space="0" w:color="auto"/>
            </w:tcBorders>
            <w:shd w:val="clear" w:color="auto" w:fill="auto"/>
            <w:vAlign w:val="center"/>
            <w:hideMark/>
          </w:tcPr>
          <w:p w14:paraId="16B15A87" w14:textId="77777777" w:rsidR="00083E8E" w:rsidRPr="007C0BE5" w:rsidRDefault="00083E8E" w:rsidP="007C0BE5">
            <w:pPr>
              <w:widowControl/>
              <w:rPr>
                <w:rFonts w:ascii="Times New Roman" w:eastAsia="Times New Roman" w:hAnsi="Times New Roman" w:cs="Times New Roman"/>
                <w:color w:val="000000"/>
                <w:sz w:val="16"/>
                <w:szCs w:val="16"/>
                <w:lang w:eastAsia="es-HN"/>
              </w:rPr>
            </w:pPr>
            <w:r w:rsidRPr="007C0BE5">
              <w:rPr>
                <w:rFonts w:ascii="Times New Roman" w:eastAsia="Times New Roman" w:hAnsi="Times New Roman" w:cs="Times New Roman"/>
                <w:color w:val="000000"/>
                <w:sz w:val="16"/>
                <w:szCs w:val="16"/>
                <w:lang w:eastAsia="es-HN"/>
              </w:rPr>
              <w:t>Realización de Entrevista a los Gerentes</w:t>
            </w:r>
          </w:p>
        </w:tc>
        <w:tc>
          <w:tcPr>
            <w:tcW w:w="1435" w:type="dxa"/>
            <w:tcBorders>
              <w:top w:val="nil"/>
              <w:left w:val="nil"/>
              <w:bottom w:val="single" w:sz="4" w:space="0" w:color="auto"/>
              <w:right w:val="single" w:sz="4" w:space="0" w:color="auto"/>
            </w:tcBorders>
            <w:shd w:val="clear" w:color="auto" w:fill="auto"/>
            <w:vAlign w:val="center"/>
            <w:hideMark/>
          </w:tcPr>
          <w:p w14:paraId="2CEAA04C" w14:textId="77777777" w:rsidR="00083E8E" w:rsidRPr="007C0BE5" w:rsidRDefault="00083E8E" w:rsidP="007C0BE5">
            <w:pPr>
              <w:widowControl/>
              <w:jc w:val="center"/>
              <w:rPr>
                <w:rFonts w:ascii="Times New Roman" w:eastAsia="Times New Roman" w:hAnsi="Times New Roman" w:cs="Times New Roman"/>
                <w:color w:val="000000"/>
                <w:sz w:val="16"/>
                <w:szCs w:val="16"/>
                <w:lang w:eastAsia="es-HN"/>
              </w:rPr>
            </w:pPr>
            <w:r w:rsidRPr="007C0BE5">
              <w:rPr>
                <w:rFonts w:ascii="Times New Roman" w:eastAsia="Times New Roman" w:hAnsi="Times New Roman" w:cs="Times New Roman"/>
                <w:color w:val="000000"/>
                <w:sz w:val="16"/>
                <w:szCs w:val="16"/>
                <w:lang w:eastAsia="es-HN"/>
              </w:rPr>
              <w:t>Dania Marín</w:t>
            </w:r>
          </w:p>
        </w:tc>
        <w:tc>
          <w:tcPr>
            <w:tcW w:w="908" w:type="dxa"/>
            <w:tcBorders>
              <w:top w:val="nil"/>
              <w:left w:val="nil"/>
              <w:bottom w:val="single" w:sz="4" w:space="0" w:color="auto"/>
              <w:right w:val="single" w:sz="4" w:space="0" w:color="auto"/>
            </w:tcBorders>
            <w:shd w:val="clear" w:color="auto" w:fill="auto"/>
            <w:noWrap/>
            <w:vAlign w:val="center"/>
            <w:hideMark/>
          </w:tcPr>
          <w:p w14:paraId="40144060" w14:textId="77777777" w:rsidR="00083E8E" w:rsidRPr="007C0BE5" w:rsidRDefault="00083E8E" w:rsidP="007C0BE5">
            <w:pPr>
              <w:widowControl/>
              <w:rPr>
                <w:rFonts w:ascii="Times New Roman" w:eastAsia="Times New Roman" w:hAnsi="Times New Roman" w:cs="Times New Roman"/>
                <w:color w:val="000000"/>
                <w:sz w:val="16"/>
                <w:szCs w:val="16"/>
                <w:lang w:eastAsia="es-HN"/>
              </w:rPr>
            </w:pPr>
            <w:r w:rsidRPr="007C0BE5">
              <w:rPr>
                <w:rFonts w:ascii="Times New Roman" w:eastAsia="Times New Roman" w:hAnsi="Times New Roman" w:cs="Times New Roman"/>
                <w:color w:val="000000"/>
                <w:sz w:val="16"/>
                <w:szCs w:val="16"/>
                <w:lang w:eastAsia="es-HN"/>
              </w:rPr>
              <w:t> </w:t>
            </w:r>
          </w:p>
        </w:tc>
        <w:tc>
          <w:tcPr>
            <w:tcW w:w="908" w:type="dxa"/>
            <w:tcBorders>
              <w:top w:val="nil"/>
              <w:left w:val="nil"/>
              <w:bottom w:val="single" w:sz="4" w:space="0" w:color="auto"/>
              <w:right w:val="single" w:sz="4" w:space="0" w:color="auto"/>
            </w:tcBorders>
            <w:shd w:val="clear" w:color="auto" w:fill="auto"/>
            <w:noWrap/>
            <w:vAlign w:val="center"/>
            <w:hideMark/>
          </w:tcPr>
          <w:p w14:paraId="63F688A0" w14:textId="77777777" w:rsidR="00083E8E" w:rsidRPr="007C0BE5" w:rsidRDefault="00083E8E" w:rsidP="007C0BE5">
            <w:pPr>
              <w:widowControl/>
              <w:rPr>
                <w:rFonts w:ascii="Times New Roman" w:eastAsia="Times New Roman" w:hAnsi="Times New Roman" w:cs="Times New Roman"/>
                <w:color w:val="000000"/>
                <w:sz w:val="16"/>
                <w:szCs w:val="16"/>
                <w:lang w:eastAsia="es-HN"/>
              </w:rPr>
            </w:pPr>
            <w:r w:rsidRPr="007C0BE5">
              <w:rPr>
                <w:rFonts w:ascii="Times New Roman" w:eastAsia="Times New Roman" w:hAnsi="Times New Roman" w:cs="Times New Roman"/>
                <w:color w:val="000000"/>
                <w:sz w:val="16"/>
                <w:szCs w:val="16"/>
                <w:lang w:eastAsia="es-HN"/>
              </w:rPr>
              <w:t> </w:t>
            </w:r>
          </w:p>
        </w:tc>
        <w:tc>
          <w:tcPr>
            <w:tcW w:w="909" w:type="dxa"/>
            <w:tcBorders>
              <w:top w:val="nil"/>
              <w:left w:val="nil"/>
              <w:bottom w:val="single" w:sz="4" w:space="0" w:color="auto"/>
              <w:right w:val="single" w:sz="4" w:space="0" w:color="auto"/>
            </w:tcBorders>
            <w:shd w:val="clear" w:color="000000" w:fill="FF0000"/>
            <w:noWrap/>
            <w:vAlign w:val="center"/>
            <w:hideMark/>
          </w:tcPr>
          <w:p w14:paraId="03E45598" w14:textId="77777777" w:rsidR="00083E8E" w:rsidRPr="007C0BE5" w:rsidRDefault="00083E8E" w:rsidP="007C0BE5">
            <w:pPr>
              <w:widowControl/>
              <w:rPr>
                <w:rFonts w:ascii="Times New Roman" w:eastAsia="Times New Roman" w:hAnsi="Times New Roman" w:cs="Times New Roman"/>
                <w:color w:val="000000"/>
                <w:sz w:val="16"/>
                <w:szCs w:val="16"/>
                <w:lang w:eastAsia="es-HN"/>
              </w:rPr>
            </w:pPr>
            <w:r w:rsidRPr="007C0BE5">
              <w:rPr>
                <w:rFonts w:ascii="Times New Roman" w:eastAsia="Times New Roman" w:hAnsi="Times New Roman" w:cs="Times New Roman"/>
                <w:color w:val="000000"/>
                <w:sz w:val="16"/>
                <w:szCs w:val="16"/>
                <w:lang w:eastAsia="es-HN"/>
              </w:rPr>
              <w:t> </w:t>
            </w:r>
          </w:p>
        </w:tc>
        <w:tc>
          <w:tcPr>
            <w:tcW w:w="908" w:type="dxa"/>
            <w:tcBorders>
              <w:top w:val="nil"/>
              <w:left w:val="nil"/>
              <w:bottom w:val="single" w:sz="4" w:space="0" w:color="auto"/>
              <w:right w:val="single" w:sz="4" w:space="0" w:color="auto"/>
            </w:tcBorders>
            <w:shd w:val="clear" w:color="000000" w:fill="FF0000"/>
            <w:noWrap/>
            <w:vAlign w:val="center"/>
            <w:hideMark/>
          </w:tcPr>
          <w:p w14:paraId="69B4582C" w14:textId="77777777" w:rsidR="00083E8E" w:rsidRPr="007C0BE5" w:rsidRDefault="00083E8E" w:rsidP="007C0BE5">
            <w:pPr>
              <w:widowControl/>
              <w:rPr>
                <w:rFonts w:ascii="Times New Roman" w:eastAsia="Times New Roman" w:hAnsi="Times New Roman" w:cs="Times New Roman"/>
                <w:color w:val="000000"/>
                <w:sz w:val="16"/>
                <w:szCs w:val="16"/>
                <w:lang w:eastAsia="es-HN"/>
              </w:rPr>
            </w:pPr>
            <w:r w:rsidRPr="007C0BE5">
              <w:rPr>
                <w:rFonts w:ascii="Times New Roman" w:eastAsia="Times New Roman" w:hAnsi="Times New Roman" w:cs="Times New Roman"/>
                <w:color w:val="000000"/>
                <w:sz w:val="16"/>
                <w:szCs w:val="16"/>
                <w:lang w:eastAsia="es-HN"/>
              </w:rPr>
              <w:t> </w:t>
            </w:r>
          </w:p>
        </w:tc>
        <w:tc>
          <w:tcPr>
            <w:tcW w:w="908" w:type="dxa"/>
            <w:tcBorders>
              <w:top w:val="nil"/>
              <w:left w:val="nil"/>
              <w:bottom w:val="single" w:sz="4" w:space="0" w:color="auto"/>
              <w:right w:val="single" w:sz="4" w:space="0" w:color="auto"/>
            </w:tcBorders>
            <w:shd w:val="clear" w:color="auto" w:fill="auto"/>
            <w:noWrap/>
            <w:vAlign w:val="center"/>
            <w:hideMark/>
          </w:tcPr>
          <w:p w14:paraId="46A7736A" w14:textId="77777777" w:rsidR="00083E8E" w:rsidRPr="007C0BE5" w:rsidRDefault="00083E8E" w:rsidP="007C0BE5">
            <w:pPr>
              <w:widowControl/>
              <w:rPr>
                <w:rFonts w:ascii="Times New Roman" w:eastAsia="Times New Roman" w:hAnsi="Times New Roman" w:cs="Times New Roman"/>
                <w:color w:val="000000"/>
                <w:sz w:val="16"/>
                <w:szCs w:val="16"/>
                <w:lang w:eastAsia="es-HN"/>
              </w:rPr>
            </w:pPr>
            <w:r w:rsidRPr="007C0BE5">
              <w:rPr>
                <w:rFonts w:ascii="Times New Roman" w:eastAsia="Times New Roman" w:hAnsi="Times New Roman" w:cs="Times New Roman"/>
                <w:color w:val="000000"/>
                <w:sz w:val="16"/>
                <w:szCs w:val="16"/>
                <w:lang w:eastAsia="es-HN"/>
              </w:rPr>
              <w:t> </w:t>
            </w:r>
          </w:p>
        </w:tc>
        <w:tc>
          <w:tcPr>
            <w:tcW w:w="908" w:type="dxa"/>
            <w:tcBorders>
              <w:top w:val="nil"/>
              <w:left w:val="nil"/>
              <w:bottom w:val="single" w:sz="4" w:space="0" w:color="auto"/>
              <w:right w:val="single" w:sz="4" w:space="0" w:color="auto"/>
            </w:tcBorders>
            <w:shd w:val="clear" w:color="auto" w:fill="auto"/>
            <w:noWrap/>
            <w:vAlign w:val="center"/>
            <w:hideMark/>
          </w:tcPr>
          <w:p w14:paraId="210384C6" w14:textId="77777777" w:rsidR="00083E8E" w:rsidRPr="007C0BE5" w:rsidRDefault="00083E8E" w:rsidP="007C0BE5">
            <w:pPr>
              <w:widowControl/>
              <w:rPr>
                <w:rFonts w:ascii="Times New Roman" w:eastAsia="Times New Roman" w:hAnsi="Times New Roman" w:cs="Times New Roman"/>
                <w:color w:val="000000"/>
                <w:sz w:val="16"/>
                <w:szCs w:val="16"/>
                <w:lang w:eastAsia="es-HN"/>
              </w:rPr>
            </w:pPr>
            <w:r w:rsidRPr="007C0BE5">
              <w:rPr>
                <w:rFonts w:ascii="Times New Roman" w:eastAsia="Times New Roman" w:hAnsi="Times New Roman" w:cs="Times New Roman"/>
                <w:color w:val="000000"/>
                <w:sz w:val="16"/>
                <w:szCs w:val="16"/>
                <w:lang w:eastAsia="es-HN"/>
              </w:rPr>
              <w:t> </w:t>
            </w:r>
          </w:p>
        </w:tc>
        <w:tc>
          <w:tcPr>
            <w:tcW w:w="910" w:type="dxa"/>
            <w:tcBorders>
              <w:top w:val="nil"/>
              <w:left w:val="nil"/>
              <w:bottom w:val="single" w:sz="4" w:space="0" w:color="auto"/>
              <w:right w:val="single" w:sz="4" w:space="0" w:color="auto"/>
            </w:tcBorders>
            <w:shd w:val="clear" w:color="auto" w:fill="auto"/>
            <w:noWrap/>
            <w:vAlign w:val="center"/>
            <w:hideMark/>
          </w:tcPr>
          <w:p w14:paraId="1F095C8D" w14:textId="77777777" w:rsidR="00083E8E" w:rsidRPr="007C0BE5" w:rsidRDefault="00083E8E" w:rsidP="007C0BE5">
            <w:pPr>
              <w:widowControl/>
              <w:rPr>
                <w:rFonts w:ascii="Times New Roman" w:eastAsia="Times New Roman" w:hAnsi="Times New Roman" w:cs="Times New Roman"/>
                <w:color w:val="000000"/>
                <w:sz w:val="16"/>
                <w:szCs w:val="16"/>
                <w:lang w:eastAsia="es-HN"/>
              </w:rPr>
            </w:pPr>
            <w:r w:rsidRPr="007C0BE5">
              <w:rPr>
                <w:rFonts w:ascii="Times New Roman" w:eastAsia="Times New Roman" w:hAnsi="Times New Roman" w:cs="Times New Roman"/>
                <w:color w:val="000000"/>
                <w:sz w:val="16"/>
                <w:szCs w:val="16"/>
                <w:lang w:eastAsia="es-HN"/>
              </w:rPr>
              <w:t> </w:t>
            </w:r>
          </w:p>
        </w:tc>
      </w:tr>
      <w:tr w:rsidR="00083E8E" w:rsidRPr="007C0BE5" w14:paraId="018A2573" w14:textId="77777777" w:rsidTr="00083E8E">
        <w:trPr>
          <w:trHeight w:val="254"/>
          <w:jc w:val="center"/>
        </w:trPr>
        <w:tc>
          <w:tcPr>
            <w:tcW w:w="256" w:type="dxa"/>
            <w:tcBorders>
              <w:top w:val="nil"/>
              <w:left w:val="single" w:sz="8" w:space="0" w:color="auto"/>
              <w:bottom w:val="single" w:sz="4" w:space="0" w:color="auto"/>
              <w:right w:val="single" w:sz="4" w:space="0" w:color="auto"/>
            </w:tcBorders>
            <w:shd w:val="clear" w:color="auto" w:fill="auto"/>
            <w:noWrap/>
            <w:vAlign w:val="center"/>
            <w:hideMark/>
          </w:tcPr>
          <w:p w14:paraId="6B9B555E" w14:textId="77777777" w:rsidR="00083E8E" w:rsidRPr="007C0BE5" w:rsidRDefault="00083E8E" w:rsidP="007C0BE5">
            <w:pPr>
              <w:widowControl/>
              <w:jc w:val="center"/>
              <w:rPr>
                <w:rFonts w:ascii="Times New Roman" w:eastAsia="Times New Roman" w:hAnsi="Times New Roman" w:cs="Times New Roman"/>
                <w:b/>
                <w:bCs/>
                <w:color w:val="000000"/>
                <w:sz w:val="16"/>
                <w:szCs w:val="16"/>
                <w:lang w:eastAsia="es-HN"/>
              </w:rPr>
            </w:pPr>
            <w:r w:rsidRPr="007C0BE5">
              <w:rPr>
                <w:rFonts w:ascii="Times New Roman" w:eastAsia="Times New Roman" w:hAnsi="Times New Roman" w:cs="Times New Roman"/>
                <w:b/>
                <w:bCs/>
                <w:color w:val="000000"/>
                <w:sz w:val="16"/>
                <w:szCs w:val="16"/>
                <w:lang w:eastAsia="es-HN"/>
              </w:rPr>
              <w:t>6</w:t>
            </w:r>
          </w:p>
        </w:tc>
        <w:tc>
          <w:tcPr>
            <w:tcW w:w="1359" w:type="dxa"/>
            <w:tcBorders>
              <w:top w:val="nil"/>
              <w:left w:val="nil"/>
              <w:bottom w:val="single" w:sz="4" w:space="0" w:color="auto"/>
              <w:right w:val="single" w:sz="4" w:space="0" w:color="auto"/>
            </w:tcBorders>
            <w:shd w:val="clear" w:color="auto" w:fill="auto"/>
            <w:vAlign w:val="center"/>
            <w:hideMark/>
          </w:tcPr>
          <w:p w14:paraId="4126E19F" w14:textId="77777777" w:rsidR="00083E8E" w:rsidRPr="007C0BE5" w:rsidRDefault="00083E8E" w:rsidP="007C0BE5">
            <w:pPr>
              <w:widowControl/>
              <w:rPr>
                <w:rFonts w:ascii="Times New Roman" w:eastAsia="Times New Roman" w:hAnsi="Times New Roman" w:cs="Times New Roman"/>
                <w:color w:val="000000"/>
                <w:sz w:val="16"/>
                <w:szCs w:val="16"/>
                <w:lang w:eastAsia="es-HN"/>
              </w:rPr>
            </w:pPr>
            <w:r w:rsidRPr="007C0BE5">
              <w:rPr>
                <w:rFonts w:ascii="Times New Roman" w:eastAsia="Times New Roman" w:hAnsi="Times New Roman" w:cs="Times New Roman"/>
                <w:color w:val="000000"/>
                <w:sz w:val="16"/>
                <w:szCs w:val="16"/>
                <w:lang w:eastAsia="es-HN"/>
              </w:rPr>
              <w:t>Análisis de la información de Bases de Datos</w:t>
            </w:r>
          </w:p>
        </w:tc>
        <w:tc>
          <w:tcPr>
            <w:tcW w:w="1435" w:type="dxa"/>
            <w:tcBorders>
              <w:top w:val="nil"/>
              <w:left w:val="nil"/>
              <w:bottom w:val="single" w:sz="4" w:space="0" w:color="auto"/>
              <w:right w:val="single" w:sz="4" w:space="0" w:color="auto"/>
            </w:tcBorders>
            <w:shd w:val="clear" w:color="auto" w:fill="auto"/>
            <w:vAlign w:val="center"/>
            <w:hideMark/>
          </w:tcPr>
          <w:p w14:paraId="0BAA6EF3" w14:textId="77777777" w:rsidR="00083E8E" w:rsidRPr="007C0BE5" w:rsidRDefault="00083E8E" w:rsidP="007C0BE5">
            <w:pPr>
              <w:widowControl/>
              <w:jc w:val="center"/>
              <w:rPr>
                <w:rFonts w:ascii="Times New Roman" w:eastAsia="Times New Roman" w:hAnsi="Times New Roman" w:cs="Times New Roman"/>
                <w:color w:val="000000"/>
                <w:sz w:val="16"/>
                <w:szCs w:val="16"/>
                <w:lang w:eastAsia="es-HN"/>
              </w:rPr>
            </w:pPr>
            <w:r w:rsidRPr="007C0BE5">
              <w:rPr>
                <w:rFonts w:ascii="Times New Roman" w:eastAsia="Times New Roman" w:hAnsi="Times New Roman" w:cs="Times New Roman"/>
                <w:color w:val="000000"/>
                <w:sz w:val="16"/>
                <w:szCs w:val="16"/>
                <w:lang w:eastAsia="es-HN"/>
              </w:rPr>
              <w:t>Jimmy R. Sánchez / Dania Marín</w:t>
            </w:r>
          </w:p>
        </w:tc>
        <w:tc>
          <w:tcPr>
            <w:tcW w:w="908" w:type="dxa"/>
            <w:tcBorders>
              <w:top w:val="nil"/>
              <w:left w:val="nil"/>
              <w:bottom w:val="single" w:sz="4" w:space="0" w:color="auto"/>
              <w:right w:val="single" w:sz="4" w:space="0" w:color="auto"/>
            </w:tcBorders>
            <w:shd w:val="clear" w:color="auto" w:fill="auto"/>
            <w:noWrap/>
            <w:vAlign w:val="center"/>
            <w:hideMark/>
          </w:tcPr>
          <w:p w14:paraId="246F201E" w14:textId="77777777" w:rsidR="00083E8E" w:rsidRPr="007C0BE5" w:rsidRDefault="00083E8E" w:rsidP="007C0BE5">
            <w:pPr>
              <w:widowControl/>
              <w:rPr>
                <w:rFonts w:ascii="Times New Roman" w:eastAsia="Times New Roman" w:hAnsi="Times New Roman" w:cs="Times New Roman"/>
                <w:color w:val="000000"/>
                <w:sz w:val="16"/>
                <w:szCs w:val="16"/>
                <w:lang w:eastAsia="es-HN"/>
              </w:rPr>
            </w:pPr>
            <w:r w:rsidRPr="007C0BE5">
              <w:rPr>
                <w:rFonts w:ascii="Times New Roman" w:eastAsia="Times New Roman" w:hAnsi="Times New Roman" w:cs="Times New Roman"/>
                <w:color w:val="000000"/>
                <w:sz w:val="16"/>
                <w:szCs w:val="16"/>
                <w:lang w:eastAsia="es-HN"/>
              </w:rPr>
              <w:t> </w:t>
            </w:r>
          </w:p>
        </w:tc>
        <w:tc>
          <w:tcPr>
            <w:tcW w:w="908" w:type="dxa"/>
            <w:tcBorders>
              <w:top w:val="nil"/>
              <w:left w:val="nil"/>
              <w:bottom w:val="single" w:sz="4" w:space="0" w:color="auto"/>
              <w:right w:val="single" w:sz="4" w:space="0" w:color="auto"/>
            </w:tcBorders>
            <w:shd w:val="clear" w:color="auto" w:fill="auto"/>
            <w:noWrap/>
            <w:vAlign w:val="center"/>
            <w:hideMark/>
          </w:tcPr>
          <w:p w14:paraId="562FEF72" w14:textId="77777777" w:rsidR="00083E8E" w:rsidRPr="007C0BE5" w:rsidRDefault="00083E8E" w:rsidP="007C0BE5">
            <w:pPr>
              <w:widowControl/>
              <w:rPr>
                <w:rFonts w:ascii="Times New Roman" w:eastAsia="Times New Roman" w:hAnsi="Times New Roman" w:cs="Times New Roman"/>
                <w:color w:val="000000"/>
                <w:sz w:val="16"/>
                <w:szCs w:val="16"/>
                <w:lang w:eastAsia="es-HN"/>
              </w:rPr>
            </w:pPr>
            <w:r w:rsidRPr="007C0BE5">
              <w:rPr>
                <w:rFonts w:ascii="Times New Roman" w:eastAsia="Times New Roman" w:hAnsi="Times New Roman" w:cs="Times New Roman"/>
                <w:color w:val="000000"/>
                <w:sz w:val="16"/>
                <w:szCs w:val="16"/>
                <w:lang w:eastAsia="es-HN"/>
              </w:rPr>
              <w:t> </w:t>
            </w:r>
          </w:p>
        </w:tc>
        <w:tc>
          <w:tcPr>
            <w:tcW w:w="909" w:type="dxa"/>
            <w:tcBorders>
              <w:top w:val="nil"/>
              <w:left w:val="nil"/>
              <w:bottom w:val="single" w:sz="4" w:space="0" w:color="auto"/>
              <w:right w:val="single" w:sz="4" w:space="0" w:color="auto"/>
            </w:tcBorders>
            <w:shd w:val="clear" w:color="auto" w:fill="auto"/>
            <w:noWrap/>
            <w:vAlign w:val="center"/>
            <w:hideMark/>
          </w:tcPr>
          <w:p w14:paraId="0801CC5F" w14:textId="77777777" w:rsidR="00083E8E" w:rsidRPr="007C0BE5" w:rsidRDefault="00083E8E" w:rsidP="007C0BE5">
            <w:pPr>
              <w:widowControl/>
              <w:rPr>
                <w:rFonts w:ascii="Times New Roman" w:eastAsia="Times New Roman" w:hAnsi="Times New Roman" w:cs="Times New Roman"/>
                <w:color w:val="000000"/>
                <w:sz w:val="16"/>
                <w:szCs w:val="16"/>
                <w:lang w:eastAsia="es-HN"/>
              </w:rPr>
            </w:pPr>
            <w:r w:rsidRPr="007C0BE5">
              <w:rPr>
                <w:rFonts w:ascii="Times New Roman" w:eastAsia="Times New Roman" w:hAnsi="Times New Roman" w:cs="Times New Roman"/>
                <w:color w:val="000000"/>
                <w:sz w:val="16"/>
                <w:szCs w:val="16"/>
                <w:lang w:eastAsia="es-HN"/>
              </w:rPr>
              <w:t> </w:t>
            </w:r>
          </w:p>
        </w:tc>
        <w:tc>
          <w:tcPr>
            <w:tcW w:w="908" w:type="dxa"/>
            <w:tcBorders>
              <w:top w:val="nil"/>
              <w:left w:val="nil"/>
              <w:bottom w:val="single" w:sz="4" w:space="0" w:color="auto"/>
              <w:right w:val="single" w:sz="4" w:space="0" w:color="auto"/>
            </w:tcBorders>
            <w:shd w:val="clear" w:color="auto" w:fill="auto"/>
            <w:noWrap/>
            <w:vAlign w:val="center"/>
            <w:hideMark/>
          </w:tcPr>
          <w:p w14:paraId="480A17D3" w14:textId="77777777" w:rsidR="00083E8E" w:rsidRPr="007C0BE5" w:rsidRDefault="00083E8E" w:rsidP="007C0BE5">
            <w:pPr>
              <w:widowControl/>
              <w:rPr>
                <w:rFonts w:ascii="Times New Roman" w:eastAsia="Times New Roman" w:hAnsi="Times New Roman" w:cs="Times New Roman"/>
                <w:color w:val="000000"/>
                <w:sz w:val="16"/>
                <w:szCs w:val="16"/>
                <w:lang w:eastAsia="es-HN"/>
              </w:rPr>
            </w:pPr>
            <w:r w:rsidRPr="007C0BE5">
              <w:rPr>
                <w:rFonts w:ascii="Times New Roman" w:eastAsia="Times New Roman" w:hAnsi="Times New Roman" w:cs="Times New Roman"/>
                <w:color w:val="000000"/>
                <w:sz w:val="16"/>
                <w:szCs w:val="16"/>
                <w:lang w:eastAsia="es-HN"/>
              </w:rPr>
              <w:t> </w:t>
            </w:r>
          </w:p>
        </w:tc>
        <w:tc>
          <w:tcPr>
            <w:tcW w:w="908" w:type="dxa"/>
            <w:tcBorders>
              <w:top w:val="nil"/>
              <w:left w:val="nil"/>
              <w:bottom w:val="single" w:sz="4" w:space="0" w:color="auto"/>
              <w:right w:val="single" w:sz="4" w:space="0" w:color="auto"/>
            </w:tcBorders>
            <w:shd w:val="clear" w:color="000000" w:fill="FF0000"/>
            <w:noWrap/>
            <w:vAlign w:val="center"/>
            <w:hideMark/>
          </w:tcPr>
          <w:p w14:paraId="4640E626" w14:textId="77777777" w:rsidR="00083E8E" w:rsidRPr="007C0BE5" w:rsidRDefault="00083E8E" w:rsidP="007C0BE5">
            <w:pPr>
              <w:widowControl/>
              <w:rPr>
                <w:rFonts w:ascii="Times New Roman" w:eastAsia="Times New Roman" w:hAnsi="Times New Roman" w:cs="Times New Roman"/>
                <w:color w:val="000000"/>
                <w:sz w:val="16"/>
                <w:szCs w:val="16"/>
                <w:lang w:eastAsia="es-HN"/>
              </w:rPr>
            </w:pPr>
            <w:r w:rsidRPr="007C0BE5">
              <w:rPr>
                <w:rFonts w:ascii="Times New Roman" w:eastAsia="Times New Roman" w:hAnsi="Times New Roman" w:cs="Times New Roman"/>
                <w:color w:val="000000"/>
                <w:sz w:val="16"/>
                <w:szCs w:val="16"/>
                <w:lang w:eastAsia="es-HN"/>
              </w:rPr>
              <w:t> </w:t>
            </w:r>
          </w:p>
        </w:tc>
        <w:tc>
          <w:tcPr>
            <w:tcW w:w="908" w:type="dxa"/>
            <w:tcBorders>
              <w:top w:val="nil"/>
              <w:left w:val="nil"/>
              <w:bottom w:val="single" w:sz="4" w:space="0" w:color="auto"/>
              <w:right w:val="single" w:sz="4" w:space="0" w:color="auto"/>
            </w:tcBorders>
            <w:shd w:val="clear" w:color="auto" w:fill="auto"/>
            <w:noWrap/>
            <w:vAlign w:val="center"/>
            <w:hideMark/>
          </w:tcPr>
          <w:p w14:paraId="42CA1A3E" w14:textId="77777777" w:rsidR="00083E8E" w:rsidRPr="007C0BE5" w:rsidRDefault="00083E8E" w:rsidP="007C0BE5">
            <w:pPr>
              <w:widowControl/>
              <w:rPr>
                <w:rFonts w:ascii="Times New Roman" w:eastAsia="Times New Roman" w:hAnsi="Times New Roman" w:cs="Times New Roman"/>
                <w:color w:val="000000"/>
                <w:sz w:val="16"/>
                <w:szCs w:val="16"/>
                <w:lang w:eastAsia="es-HN"/>
              </w:rPr>
            </w:pPr>
            <w:r w:rsidRPr="007C0BE5">
              <w:rPr>
                <w:rFonts w:ascii="Times New Roman" w:eastAsia="Times New Roman" w:hAnsi="Times New Roman" w:cs="Times New Roman"/>
                <w:color w:val="000000"/>
                <w:sz w:val="16"/>
                <w:szCs w:val="16"/>
                <w:lang w:eastAsia="es-HN"/>
              </w:rPr>
              <w:t> </w:t>
            </w:r>
          </w:p>
        </w:tc>
        <w:tc>
          <w:tcPr>
            <w:tcW w:w="910" w:type="dxa"/>
            <w:tcBorders>
              <w:top w:val="nil"/>
              <w:left w:val="nil"/>
              <w:bottom w:val="single" w:sz="4" w:space="0" w:color="auto"/>
              <w:right w:val="single" w:sz="4" w:space="0" w:color="auto"/>
            </w:tcBorders>
            <w:shd w:val="clear" w:color="auto" w:fill="auto"/>
            <w:noWrap/>
            <w:vAlign w:val="center"/>
            <w:hideMark/>
          </w:tcPr>
          <w:p w14:paraId="5E5D9F94" w14:textId="77777777" w:rsidR="00083E8E" w:rsidRPr="007C0BE5" w:rsidRDefault="00083E8E" w:rsidP="007C0BE5">
            <w:pPr>
              <w:widowControl/>
              <w:rPr>
                <w:rFonts w:ascii="Times New Roman" w:eastAsia="Times New Roman" w:hAnsi="Times New Roman" w:cs="Times New Roman"/>
                <w:color w:val="000000"/>
                <w:sz w:val="16"/>
                <w:szCs w:val="16"/>
                <w:lang w:eastAsia="es-HN"/>
              </w:rPr>
            </w:pPr>
            <w:r w:rsidRPr="007C0BE5">
              <w:rPr>
                <w:rFonts w:ascii="Times New Roman" w:eastAsia="Times New Roman" w:hAnsi="Times New Roman" w:cs="Times New Roman"/>
                <w:color w:val="000000"/>
                <w:sz w:val="16"/>
                <w:szCs w:val="16"/>
                <w:lang w:eastAsia="es-HN"/>
              </w:rPr>
              <w:t> </w:t>
            </w:r>
          </w:p>
        </w:tc>
      </w:tr>
      <w:tr w:rsidR="00083E8E" w:rsidRPr="007C0BE5" w14:paraId="2A06764D" w14:textId="77777777" w:rsidTr="00083E8E">
        <w:trPr>
          <w:trHeight w:val="254"/>
          <w:jc w:val="center"/>
        </w:trPr>
        <w:tc>
          <w:tcPr>
            <w:tcW w:w="256" w:type="dxa"/>
            <w:tcBorders>
              <w:top w:val="nil"/>
              <w:left w:val="single" w:sz="8" w:space="0" w:color="auto"/>
              <w:bottom w:val="single" w:sz="4" w:space="0" w:color="auto"/>
              <w:right w:val="single" w:sz="4" w:space="0" w:color="auto"/>
            </w:tcBorders>
            <w:shd w:val="clear" w:color="auto" w:fill="auto"/>
            <w:noWrap/>
            <w:vAlign w:val="center"/>
            <w:hideMark/>
          </w:tcPr>
          <w:p w14:paraId="2BCB5C5C" w14:textId="77777777" w:rsidR="00083E8E" w:rsidRPr="007C0BE5" w:rsidRDefault="00083E8E" w:rsidP="007C0BE5">
            <w:pPr>
              <w:widowControl/>
              <w:jc w:val="center"/>
              <w:rPr>
                <w:rFonts w:ascii="Times New Roman" w:eastAsia="Times New Roman" w:hAnsi="Times New Roman" w:cs="Times New Roman"/>
                <w:b/>
                <w:bCs/>
                <w:color w:val="000000"/>
                <w:sz w:val="16"/>
                <w:szCs w:val="16"/>
                <w:lang w:eastAsia="es-HN"/>
              </w:rPr>
            </w:pPr>
            <w:r w:rsidRPr="007C0BE5">
              <w:rPr>
                <w:rFonts w:ascii="Times New Roman" w:eastAsia="Times New Roman" w:hAnsi="Times New Roman" w:cs="Times New Roman"/>
                <w:b/>
                <w:bCs/>
                <w:color w:val="000000"/>
                <w:sz w:val="16"/>
                <w:szCs w:val="16"/>
                <w:lang w:eastAsia="es-HN"/>
              </w:rPr>
              <w:t>7</w:t>
            </w:r>
          </w:p>
        </w:tc>
        <w:tc>
          <w:tcPr>
            <w:tcW w:w="1359" w:type="dxa"/>
            <w:tcBorders>
              <w:top w:val="nil"/>
              <w:left w:val="nil"/>
              <w:bottom w:val="single" w:sz="4" w:space="0" w:color="auto"/>
              <w:right w:val="single" w:sz="4" w:space="0" w:color="auto"/>
            </w:tcBorders>
            <w:shd w:val="clear" w:color="auto" w:fill="auto"/>
            <w:vAlign w:val="center"/>
            <w:hideMark/>
          </w:tcPr>
          <w:p w14:paraId="33A2F603" w14:textId="77777777" w:rsidR="00083E8E" w:rsidRPr="007C0BE5" w:rsidRDefault="00083E8E" w:rsidP="007C0BE5">
            <w:pPr>
              <w:widowControl/>
              <w:rPr>
                <w:rFonts w:ascii="Times New Roman" w:eastAsia="Times New Roman" w:hAnsi="Times New Roman" w:cs="Times New Roman"/>
                <w:color w:val="000000"/>
                <w:sz w:val="16"/>
                <w:szCs w:val="16"/>
                <w:lang w:eastAsia="es-HN"/>
              </w:rPr>
            </w:pPr>
            <w:r w:rsidRPr="007C0BE5">
              <w:rPr>
                <w:rFonts w:ascii="Times New Roman" w:eastAsia="Times New Roman" w:hAnsi="Times New Roman" w:cs="Times New Roman"/>
                <w:color w:val="000000"/>
                <w:sz w:val="16"/>
                <w:szCs w:val="16"/>
                <w:lang w:eastAsia="es-HN"/>
              </w:rPr>
              <w:t>Tabulación y Análisis de las Preguntas de la Entrevista a los Gerentes</w:t>
            </w:r>
          </w:p>
        </w:tc>
        <w:tc>
          <w:tcPr>
            <w:tcW w:w="1435" w:type="dxa"/>
            <w:tcBorders>
              <w:top w:val="nil"/>
              <w:left w:val="nil"/>
              <w:bottom w:val="single" w:sz="4" w:space="0" w:color="auto"/>
              <w:right w:val="single" w:sz="4" w:space="0" w:color="auto"/>
            </w:tcBorders>
            <w:shd w:val="clear" w:color="auto" w:fill="auto"/>
            <w:vAlign w:val="center"/>
            <w:hideMark/>
          </w:tcPr>
          <w:p w14:paraId="0DC4A619" w14:textId="77777777" w:rsidR="00083E8E" w:rsidRPr="007C0BE5" w:rsidRDefault="00083E8E" w:rsidP="007C0BE5">
            <w:pPr>
              <w:widowControl/>
              <w:jc w:val="center"/>
              <w:rPr>
                <w:rFonts w:ascii="Times New Roman" w:eastAsia="Times New Roman" w:hAnsi="Times New Roman" w:cs="Times New Roman"/>
                <w:color w:val="000000"/>
                <w:sz w:val="16"/>
                <w:szCs w:val="16"/>
                <w:lang w:eastAsia="es-HN"/>
              </w:rPr>
            </w:pPr>
            <w:r w:rsidRPr="007C0BE5">
              <w:rPr>
                <w:rFonts w:ascii="Times New Roman" w:eastAsia="Times New Roman" w:hAnsi="Times New Roman" w:cs="Times New Roman"/>
                <w:color w:val="000000"/>
                <w:sz w:val="16"/>
                <w:szCs w:val="16"/>
                <w:lang w:eastAsia="es-HN"/>
              </w:rPr>
              <w:t>Jimmy R. Sánchez / Dania Marín</w:t>
            </w:r>
          </w:p>
        </w:tc>
        <w:tc>
          <w:tcPr>
            <w:tcW w:w="908" w:type="dxa"/>
            <w:tcBorders>
              <w:top w:val="nil"/>
              <w:left w:val="nil"/>
              <w:bottom w:val="single" w:sz="4" w:space="0" w:color="auto"/>
              <w:right w:val="single" w:sz="4" w:space="0" w:color="auto"/>
            </w:tcBorders>
            <w:shd w:val="clear" w:color="auto" w:fill="auto"/>
            <w:noWrap/>
            <w:vAlign w:val="center"/>
            <w:hideMark/>
          </w:tcPr>
          <w:p w14:paraId="4C24D679" w14:textId="77777777" w:rsidR="00083E8E" w:rsidRPr="007C0BE5" w:rsidRDefault="00083E8E" w:rsidP="007C0BE5">
            <w:pPr>
              <w:widowControl/>
              <w:rPr>
                <w:rFonts w:ascii="Times New Roman" w:eastAsia="Times New Roman" w:hAnsi="Times New Roman" w:cs="Times New Roman"/>
                <w:color w:val="000000"/>
                <w:sz w:val="16"/>
                <w:szCs w:val="16"/>
                <w:lang w:eastAsia="es-HN"/>
              </w:rPr>
            </w:pPr>
            <w:r w:rsidRPr="007C0BE5">
              <w:rPr>
                <w:rFonts w:ascii="Times New Roman" w:eastAsia="Times New Roman" w:hAnsi="Times New Roman" w:cs="Times New Roman"/>
                <w:color w:val="000000"/>
                <w:sz w:val="16"/>
                <w:szCs w:val="16"/>
                <w:lang w:eastAsia="es-HN"/>
              </w:rPr>
              <w:t> </w:t>
            </w:r>
          </w:p>
        </w:tc>
        <w:tc>
          <w:tcPr>
            <w:tcW w:w="908" w:type="dxa"/>
            <w:tcBorders>
              <w:top w:val="nil"/>
              <w:left w:val="nil"/>
              <w:bottom w:val="single" w:sz="4" w:space="0" w:color="auto"/>
              <w:right w:val="single" w:sz="4" w:space="0" w:color="auto"/>
            </w:tcBorders>
            <w:shd w:val="clear" w:color="auto" w:fill="auto"/>
            <w:noWrap/>
            <w:vAlign w:val="center"/>
            <w:hideMark/>
          </w:tcPr>
          <w:p w14:paraId="3C44C9CB" w14:textId="77777777" w:rsidR="00083E8E" w:rsidRPr="007C0BE5" w:rsidRDefault="00083E8E" w:rsidP="007C0BE5">
            <w:pPr>
              <w:widowControl/>
              <w:rPr>
                <w:rFonts w:ascii="Times New Roman" w:eastAsia="Times New Roman" w:hAnsi="Times New Roman" w:cs="Times New Roman"/>
                <w:color w:val="000000"/>
                <w:sz w:val="16"/>
                <w:szCs w:val="16"/>
                <w:lang w:eastAsia="es-HN"/>
              </w:rPr>
            </w:pPr>
            <w:r w:rsidRPr="007C0BE5">
              <w:rPr>
                <w:rFonts w:ascii="Times New Roman" w:eastAsia="Times New Roman" w:hAnsi="Times New Roman" w:cs="Times New Roman"/>
                <w:color w:val="000000"/>
                <w:sz w:val="16"/>
                <w:szCs w:val="16"/>
                <w:lang w:eastAsia="es-HN"/>
              </w:rPr>
              <w:t> </w:t>
            </w:r>
          </w:p>
        </w:tc>
        <w:tc>
          <w:tcPr>
            <w:tcW w:w="909" w:type="dxa"/>
            <w:tcBorders>
              <w:top w:val="nil"/>
              <w:left w:val="nil"/>
              <w:bottom w:val="single" w:sz="4" w:space="0" w:color="auto"/>
              <w:right w:val="single" w:sz="4" w:space="0" w:color="auto"/>
            </w:tcBorders>
            <w:shd w:val="clear" w:color="auto" w:fill="auto"/>
            <w:noWrap/>
            <w:vAlign w:val="center"/>
            <w:hideMark/>
          </w:tcPr>
          <w:p w14:paraId="35FE4D35" w14:textId="77777777" w:rsidR="00083E8E" w:rsidRPr="007C0BE5" w:rsidRDefault="00083E8E" w:rsidP="007C0BE5">
            <w:pPr>
              <w:widowControl/>
              <w:rPr>
                <w:rFonts w:ascii="Times New Roman" w:eastAsia="Times New Roman" w:hAnsi="Times New Roman" w:cs="Times New Roman"/>
                <w:color w:val="000000"/>
                <w:sz w:val="16"/>
                <w:szCs w:val="16"/>
                <w:lang w:eastAsia="es-HN"/>
              </w:rPr>
            </w:pPr>
            <w:r w:rsidRPr="007C0BE5">
              <w:rPr>
                <w:rFonts w:ascii="Times New Roman" w:eastAsia="Times New Roman" w:hAnsi="Times New Roman" w:cs="Times New Roman"/>
                <w:color w:val="000000"/>
                <w:sz w:val="16"/>
                <w:szCs w:val="16"/>
                <w:lang w:eastAsia="es-HN"/>
              </w:rPr>
              <w:t> </w:t>
            </w:r>
          </w:p>
        </w:tc>
        <w:tc>
          <w:tcPr>
            <w:tcW w:w="908" w:type="dxa"/>
            <w:tcBorders>
              <w:top w:val="nil"/>
              <w:left w:val="nil"/>
              <w:bottom w:val="single" w:sz="4" w:space="0" w:color="auto"/>
              <w:right w:val="single" w:sz="4" w:space="0" w:color="auto"/>
            </w:tcBorders>
            <w:shd w:val="clear" w:color="auto" w:fill="auto"/>
            <w:noWrap/>
            <w:vAlign w:val="center"/>
            <w:hideMark/>
          </w:tcPr>
          <w:p w14:paraId="77E4C9A2" w14:textId="77777777" w:rsidR="00083E8E" w:rsidRPr="007C0BE5" w:rsidRDefault="00083E8E" w:rsidP="007C0BE5">
            <w:pPr>
              <w:widowControl/>
              <w:rPr>
                <w:rFonts w:ascii="Times New Roman" w:eastAsia="Times New Roman" w:hAnsi="Times New Roman" w:cs="Times New Roman"/>
                <w:color w:val="000000"/>
                <w:sz w:val="16"/>
                <w:szCs w:val="16"/>
                <w:lang w:eastAsia="es-HN"/>
              </w:rPr>
            </w:pPr>
            <w:r w:rsidRPr="007C0BE5">
              <w:rPr>
                <w:rFonts w:ascii="Times New Roman" w:eastAsia="Times New Roman" w:hAnsi="Times New Roman" w:cs="Times New Roman"/>
                <w:color w:val="000000"/>
                <w:sz w:val="16"/>
                <w:szCs w:val="16"/>
                <w:lang w:eastAsia="es-HN"/>
              </w:rPr>
              <w:t> </w:t>
            </w:r>
          </w:p>
        </w:tc>
        <w:tc>
          <w:tcPr>
            <w:tcW w:w="908" w:type="dxa"/>
            <w:tcBorders>
              <w:top w:val="nil"/>
              <w:left w:val="nil"/>
              <w:bottom w:val="single" w:sz="4" w:space="0" w:color="auto"/>
              <w:right w:val="single" w:sz="4" w:space="0" w:color="auto"/>
            </w:tcBorders>
            <w:shd w:val="clear" w:color="auto" w:fill="auto"/>
            <w:noWrap/>
            <w:vAlign w:val="center"/>
            <w:hideMark/>
          </w:tcPr>
          <w:p w14:paraId="1F1854D3" w14:textId="77777777" w:rsidR="00083E8E" w:rsidRPr="007C0BE5" w:rsidRDefault="00083E8E" w:rsidP="007C0BE5">
            <w:pPr>
              <w:widowControl/>
              <w:rPr>
                <w:rFonts w:ascii="Times New Roman" w:eastAsia="Times New Roman" w:hAnsi="Times New Roman" w:cs="Times New Roman"/>
                <w:color w:val="000000"/>
                <w:sz w:val="16"/>
                <w:szCs w:val="16"/>
                <w:lang w:eastAsia="es-HN"/>
              </w:rPr>
            </w:pPr>
            <w:r w:rsidRPr="007C0BE5">
              <w:rPr>
                <w:rFonts w:ascii="Times New Roman" w:eastAsia="Times New Roman" w:hAnsi="Times New Roman" w:cs="Times New Roman"/>
                <w:color w:val="000000"/>
                <w:sz w:val="16"/>
                <w:szCs w:val="16"/>
                <w:lang w:eastAsia="es-HN"/>
              </w:rPr>
              <w:t> </w:t>
            </w:r>
          </w:p>
        </w:tc>
        <w:tc>
          <w:tcPr>
            <w:tcW w:w="908" w:type="dxa"/>
            <w:tcBorders>
              <w:top w:val="nil"/>
              <w:left w:val="nil"/>
              <w:bottom w:val="single" w:sz="4" w:space="0" w:color="auto"/>
              <w:right w:val="single" w:sz="4" w:space="0" w:color="auto"/>
            </w:tcBorders>
            <w:shd w:val="clear" w:color="000000" w:fill="FF0000"/>
            <w:noWrap/>
            <w:vAlign w:val="center"/>
            <w:hideMark/>
          </w:tcPr>
          <w:p w14:paraId="037AD7A1" w14:textId="77777777" w:rsidR="00083E8E" w:rsidRPr="007C0BE5" w:rsidRDefault="00083E8E" w:rsidP="007C0BE5">
            <w:pPr>
              <w:widowControl/>
              <w:rPr>
                <w:rFonts w:ascii="Times New Roman" w:eastAsia="Times New Roman" w:hAnsi="Times New Roman" w:cs="Times New Roman"/>
                <w:color w:val="000000"/>
                <w:sz w:val="16"/>
                <w:szCs w:val="16"/>
                <w:lang w:eastAsia="es-HN"/>
              </w:rPr>
            </w:pPr>
            <w:r w:rsidRPr="007C0BE5">
              <w:rPr>
                <w:rFonts w:ascii="Times New Roman" w:eastAsia="Times New Roman" w:hAnsi="Times New Roman" w:cs="Times New Roman"/>
                <w:color w:val="000000"/>
                <w:sz w:val="16"/>
                <w:szCs w:val="16"/>
                <w:lang w:eastAsia="es-HN"/>
              </w:rPr>
              <w:t> </w:t>
            </w:r>
          </w:p>
        </w:tc>
        <w:tc>
          <w:tcPr>
            <w:tcW w:w="910" w:type="dxa"/>
            <w:tcBorders>
              <w:top w:val="nil"/>
              <w:left w:val="nil"/>
              <w:bottom w:val="single" w:sz="4" w:space="0" w:color="auto"/>
              <w:right w:val="single" w:sz="4" w:space="0" w:color="auto"/>
            </w:tcBorders>
            <w:shd w:val="clear" w:color="auto" w:fill="auto"/>
            <w:noWrap/>
            <w:vAlign w:val="center"/>
            <w:hideMark/>
          </w:tcPr>
          <w:p w14:paraId="1AAEFF14" w14:textId="77777777" w:rsidR="00083E8E" w:rsidRPr="007C0BE5" w:rsidRDefault="00083E8E" w:rsidP="007C0BE5">
            <w:pPr>
              <w:widowControl/>
              <w:rPr>
                <w:rFonts w:ascii="Times New Roman" w:eastAsia="Times New Roman" w:hAnsi="Times New Roman" w:cs="Times New Roman"/>
                <w:color w:val="000000"/>
                <w:sz w:val="16"/>
                <w:szCs w:val="16"/>
                <w:lang w:eastAsia="es-HN"/>
              </w:rPr>
            </w:pPr>
            <w:r w:rsidRPr="007C0BE5">
              <w:rPr>
                <w:rFonts w:ascii="Times New Roman" w:eastAsia="Times New Roman" w:hAnsi="Times New Roman" w:cs="Times New Roman"/>
                <w:color w:val="000000"/>
                <w:sz w:val="16"/>
                <w:szCs w:val="16"/>
                <w:lang w:eastAsia="es-HN"/>
              </w:rPr>
              <w:t> </w:t>
            </w:r>
          </w:p>
        </w:tc>
      </w:tr>
      <w:tr w:rsidR="00083E8E" w:rsidRPr="007C0BE5" w14:paraId="0F557D29" w14:textId="77777777" w:rsidTr="00083E8E">
        <w:trPr>
          <w:trHeight w:val="260"/>
          <w:jc w:val="center"/>
        </w:trPr>
        <w:tc>
          <w:tcPr>
            <w:tcW w:w="256" w:type="dxa"/>
            <w:tcBorders>
              <w:top w:val="nil"/>
              <w:left w:val="single" w:sz="8" w:space="0" w:color="auto"/>
              <w:bottom w:val="single" w:sz="8" w:space="0" w:color="auto"/>
              <w:right w:val="single" w:sz="4" w:space="0" w:color="auto"/>
            </w:tcBorders>
            <w:shd w:val="clear" w:color="auto" w:fill="auto"/>
            <w:noWrap/>
            <w:vAlign w:val="center"/>
            <w:hideMark/>
          </w:tcPr>
          <w:p w14:paraId="54F53A05" w14:textId="77777777" w:rsidR="00083E8E" w:rsidRPr="007C0BE5" w:rsidRDefault="00083E8E" w:rsidP="007C0BE5">
            <w:pPr>
              <w:widowControl/>
              <w:jc w:val="center"/>
              <w:rPr>
                <w:rFonts w:ascii="Times New Roman" w:eastAsia="Times New Roman" w:hAnsi="Times New Roman" w:cs="Times New Roman"/>
                <w:b/>
                <w:bCs/>
                <w:color w:val="000000"/>
                <w:sz w:val="16"/>
                <w:szCs w:val="16"/>
                <w:lang w:eastAsia="es-HN"/>
              </w:rPr>
            </w:pPr>
            <w:r w:rsidRPr="007C0BE5">
              <w:rPr>
                <w:rFonts w:ascii="Times New Roman" w:eastAsia="Times New Roman" w:hAnsi="Times New Roman" w:cs="Times New Roman"/>
                <w:b/>
                <w:bCs/>
                <w:color w:val="000000"/>
                <w:sz w:val="16"/>
                <w:szCs w:val="16"/>
                <w:lang w:eastAsia="es-HN"/>
              </w:rPr>
              <w:t>8</w:t>
            </w:r>
          </w:p>
        </w:tc>
        <w:tc>
          <w:tcPr>
            <w:tcW w:w="1359" w:type="dxa"/>
            <w:tcBorders>
              <w:top w:val="nil"/>
              <w:left w:val="nil"/>
              <w:bottom w:val="single" w:sz="8" w:space="0" w:color="auto"/>
              <w:right w:val="single" w:sz="4" w:space="0" w:color="auto"/>
            </w:tcBorders>
            <w:shd w:val="clear" w:color="auto" w:fill="auto"/>
            <w:vAlign w:val="center"/>
            <w:hideMark/>
          </w:tcPr>
          <w:p w14:paraId="5EBFA7AF" w14:textId="77777777" w:rsidR="00083E8E" w:rsidRPr="007C0BE5" w:rsidRDefault="00083E8E" w:rsidP="007C0BE5">
            <w:pPr>
              <w:widowControl/>
              <w:rPr>
                <w:rFonts w:ascii="Times New Roman" w:eastAsia="Times New Roman" w:hAnsi="Times New Roman" w:cs="Times New Roman"/>
                <w:color w:val="000000"/>
                <w:sz w:val="16"/>
                <w:szCs w:val="16"/>
                <w:lang w:eastAsia="es-HN"/>
              </w:rPr>
            </w:pPr>
            <w:r w:rsidRPr="007C0BE5">
              <w:rPr>
                <w:rFonts w:ascii="Times New Roman" w:eastAsia="Times New Roman" w:hAnsi="Times New Roman" w:cs="Times New Roman"/>
                <w:color w:val="000000"/>
                <w:sz w:val="16"/>
                <w:szCs w:val="16"/>
                <w:lang w:eastAsia="es-HN"/>
              </w:rPr>
              <w:t>Análisis Consolidado de la información</w:t>
            </w:r>
          </w:p>
        </w:tc>
        <w:tc>
          <w:tcPr>
            <w:tcW w:w="1435" w:type="dxa"/>
            <w:tcBorders>
              <w:top w:val="nil"/>
              <w:left w:val="nil"/>
              <w:bottom w:val="single" w:sz="8" w:space="0" w:color="auto"/>
              <w:right w:val="single" w:sz="4" w:space="0" w:color="auto"/>
            </w:tcBorders>
            <w:shd w:val="clear" w:color="auto" w:fill="auto"/>
            <w:vAlign w:val="center"/>
            <w:hideMark/>
          </w:tcPr>
          <w:p w14:paraId="7990C48E" w14:textId="77777777" w:rsidR="00083E8E" w:rsidRPr="007C0BE5" w:rsidRDefault="00083E8E" w:rsidP="007C0BE5">
            <w:pPr>
              <w:widowControl/>
              <w:jc w:val="center"/>
              <w:rPr>
                <w:rFonts w:ascii="Times New Roman" w:eastAsia="Times New Roman" w:hAnsi="Times New Roman" w:cs="Times New Roman"/>
                <w:color w:val="000000"/>
                <w:sz w:val="16"/>
                <w:szCs w:val="16"/>
                <w:lang w:eastAsia="es-HN"/>
              </w:rPr>
            </w:pPr>
            <w:r w:rsidRPr="007C0BE5">
              <w:rPr>
                <w:rFonts w:ascii="Times New Roman" w:eastAsia="Times New Roman" w:hAnsi="Times New Roman" w:cs="Times New Roman"/>
                <w:color w:val="000000"/>
                <w:sz w:val="16"/>
                <w:szCs w:val="16"/>
                <w:lang w:eastAsia="es-HN"/>
              </w:rPr>
              <w:t>Jimmy R. Sánchez / Dania Marín</w:t>
            </w:r>
          </w:p>
        </w:tc>
        <w:tc>
          <w:tcPr>
            <w:tcW w:w="908" w:type="dxa"/>
            <w:tcBorders>
              <w:top w:val="nil"/>
              <w:left w:val="nil"/>
              <w:bottom w:val="single" w:sz="8" w:space="0" w:color="auto"/>
              <w:right w:val="single" w:sz="4" w:space="0" w:color="auto"/>
            </w:tcBorders>
            <w:shd w:val="clear" w:color="auto" w:fill="auto"/>
            <w:noWrap/>
            <w:vAlign w:val="center"/>
            <w:hideMark/>
          </w:tcPr>
          <w:p w14:paraId="41D16F93" w14:textId="77777777" w:rsidR="00083E8E" w:rsidRPr="007C0BE5" w:rsidRDefault="00083E8E" w:rsidP="007C0BE5">
            <w:pPr>
              <w:widowControl/>
              <w:rPr>
                <w:rFonts w:ascii="Times New Roman" w:eastAsia="Times New Roman" w:hAnsi="Times New Roman" w:cs="Times New Roman"/>
                <w:color w:val="000000"/>
                <w:sz w:val="16"/>
                <w:szCs w:val="16"/>
                <w:lang w:eastAsia="es-HN"/>
              </w:rPr>
            </w:pPr>
            <w:r w:rsidRPr="007C0BE5">
              <w:rPr>
                <w:rFonts w:ascii="Times New Roman" w:eastAsia="Times New Roman" w:hAnsi="Times New Roman" w:cs="Times New Roman"/>
                <w:color w:val="000000"/>
                <w:sz w:val="16"/>
                <w:szCs w:val="16"/>
                <w:lang w:eastAsia="es-HN"/>
              </w:rPr>
              <w:t> </w:t>
            </w:r>
          </w:p>
        </w:tc>
        <w:tc>
          <w:tcPr>
            <w:tcW w:w="908" w:type="dxa"/>
            <w:tcBorders>
              <w:top w:val="nil"/>
              <w:left w:val="nil"/>
              <w:bottom w:val="single" w:sz="8" w:space="0" w:color="auto"/>
              <w:right w:val="single" w:sz="4" w:space="0" w:color="auto"/>
            </w:tcBorders>
            <w:shd w:val="clear" w:color="auto" w:fill="auto"/>
            <w:noWrap/>
            <w:vAlign w:val="center"/>
            <w:hideMark/>
          </w:tcPr>
          <w:p w14:paraId="1AB23B23" w14:textId="77777777" w:rsidR="00083E8E" w:rsidRPr="007C0BE5" w:rsidRDefault="00083E8E" w:rsidP="007C0BE5">
            <w:pPr>
              <w:widowControl/>
              <w:rPr>
                <w:rFonts w:ascii="Times New Roman" w:eastAsia="Times New Roman" w:hAnsi="Times New Roman" w:cs="Times New Roman"/>
                <w:color w:val="000000"/>
                <w:sz w:val="16"/>
                <w:szCs w:val="16"/>
                <w:lang w:eastAsia="es-HN"/>
              </w:rPr>
            </w:pPr>
            <w:r w:rsidRPr="007C0BE5">
              <w:rPr>
                <w:rFonts w:ascii="Times New Roman" w:eastAsia="Times New Roman" w:hAnsi="Times New Roman" w:cs="Times New Roman"/>
                <w:color w:val="000000"/>
                <w:sz w:val="16"/>
                <w:szCs w:val="16"/>
                <w:lang w:eastAsia="es-HN"/>
              </w:rPr>
              <w:t> </w:t>
            </w:r>
          </w:p>
        </w:tc>
        <w:tc>
          <w:tcPr>
            <w:tcW w:w="909" w:type="dxa"/>
            <w:tcBorders>
              <w:top w:val="nil"/>
              <w:left w:val="nil"/>
              <w:bottom w:val="single" w:sz="8" w:space="0" w:color="auto"/>
              <w:right w:val="single" w:sz="4" w:space="0" w:color="auto"/>
            </w:tcBorders>
            <w:shd w:val="clear" w:color="auto" w:fill="auto"/>
            <w:noWrap/>
            <w:vAlign w:val="center"/>
            <w:hideMark/>
          </w:tcPr>
          <w:p w14:paraId="4293744C" w14:textId="77777777" w:rsidR="00083E8E" w:rsidRPr="007C0BE5" w:rsidRDefault="00083E8E" w:rsidP="007C0BE5">
            <w:pPr>
              <w:widowControl/>
              <w:rPr>
                <w:rFonts w:ascii="Times New Roman" w:eastAsia="Times New Roman" w:hAnsi="Times New Roman" w:cs="Times New Roman"/>
                <w:color w:val="000000"/>
                <w:sz w:val="16"/>
                <w:szCs w:val="16"/>
                <w:lang w:eastAsia="es-HN"/>
              </w:rPr>
            </w:pPr>
            <w:r w:rsidRPr="007C0BE5">
              <w:rPr>
                <w:rFonts w:ascii="Times New Roman" w:eastAsia="Times New Roman" w:hAnsi="Times New Roman" w:cs="Times New Roman"/>
                <w:color w:val="000000"/>
                <w:sz w:val="16"/>
                <w:szCs w:val="16"/>
                <w:lang w:eastAsia="es-HN"/>
              </w:rPr>
              <w:t> </w:t>
            </w:r>
          </w:p>
        </w:tc>
        <w:tc>
          <w:tcPr>
            <w:tcW w:w="908" w:type="dxa"/>
            <w:tcBorders>
              <w:top w:val="nil"/>
              <w:left w:val="nil"/>
              <w:bottom w:val="single" w:sz="8" w:space="0" w:color="auto"/>
              <w:right w:val="single" w:sz="4" w:space="0" w:color="auto"/>
            </w:tcBorders>
            <w:shd w:val="clear" w:color="auto" w:fill="auto"/>
            <w:noWrap/>
            <w:vAlign w:val="center"/>
            <w:hideMark/>
          </w:tcPr>
          <w:p w14:paraId="2DE1657F" w14:textId="77777777" w:rsidR="00083E8E" w:rsidRPr="007C0BE5" w:rsidRDefault="00083E8E" w:rsidP="007C0BE5">
            <w:pPr>
              <w:widowControl/>
              <w:rPr>
                <w:rFonts w:ascii="Times New Roman" w:eastAsia="Times New Roman" w:hAnsi="Times New Roman" w:cs="Times New Roman"/>
                <w:color w:val="000000"/>
                <w:sz w:val="16"/>
                <w:szCs w:val="16"/>
                <w:lang w:eastAsia="es-HN"/>
              </w:rPr>
            </w:pPr>
            <w:r w:rsidRPr="007C0BE5">
              <w:rPr>
                <w:rFonts w:ascii="Times New Roman" w:eastAsia="Times New Roman" w:hAnsi="Times New Roman" w:cs="Times New Roman"/>
                <w:color w:val="000000"/>
                <w:sz w:val="16"/>
                <w:szCs w:val="16"/>
                <w:lang w:eastAsia="es-HN"/>
              </w:rPr>
              <w:t> </w:t>
            </w:r>
          </w:p>
        </w:tc>
        <w:tc>
          <w:tcPr>
            <w:tcW w:w="908" w:type="dxa"/>
            <w:tcBorders>
              <w:top w:val="nil"/>
              <w:left w:val="nil"/>
              <w:bottom w:val="single" w:sz="8" w:space="0" w:color="auto"/>
              <w:right w:val="single" w:sz="4" w:space="0" w:color="auto"/>
            </w:tcBorders>
            <w:shd w:val="clear" w:color="auto" w:fill="auto"/>
            <w:noWrap/>
            <w:vAlign w:val="center"/>
            <w:hideMark/>
          </w:tcPr>
          <w:p w14:paraId="3AFF8377" w14:textId="77777777" w:rsidR="00083E8E" w:rsidRPr="007C0BE5" w:rsidRDefault="00083E8E" w:rsidP="007C0BE5">
            <w:pPr>
              <w:widowControl/>
              <w:rPr>
                <w:rFonts w:ascii="Times New Roman" w:eastAsia="Times New Roman" w:hAnsi="Times New Roman" w:cs="Times New Roman"/>
                <w:color w:val="000000"/>
                <w:sz w:val="16"/>
                <w:szCs w:val="16"/>
                <w:lang w:eastAsia="es-HN"/>
              </w:rPr>
            </w:pPr>
            <w:r w:rsidRPr="007C0BE5">
              <w:rPr>
                <w:rFonts w:ascii="Times New Roman" w:eastAsia="Times New Roman" w:hAnsi="Times New Roman" w:cs="Times New Roman"/>
                <w:color w:val="000000"/>
                <w:sz w:val="16"/>
                <w:szCs w:val="16"/>
                <w:lang w:eastAsia="es-HN"/>
              </w:rPr>
              <w:t> </w:t>
            </w:r>
          </w:p>
        </w:tc>
        <w:tc>
          <w:tcPr>
            <w:tcW w:w="908" w:type="dxa"/>
            <w:tcBorders>
              <w:top w:val="nil"/>
              <w:left w:val="nil"/>
              <w:bottom w:val="single" w:sz="8" w:space="0" w:color="auto"/>
              <w:right w:val="single" w:sz="4" w:space="0" w:color="auto"/>
            </w:tcBorders>
            <w:shd w:val="clear" w:color="auto" w:fill="auto"/>
            <w:noWrap/>
            <w:vAlign w:val="center"/>
            <w:hideMark/>
          </w:tcPr>
          <w:p w14:paraId="77634D42" w14:textId="77777777" w:rsidR="00083E8E" w:rsidRPr="007C0BE5" w:rsidRDefault="00083E8E" w:rsidP="007C0BE5">
            <w:pPr>
              <w:widowControl/>
              <w:rPr>
                <w:rFonts w:ascii="Times New Roman" w:eastAsia="Times New Roman" w:hAnsi="Times New Roman" w:cs="Times New Roman"/>
                <w:color w:val="000000"/>
                <w:sz w:val="16"/>
                <w:szCs w:val="16"/>
                <w:lang w:eastAsia="es-HN"/>
              </w:rPr>
            </w:pPr>
            <w:r w:rsidRPr="007C0BE5">
              <w:rPr>
                <w:rFonts w:ascii="Times New Roman" w:eastAsia="Times New Roman" w:hAnsi="Times New Roman" w:cs="Times New Roman"/>
                <w:color w:val="000000"/>
                <w:sz w:val="16"/>
                <w:szCs w:val="16"/>
                <w:lang w:eastAsia="es-HN"/>
              </w:rPr>
              <w:t> </w:t>
            </w:r>
          </w:p>
        </w:tc>
        <w:tc>
          <w:tcPr>
            <w:tcW w:w="910" w:type="dxa"/>
            <w:tcBorders>
              <w:top w:val="nil"/>
              <w:left w:val="nil"/>
              <w:bottom w:val="single" w:sz="8" w:space="0" w:color="auto"/>
              <w:right w:val="single" w:sz="4" w:space="0" w:color="auto"/>
            </w:tcBorders>
            <w:shd w:val="clear" w:color="000000" w:fill="FF0000"/>
            <w:noWrap/>
            <w:vAlign w:val="center"/>
            <w:hideMark/>
          </w:tcPr>
          <w:p w14:paraId="3797E5CC" w14:textId="77777777" w:rsidR="00083E8E" w:rsidRPr="007C0BE5" w:rsidRDefault="00083E8E" w:rsidP="007C0BE5">
            <w:pPr>
              <w:widowControl/>
              <w:rPr>
                <w:rFonts w:ascii="Times New Roman" w:eastAsia="Times New Roman" w:hAnsi="Times New Roman" w:cs="Times New Roman"/>
                <w:color w:val="000000"/>
                <w:sz w:val="16"/>
                <w:szCs w:val="16"/>
                <w:lang w:eastAsia="es-HN"/>
              </w:rPr>
            </w:pPr>
            <w:r w:rsidRPr="007C0BE5">
              <w:rPr>
                <w:rFonts w:ascii="Times New Roman" w:eastAsia="Times New Roman" w:hAnsi="Times New Roman" w:cs="Times New Roman"/>
                <w:color w:val="000000"/>
                <w:sz w:val="16"/>
                <w:szCs w:val="16"/>
                <w:lang w:eastAsia="es-HN"/>
              </w:rPr>
              <w:t> </w:t>
            </w:r>
          </w:p>
        </w:tc>
      </w:tr>
    </w:tbl>
    <w:p w14:paraId="6A994F7D" w14:textId="5B30E00F" w:rsidR="00294C9A" w:rsidRDefault="00312614" w:rsidP="00312614">
      <w:pPr>
        <w:spacing w:line="360" w:lineRule="auto"/>
        <w:ind w:firstLine="720"/>
        <w:jc w:val="both"/>
        <w:rPr>
          <w:rFonts w:ascii="Times New Roman" w:hAnsi="Times New Roman" w:cs="Times New Roman"/>
          <w:sz w:val="24"/>
          <w:szCs w:val="24"/>
        </w:rPr>
      </w:pPr>
      <w:bookmarkStart w:id="224" w:name="_Toc166705818"/>
      <w:r w:rsidRPr="00312614">
        <w:rPr>
          <w:rFonts w:ascii="Times New Roman" w:hAnsi="Times New Roman" w:cs="Times New Roman"/>
          <w:sz w:val="24"/>
          <w:szCs w:val="24"/>
        </w:rPr>
        <w:t>Fuente: Elaboración propia.</w:t>
      </w:r>
    </w:p>
    <w:p w14:paraId="3A913829" w14:textId="77777777" w:rsidR="00816B30" w:rsidRPr="00312614" w:rsidRDefault="00816B30" w:rsidP="00312614">
      <w:pPr>
        <w:spacing w:line="360" w:lineRule="auto"/>
        <w:ind w:firstLine="720"/>
        <w:jc w:val="both"/>
        <w:rPr>
          <w:rFonts w:ascii="Times New Roman" w:hAnsi="Times New Roman" w:cs="Times New Roman"/>
          <w:sz w:val="24"/>
          <w:szCs w:val="24"/>
        </w:rPr>
      </w:pPr>
    </w:p>
    <w:p w14:paraId="67E137FA" w14:textId="4B111D2E" w:rsidR="007A01EE" w:rsidRPr="005C0109" w:rsidRDefault="005C0109" w:rsidP="005C0109">
      <w:pPr>
        <w:pStyle w:val="Ttulo2"/>
        <w:spacing w:line="360" w:lineRule="auto"/>
      </w:pPr>
      <w:bookmarkStart w:id="225" w:name="_Toc175171420"/>
      <w:r w:rsidRPr="005C0109">
        <w:rPr>
          <w:rFonts w:cs="Times New Roman"/>
          <w:szCs w:val="24"/>
        </w:rPr>
        <w:t>3.</w:t>
      </w:r>
      <w:r>
        <w:t xml:space="preserve">5. </w:t>
      </w:r>
      <w:r w:rsidR="00A871DB" w:rsidRPr="005C0109">
        <w:t>FUENTES DE INFORMACIÓN</w:t>
      </w:r>
      <w:bookmarkEnd w:id="224"/>
      <w:bookmarkEnd w:id="225"/>
    </w:p>
    <w:p w14:paraId="01FDF8BF" w14:textId="29D6EAF4" w:rsidR="002561CE" w:rsidRPr="002561CE" w:rsidRDefault="002561CE" w:rsidP="002561CE">
      <w:pPr>
        <w:spacing w:line="360" w:lineRule="auto"/>
        <w:ind w:firstLine="708"/>
        <w:jc w:val="both"/>
        <w:rPr>
          <w:rFonts w:ascii="Times New Roman" w:hAnsi="Times New Roman" w:cs="Times New Roman"/>
          <w:sz w:val="24"/>
          <w:szCs w:val="24"/>
        </w:rPr>
      </w:pPr>
      <w:r w:rsidRPr="002561CE">
        <w:rPr>
          <w:rFonts w:ascii="Times New Roman" w:hAnsi="Times New Roman" w:cs="Times New Roman"/>
          <w:b/>
          <w:bCs/>
          <w:sz w:val="24"/>
          <w:szCs w:val="24"/>
        </w:rPr>
        <w:t>“</w:t>
      </w:r>
      <w:r w:rsidRPr="002561CE">
        <w:rPr>
          <w:rFonts w:ascii="Times New Roman" w:hAnsi="Times New Roman" w:cs="Times New Roman"/>
          <w:sz w:val="24"/>
          <w:szCs w:val="24"/>
        </w:rPr>
        <w:t xml:space="preserve">Las fuentes de información documental son cualquier escrito o testimonio gráfico o visual que proporciona datos sobre el tema que se está investigando” </w:t>
      </w:r>
      <w:r w:rsidRPr="002561CE">
        <w:rPr>
          <w:rFonts w:ascii="Times New Roman" w:hAnsi="Times New Roman" w:cs="Times New Roman"/>
          <w:sz w:val="24"/>
          <w:szCs w:val="24"/>
        </w:rPr>
        <w:fldChar w:fldCharType="begin"/>
      </w:r>
      <w:r w:rsidR="00C52841">
        <w:rPr>
          <w:rFonts w:ascii="Times New Roman" w:hAnsi="Times New Roman" w:cs="Times New Roman"/>
          <w:sz w:val="24"/>
          <w:szCs w:val="24"/>
        </w:rPr>
        <w:instrText xml:space="preserve"> ADDIN ZOTERO_ITEM CSL_CITATION {"citationID":"f7ZkYQwW","properties":{"formattedCitation":"(H. Mart\\uc0\\u237{}nez, 2012, p. 150)","plainCitation":"(H. Martínez, 2012, p. 150)","noteIndex":0},"citationItems":[{"id":"mhK3fgOx/Hq2KBB0j","uris":["http://zotero.org/users/local/rewjbDUP/items/DIUPQC8K"],"itemData":{"id":20,"type":"book","event-place":"Méxicp D.F.","ISBN":"607-481-766-9","language":"Español","license":"Cengage Learning","publisher":"Cengage Learning Editores, S.A. de C.V.","publisher-place":"Méxicp D.F.","title":"Metodología de la Investigación","URL":"http://latinoamerica.cengage.com","author":[{"family":"Martínez","given":"Héctor"}],"issued":{"date-parts":[["2012"]]}},"locator":"150","label":"page"}],"schema":"https://github.com/citation-style-language/schema/raw/master/csl-citation.json"} </w:instrText>
      </w:r>
      <w:r w:rsidRPr="002561CE">
        <w:rPr>
          <w:rFonts w:ascii="Times New Roman" w:hAnsi="Times New Roman" w:cs="Times New Roman"/>
          <w:sz w:val="24"/>
          <w:szCs w:val="24"/>
        </w:rPr>
        <w:fldChar w:fldCharType="separate"/>
      </w:r>
      <w:r w:rsidRPr="002561CE">
        <w:rPr>
          <w:rFonts w:ascii="Times New Roman" w:hAnsi="Times New Roman" w:cs="Times New Roman"/>
          <w:sz w:val="24"/>
          <w:szCs w:val="24"/>
        </w:rPr>
        <w:t>(H. Martínez, 2012, p. 150)</w:t>
      </w:r>
      <w:r w:rsidRPr="002561CE">
        <w:rPr>
          <w:rFonts w:ascii="Times New Roman" w:hAnsi="Times New Roman" w:cs="Times New Roman"/>
          <w:sz w:val="24"/>
          <w:szCs w:val="24"/>
        </w:rPr>
        <w:fldChar w:fldCharType="end"/>
      </w:r>
      <w:r w:rsidRPr="002561CE">
        <w:rPr>
          <w:rFonts w:ascii="Times New Roman" w:hAnsi="Times New Roman" w:cs="Times New Roman"/>
          <w:sz w:val="24"/>
          <w:szCs w:val="24"/>
        </w:rPr>
        <w:t>.</w:t>
      </w:r>
    </w:p>
    <w:p w14:paraId="073C76EE" w14:textId="77777777" w:rsidR="002561CE" w:rsidRPr="002561CE" w:rsidRDefault="002561CE" w:rsidP="002561CE">
      <w:pPr>
        <w:spacing w:line="360" w:lineRule="auto"/>
        <w:jc w:val="both"/>
        <w:rPr>
          <w:rFonts w:ascii="Times New Roman" w:hAnsi="Times New Roman" w:cs="Times New Roman"/>
          <w:sz w:val="24"/>
          <w:szCs w:val="24"/>
        </w:rPr>
      </w:pPr>
      <w:r w:rsidRPr="002561CE">
        <w:rPr>
          <w:rFonts w:ascii="Times New Roman" w:hAnsi="Times New Roman" w:cs="Times New Roman"/>
          <w:sz w:val="24"/>
          <w:szCs w:val="24"/>
        </w:rPr>
        <w:t>Según la naturaleza de la información, estas pueden clasificarse en:</w:t>
      </w:r>
    </w:p>
    <w:p w14:paraId="35AB3D24" w14:textId="77777777" w:rsidR="002561CE" w:rsidRPr="002561CE" w:rsidRDefault="002561CE" w:rsidP="0037253C">
      <w:pPr>
        <w:pStyle w:val="Prrafodelista"/>
        <w:widowControl/>
        <w:numPr>
          <w:ilvl w:val="0"/>
          <w:numId w:val="26"/>
        </w:numPr>
        <w:spacing w:after="160" w:line="360" w:lineRule="auto"/>
        <w:ind w:hanging="153"/>
        <w:contextualSpacing/>
        <w:jc w:val="both"/>
        <w:rPr>
          <w:rFonts w:ascii="Times New Roman" w:hAnsi="Times New Roman" w:cs="Times New Roman"/>
          <w:sz w:val="24"/>
          <w:szCs w:val="24"/>
        </w:rPr>
      </w:pPr>
      <w:r w:rsidRPr="002561CE">
        <w:rPr>
          <w:rFonts w:ascii="Times New Roman" w:hAnsi="Times New Roman" w:cs="Times New Roman"/>
          <w:sz w:val="24"/>
          <w:szCs w:val="24"/>
        </w:rPr>
        <w:t>Fuentes Primarias</w:t>
      </w:r>
    </w:p>
    <w:p w14:paraId="74279DA9" w14:textId="0B81A8B2" w:rsidR="005C0109" w:rsidRDefault="002561CE" w:rsidP="0037253C">
      <w:pPr>
        <w:pStyle w:val="Prrafodelista"/>
        <w:widowControl/>
        <w:numPr>
          <w:ilvl w:val="0"/>
          <w:numId w:val="26"/>
        </w:numPr>
        <w:spacing w:after="160" w:line="360" w:lineRule="auto"/>
        <w:ind w:hanging="153"/>
        <w:contextualSpacing/>
        <w:jc w:val="both"/>
        <w:rPr>
          <w:rFonts w:ascii="Times New Roman" w:hAnsi="Times New Roman" w:cs="Times New Roman"/>
          <w:sz w:val="24"/>
          <w:szCs w:val="24"/>
        </w:rPr>
      </w:pPr>
      <w:r w:rsidRPr="002561CE">
        <w:rPr>
          <w:rFonts w:ascii="Times New Roman" w:hAnsi="Times New Roman" w:cs="Times New Roman"/>
          <w:sz w:val="24"/>
          <w:szCs w:val="24"/>
        </w:rPr>
        <w:t>Fuentes Secundarias</w:t>
      </w:r>
    </w:p>
    <w:p w14:paraId="01FAA114" w14:textId="77777777" w:rsidR="00294C9A" w:rsidRDefault="00294C9A" w:rsidP="00294C9A">
      <w:pPr>
        <w:pStyle w:val="Prrafodelista"/>
        <w:widowControl/>
        <w:spacing w:after="160" w:line="360" w:lineRule="auto"/>
        <w:ind w:left="720"/>
        <w:contextualSpacing/>
        <w:jc w:val="both"/>
        <w:rPr>
          <w:rFonts w:ascii="Times New Roman" w:hAnsi="Times New Roman" w:cs="Times New Roman"/>
          <w:sz w:val="24"/>
          <w:szCs w:val="24"/>
        </w:rPr>
      </w:pPr>
    </w:p>
    <w:p w14:paraId="21DB9750" w14:textId="5E217A03" w:rsidR="007A01EE" w:rsidRPr="00877DED" w:rsidRDefault="005C0109" w:rsidP="005C0109">
      <w:pPr>
        <w:pStyle w:val="Ttulo3"/>
        <w:spacing w:line="360" w:lineRule="auto"/>
        <w:ind w:left="0" w:firstLine="720"/>
      </w:pPr>
      <w:bookmarkStart w:id="226" w:name="_Toc166705819"/>
      <w:bookmarkStart w:id="227" w:name="_Toc175171421"/>
      <w:r>
        <w:t xml:space="preserve">3.5.1. </w:t>
      </w:r>
      <w:r w:rsidR="00A871DB" w:rsidRPr="00877DED">
        <w:t>FUENTES PRIMARIAS</w:t>
      </w:r>
      <w:bookmarkEnd w:id="226"/>
      <w:bookmarkEnd w:id="227"/>
    </w:p>
    <w:p w14:paraId="77702C84" w14:textId="1F3C7590" w:rsidR="002561CE" w:rsidRPr="002561CE" w:rsidRDefault="002561CE" w:rsidP="0037253C">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ab/>
      </w:r>
      <w:r w:rsidRPr="002561CE">
        <w:rPr>
          <w:rFonts w:ascii="Times New Roman" w:hAnsi="Times New Roman" w:cs="Times New Roman"/>
          <w:sz w:val="24"/>
          <w:szCs w:val="24"/>
        </w:rPr>
        <w:fldChar w:fldCharType="begin"/>
      </w:r>
      <w:r w:rsidR="00C52841">
        <w:rPr>
          <w:rFonts w:ascii="Times New Roman" w:hAnsi="Times New Roman" w:cs="Times New Roman"/>
          <w:sz w:val="24"/>
          <w:szCs w:val="24"/>
        </w:rPr>
        <w:instrText xml:space="preserve"> ADDIN ZOTERO_ITEM CSL_CITATION {"citationID":"39c1cHE3","properties":{"formattedCitation":"(Monroy &amp; Nava, 2018)","plainCitation":"(Monroy &amp; Nava, 2018)","dontUpdate":true,"noteIndex":0},"citationItems":[{"id":"mhK3fgOx/IBvAdwF0","uris":["http://zotero.org/users/local/rewjbDUP/items/WCML9XLE"],"itemData":{"id":19,"type":"book","event-place":"México, D.F.","ISBN":"978-607-8543-39-7","language":"Español","license":"Lapislázuli, ediciones","number-of-pages":"169","publisher":"Grupo Editorial Éxodo","publisher-place":"México, D.F.","title":"Metodología de la Investigación","volume":"0","author":[{"family":"Monroy","given":"Maria"},{"family":"Nava","given":"Nelisahuel"}],"issued":{"date-parts":[["2018",8]]}}}],"schema":"https://github.com/citation-style-language/schema/raw/master/csl-citation.json"} </w:instrText>
      </w:r>
      <w:r w:rsidRPr="002561CE">
        <w:rPr>
          <w:rFonts w:ascii="Times New Roman" w:hAnsi="Times New Roman" w:cs="Times New Roman"/>
          <w:sz w:val="24"/>
          <w:szCs w:val="24"/>
        </w:rPr>
        <w:fldChar w:fldCharType="separate"/>
      </w:r>
      <w:r w:rsidRPr="002561CE">
        <w:rPr>
          <w:rFonts w:ascii="Times New Roman" w:hAnsi="Times New Roman" w:cs="Times New Roman"/>
          <w:sz w:val="24"/>
          <w:szCs w:val="24"/>
        </w:rPr>
        <w:t>Monroy &amp; Nava, (2018)</w:t>
      </w:r>
      <w:r w:rsidRPr="002561CE">
        <w:rPr>
          <w:rFonts w:ascii="Times New Roman" w:hAnsi="Times New Roman" w:cs="Times New Roman"/>
          <w:sz w:val="24"/>
          <w:szCs w:val="24"/>
        </w:rPr>
        <w:fldChar w:fldCharType="end"/>
      </w:r>
      <w:r w:rsidRPr="002561CE">
        <w:rPr>
          <w:rFonts w:ascii="Times New Roman" w:hAnsi="Times New Roman" w:cs="Times New Roman"/>
          <w:sz w:val="24"/>
          <w:szCs w:val="24"/>
        </w:rPr>
        <w:t>, define que “Las fuentes primarias o de primera mano son las que proporcionan datos nuevos, originales y directos, que no remiten a otras fuentes”</w:t>
      </w:r>
      <w:r w:rsidRPr="002561CE">
        <w:rPr>
          <w:rFonts w:ascii="Times New Roman" w:hAnsi="Times New Roman" w:cs="Times New Roman"/>
          <w:sz w:val="24"/>
          <w:szCs w:val="24"/>
        </w:rPr>
        <w:fldChar w:fldCharType="begin"/>
      </w:r>
      <w:r w:rsidR="00C52841">
        <w:rPr>
          <w:rFonts w:ascii="Times New Roman" w:hAnsi="Times New Roman" w:cs="Times New Roman"/>
          <w:sz w:val="24"/>
          <w:szCs w:val="24"/>
        </w:rPr>
        <w:instrText xml:space="preserve"> ADDIN ZOTERO_ITEM CSL_CITATION {"citationID":"5YrMlnLb","properties":{"formattedCitation":"(Monroy &amp; Nava, 2018)","plainCitation":"(Monroy &amp; Nava, 2018)","dontUpdate":true,"noteIndex":0},"citationItems":[{"id":"mhK3fgOx/IBvAdwF0","uris":["http://zotero.org/users/local/rewjbDUP/items/WCML9XLE"],"itemData":{"id":19,"type":"book","event-place":"México, D.F.","ISBN":"978-607-8543-39-7","language":"Español","license":"Lapislázuli, ediciones","number-of-pages":"169","publisher":"Grupo Editorial Éxodo","publisher-place":"México, D.F.","title":"Metodología de la Investigación","volume":"0","author":[{"family":"Monroy","given":"Maria"},{"family":"Nava","given":"Nelisahuel"}],"issued":{"date-parts":[["2018",8]]}}}],"schema":"https://github.com/citation-style-language/schema/raw/master/csl-citation.json"} </w:instrText>
      </w:r>
      <w:r w:rsidR="00000000">
        <w:rPr>
          <w:rFonts w:ascii="Times New Roman" w:hAnsi="Times New Roman" w:cs="Times New Roman"/>
          <w:sz w:val="24"/>
          <w:szCs w:val="24"/>
        </w:rPr>
        <w:fldChar w:fldCharType="separate"/>
      </w:r>
      <w:r w:rsidRPr="002561CE">
        <w:rPr>
          <w:rFonts w:ascii="Times New Roman" w:hAnsi="Times New Roman" w:cs="Times New Roman"/>
          <w:sz w:val="24"/>
          <w:szCs w:val="24"/>
        </w:rPr>
        <w:fldChar w:fldCharType="end"/>
      </w:r>
      <w:r w:rsidRPr="002561CE">
        <w:rPr>
          <w:rFonts w:ascii="Times New Roman" w:hAnsi="Times New Roman" w:cs="Times New Roman"/>
          <w:sz w:val="24"/>
          <w:szCs w:val="24"/>
        </w:rPr>
        <w:t>.</w:t>
      </w:r>
    </w:p>
    <w:p w14:paraId="2568B7F2" w14:textId="0BEF389C" w:rsidR="002561CE" w:rsidRPr="002561CE" w:rsidRDefault="002561CE" w:rsidP="0037253C">
      <w:pPr>
        <w:spacing w:line="360" w:lineRule="auto"/>
        <w:ind w:firstLine="720"/>
        <w:jc w:val="both"/>
        <w:rPr>
          <w:rFonts w:ascii="Times New Roman" w:hAnsi="Times New Roman" w:cs="Times New Roman"/>
          <w:sz w:val="24"/>
          <w:szCs w:val="24"/>
        </w:rPr>
      </w:pPr>
      <w:r w:rsidRPr="002561CE">
        <w:rPr>
          <w:rFonts w:ascii="Times New Roman" w:hAnsi="Times New Roman" w:cs="Times New Roman"/>
          <w:sz w:val="24"/>
          <w:szCs w:val="24"/>
        </w:rPr>
        <w:tab/>
        <w:t xml:space="preserve">Sin embargo, para </w:t>
      </w:r>
      <w:r w:rsidRPr="002561CE">
        <w:rPr>
          <w:rFonts w:ascii="Times New Roman" w:hAnsi="Times New Roman" w:cs="Times New Roman"/>
          <w:sz w:val="24"/>
          <w:szCs w:val="24"/>
        </w:rPr>
        <w:fldChar w:fldCharType="begin"/>
      </w:r>
      <w:r w:rsidR="00C52841">
        <w:rPr>
          <w:rFonts w:ascii="Times New Roman" w:hAnsi="Times New Roman" w:cs="Times New Roman"/>
          <w:sz w:val="24"/>
          <w:szCs w:val="24"/>
        </w:rPr>
        <w:instrText xml:space="preserve"> ADDIN ZOTERO_ITEM CSL_CITATION {"citationID":"Dc5qS3bW","properties":{"formattedCitation":"(H. Mart\\uc0\\u237{}nez, 2012)","plainCitation":"(H. Martínez, 2012)","dontUpdate":true,"noteIndex":0},"citationItems":[{"id":"mhK3fgOx/Hq2KBB0j","uris":["http://zotero.org/users/local/rewjbDUP/items/DIUPQC8K"],"itemData":{"id":20,"type":"book","event-place":"Méxicp D.F.","ISBN":"607-481-766-9","language":"Español","license":"Cengage Learning","publisher":"Cengage Learning Editores, S.A. de C.V.","publisher-place":"Méxicp D.F.","title":"Metodología de la Investigación","URL":"http://latinoamerica.cengage.com","author":[{"family":"Martínez","given":"Héctor"}],"issued":{"date-parts":[["2012"]]}}}],"schema":"https://github.com/citation-style-language/schema/raw/master/csl-citation.json"} </w:instrText>
      </w:r>
      <w:r w:rsidRPr="002561CE">
        <w:rPr>
          <w:rFonts w:ascii="Times New Roman" w:hAnsi="Times New Roman" w:cs="Times New Roman"/>
          <w:sz w:val="24"/>
          <w:szCs w:val="24"/>
        </w:rPr>
        <w:fldChar w:fldCharType="separate"/>
      </w:r>
      <w:r w:rsidRPr="002561CE">
        <w:rPr>
          <w:rFonts w:ascii="Times New Roman" w:hAnsi="Times New Roman" w:cs="Times New Roman"/>
          <w:sz w:val="24"/>
          <w:szCs w:val="24"/>
        </w:rPr>
        <w:t>H. Martínez, (2012)</w:t>
      </w:r>
      <w:r w:rsidRPr="002561CE">
        <w:rPr>
          <w:rFonts w:ascii="Times New Roman" w:hAnsi="Times New Roman" w:cs="Times New Roman"/>
          <w:sz w:val="24"/>
          <w:szCs w:val="24"/>
        </w:rPr>
        <w:fldChar w:fldCharType="end"/>
      </w:r>
      <w:r w:rsidRPr="002561CE">
        <w:rPr>
          <w:rFonts w:ascii="Times New Roman" w:hAnsi="Times New Roman" w:cs="Times New Roman"/>
          <w:sz w:val="24"/>
          <w:szCs w:val="24"/>
        </w:rPr>
        <w:t>, la información de primera mano o datos primarios es aquella que ha sido obtenida, organizada y formulada por el propio investigador.</w:t>
      </w:r>
    </w:p>
    <w:p w14:paraId="3D657949" w14:textId="77777777" w:rsidR="002561CE" w:rsidRPr="002561CE" w:rsidRDefault="002561CE" w:rsidP="0037253C">
      <w:pPr>
        <w:spacing w:line="360" w:lineRule="auto"/>
        <w:ind w:firstLine="720"/>
        <w:jc w:val="both"/>
        <w:rPr>
          <w:rFonts w:ascii="Times New Roman" w:hAnsi="Times New Roman" w:cs="Times New Roman"/>
          <w:sz w:val="24"/>
          <w:szCs w:val="24"/>
        </w:rPr>
      </w:pPr>
      <w:r w:rsidRPr="002561CE">
        <w:rPr>
          <w:rFonts w:ascii="Times New Roman" w:hAnsi="Times New Roman" w:cs="Times New Roman"/>
          <w:sz w:val="24"/>
          <w:szCs w:val="24"/>
        </w:rPr>
        <w:lastRenderedPageBreak/>
        <w:tab/>
        <w:t>A continuación, se detallan las fuentes primarias utilizadas para recopilar los datos de esta investigación:</w:t>
      </w:r>
    </w:p>
    <w:p w14:paraId="78EAAC19" w14:textId="1638DEF9" w:rsidR="002561CE" w:rsidRPr="002561CE" w:rsidRDefault="002561CE" w:rsidP="002561CE">
      <w:pPr>
        <w:pStyle w:val="Prrafodelista"/>
        <w:widowControl/>
        <w:numPr>
          <w:ilvl w:val="0"/>
          <w:numId w:val="27"/>
        </w:numPr>
        <w:spacing w:after="160" w:line="360" w:lineRule="auto"/>
        <w:contextualSpacing/>
        <w:jc w:val="both"/>
        <w:rPr>
          <w:rFonts w:ascii="Times New Roman" w:hAnsi="Times New Roman" w:cs="Times New Roman"/>
          <w:sz w:val="24"/>
          <w:szCs w:val="24"/>
        </w:rPr>
      </w:pPr>
      <w:r w:rsidRPr="002561CE">
        <w:rPr>
          <w:rFonts w:ascii="Times New Roman" w:hAnsi="Times New Roman" w:cs="Times New Roman"/>
          <w:sz w:val="24"/>
          <w:szCs w:val="24"/>
        </w:rPr>
        <w:t xml:space="preserve">Bases de datos de los Estados Financieros y de las carteras de la microfinanciera </w:t>
      </w:r>
      <w:r w:rsidR="00E5074B">
        <w:rPr>
          <w:rFonts w:ascii="Times New Roman" w:hAnsi="Times New Roman" w:cs="Times New Roman"/>
          <w:sz w:val="24"/>
          <w:szCs w:val="24"/>
        </w:rPr>
        <w:t>“XYZ”</w:t>
      </w:r>
      <w:r w:rsidRPr="002561CE">
        <w:rPr>
          <w:rFonts w:ascii="Times New Roman" w:hAnsi="Times New Roman" w:cs="Times New Roman"/>
          <w:sz w:val="24"/>
          <w:szCs w:val="24"/>
        </w:rPr>
        <w:t xml:space="preserve"> durante el periodo 2019 – 2023.</w:t>
      </w:r>
    </w:p>
    <w:p w14:paraId="7E5BABFD" w14:textId="3F303E62" w:rsidR="00294C9A" w:rsidRDefault="002561CE" w:rsidP="003E2058">
      <w:pPr>
        <w:pStyle w:val="Prrafodelista"/>
        <w:widowControl/>
        <w:numPr>
          <w:ilvl w:val="0"/>
          <w:numId w:val="27"/>
        </w:numPr>
        <w:spacing w:after="160" w:line="360" w:lineRule="auto"/>
        <w:contextualSpacing/>
        <w:jc w:val="both"/>
        <w:rPr>
          <w:rFonts w:ascii="Times New Roman" w:hAnsi="Times New Roman" w:cs="Times New Roman"/>
          <w:sz w:val="24"/>
          <w:szCs w:val="24"/>
        </w:rPr>
      </w:pPr>
      <w:r w:rsidRPr="002561CE">
        <w:rPr>
          <w:rFonts w:ascii="Times New Roman" w:hAnsi="Times New Roman" w:cs="Times New Roman"/>
          <w:sz w:val="24"/>
          <w:szCs w:val="24"/>
        </w:rPr>
        <w:t xml:space="preserve">Gerentes de la microfinanciera </w:t>
      </w:r>
      <w:r w:rsidR="00E5074B">
        <w:rPr>
          <w:rFonts w:ascii="Times New Roman" w:hAnsi="Times New Roman" w:cs="Times New Roman"/>
          <w:sz w:val="24"/>
          <w:szCs w:val="24"/>
        </w:rPr>
        <w:t>“XYZ”</w:t>
      </w:r>
      <w:r w:rsidRPr="002561CE">
        <w:rPr>
          <w:rFonts w:ascii="Times New Roman" w:hAnsi="Times New Roman" w:cs="Times New Roman"/>
          <w:sz w:val="24"/>
          <w:szCs w:val="24"/>
        </w:rPr>
        <w:t>, a través de entrevistas.</w:t>
      </w:r>
      <w:bookmarkStart w:id="228" w:name="_Toc166705820"/>
    </w:p>
    <w:p w14:paraId="03D3D97D" w14:textId="77777777" w:rsidR="003E2058" w:rsidRPr="003E2058" w:rsidRDefault="003E2058" w:rsidP="003E2058">
      <w:pPr>
        <w:widowControl/>
        <w:spacing w:line="360" w:lineRule="auto"/>
        <w:ind w:left="360"/>
        <w:contextualSpacing/>
        <w:jc w:val="both"/>
        <w:rPr>
          <w:rFonts w:ascii="Times New Roman" w:hAnsi="Times New Roman" w:cs="Times New Roman"/>
          <w:sz w:val="24"/>
          <w:szCs w:val="24"/>
        </w:rPr>
      </w:pPr>
    </w:p>
    <w:p w14:paraId="47C29209" w14:textId="168B7030" w:rsidR="007A01EE" w:rsidRPr="00877DED" w:rsidRDefault="00984C6F" w:rsidP="00984C6F">
      <w:pPr>
        <w:pStyle w:val="Ttulo3"/>
        <w:spacing w:before="0" w:line="360" w:lineRule="auto"/>
        <w:ind w:left="0" w:firstLine="720"/>
      </w:pPr>
      <w:bookmarkStart w:id="229" w:name="_Toc175171422"/>
      <w:r>
        <w:t xml:space="preserve">3.5.2. </w:t>
      </w:r>
      <w:r w:rsidR="00A871DB" w:rsidRPr="00877DED">
        <w:t>FUENTES SECUNDARIAS</w:t>
      </w:r>
      <w:bookmarkEnd w:id="228"/>
      <w:bookmarkEnd w:id="229"/>
    </w:p>
    <w:p w14:paraId="1885B9FF" w14:textId="7B07D8B5" w:rsidR="002561CE" w:rsidRPr="002561CE" w:rsidRDefault="002561CE" w:rsidP="002561CE">
      <w:pPr>
        <w:spacing w:line="360" w:lineRule="auto"/>
        <w:ind w:firstLine="708"/>
        <w:jc w:val="both"/>
        <w:rPr>
          <w:rFonts w:ascii="Times New Roman" w:hAnsi="Times New Roman" w:cs="Times New Roman"/>
          <w:sz w:val="24"/>
          <w:szCs w:val="24"/>
        </w:rPr>
      </w:pPr>
      <w:r w:rsidRPr="002561CE">
        <w:rPr>
          <w:rFonts w:ascii="Times New Roman" w:hAnsi="Times New Roman" w:cs="Times New Roman"/>
          <w:sz w:val="24"/>
          <w:szCs w:val="24"/>
        </w:rPr>
        <w:t>“Los datos secundarios o información de segunda mano es la que se obtiene de las fuentes documentales que provienen de otras investigaciones”</w:t>
      </w:r>
      <w:r w:rsidRPr="002561CE">
        <w:rPr>
          <w:rFonts w:ascii="Times New Roman" w:hAnsi="Times New Roman" w:cs="Times New Roman"/>
          <w:sz w:val="24"/>
          <w:szCs w:val="24"/>
        </w:rPr>
        <w:fldChar w:fldCharType="begin"/>
      </w:r>
      <w:r w:rsidR="00C52841">
        <w:rPr>
          <w:rFonts w:ascii="Times New Roman" w:hAnsi="Times New Roman" w:cs="Times New Roman"/>
          <w:sz w:val="24"/>
          <w:szCs w:val="24"/>
        </w:rPr>
        <w:instrText xml:space="preserve"> ADDIN ZOTERO_ITEM CSL_CITATION {"citationID":"vptiOE6V","properties":{"formattedCitation":"(H. Mart\\uc0\\u237{}nez, 2012)","plainCitation":"(H. Martínez, 2012)","noteIndex":0},"citationItems":[{"id":"mhK3fgOx/Hq2KBB0j","uris":["http://zotero.org/users/local/rewjbDUP/items/DIUPQC8K"],"itemData":{"id":20,"type":"book","event-place":"Méxicp D.F.","ISBN":"607-481-766-9","language":"Español","license":"Cengage Learning","publisher":"Cengage Learning Editores, S.A. de C.V.","publisher-place":"Méxicp D.F.","title":"Metodología de la Investigación","URL":"http://latinoamerica.cengage.com","author":[{"family":"Martínez","given":"Héctor"}],"issued":{"date-parts":[["2012"]]}}}],"schema":"https://github.com/citation-style-language/schema/raw/master/csl-citation.json"} </w:instrText>
      </w:r>
      <w:r w:rsidRPr="002561CE">
        <w:rPr>
          <w:rFonts w:ascii="Times New Roman" w:hAnsi="Times New Roman" w:cs="Times New Roman"/>
          <w:sz w:val="24"/>
          <w:szCs w:val="24"/>
        </w:rPr>
        <w:fldChar w:fldCharType="separate"/>
      </w:r>
      <w:r w:rsidRPr="002561CE">
        <w:rPr>
          <w:rFonts w:ascii="Times New Roman" w:hAnsi="Times New Roman" w:cs="Times New Roman"/>
          <w:sz w:val="24"/>
          <w:szCs w:val="24"/>
        </w:rPr>
        <w:t>(H. Martínez, 2012)</w:t>
      </w:r>
      <w:r w:rsidRPr="002561CE">
        <w:rPr>
          <w:rFonts w:ascii="Times New Roman" w:hAnsi="Times New Roman" w:cs="Times New Roman"/>
          <w:sz w:val="24"/>
          <w:szCs w:val="24"/>
        </w:rPr>
        <w:fldChar w:fldCharType="end"/>
      </w:r>
      <w:r w:rsidRPr="002561CE">
        <w:rPr>
          <w:rFonts w:ascii="Times New Roman" w:hAnsi="Times New Roman" w:cs="Times New Roman"/>
          <w:sz w:val="24"/>
          <w:szCs w:val="24"/>
        </w:rPr>
        <w:t>.</w:t>
      </w:r>
    </w:p>
    <w:p w14:paraId="5D3D1D03" w14:textId="77777777" w:rsidR="002561CE" w:rsidRPr="002561CE" w:rsidRDefault="002561CE" w:rsidP="002561CE">
      <w:pPr>
        <w:spacing w:line="360" w:lineRule="auto"/>
        <w:jc w:val="both"/>
        <w:rPr>
          <w:rFonts w:ascii="Times New Roman" w:hAnsi="Times New Roman" w:cs="Times New Roman"/>
          <w:sz w:val="24"/>
          <w:szCs w:val="24"/>
        </w:rPr>
      </w:pPr>
      <w:r w:rsidRPr="002561CE">
        <w:rPr>
          <w:rFonts w:ascii="Times New Roman" w:hAnsi="Times New Roman" w:cs="Times New Roman"/>
          <w:sz w:val="24"/>
          <w:szCs w:val="24"/>
        </w:rPr>
        <w:tab/>
        <w:t>Las fuentes de información secundarias utilizadas para esta investigación son las siguientes:</w:t>
      </w:r>
    </w:p>
    <w:p w14:paraId="0C8EF0D5" w14:textId="77777777" w:rsidR="002561CE" w:rsidRPr="002561CE" w:rsidRDefault="002561CE" w:rsidP="0037253C">
      <w:pPr>
        <w:pStyle w:val="Prrafodelista"/>
        <w:widowControl/>
        <w:numPr>
          <w:ilvl w:val="0"/>
          <w:numId w:val="28"/>
        </w:numPr>
        <w:spacing w:after="160" w:line="360" w:lineRule="auto"/>
        <w:ind w:left="0" w:firstLine="720"/>
        <w:contextualSpacing/>
        <w:jc w:val="both"/>
        <w:rPr>
          <w:rFonts w:ascii="Times New Roman" w:hAnsi="Times New Roman" w:cs="Times New Roman"/>
          <w:sz w:val="24"/>
          <w:szCs w:val="24"/>
        </w:rPr>
      </w:pPr>
      <w:r w:rsidRPr="002561CE">
        <w:rPr>
          <w:rFonts w:ascii="Times New Roman" w:hAnsi="Times New Roman" w:cs="Times New Roman"/>
          <w:sz w:val="24"/>
          <w:szCs w:val="24"/>
        </w:rPr>
        <w:t>Libros digitales</w:t>
      </w:r>
    </w:p>
    <w:p w14:paraId="62B9CEB4" w14:textId="77777777" w:rsidR="002561CE" w:rsidRPr="002561CE" w:rsidRDefault="002561CE" w:rsidP="0037253C">
      <w:pPr>
        <w:pStyle w:val="Prrafodelista"/>
        <w:widowControl/>
        <w:numPr>
          <w:ilvl w:val="0"/>
          <w:numId w:val="28"/>
        </w:numPr>
        <w:spacing w:after="160" w:line="360" w:lineRule="auto"/>
        <w:ind w:left="0" w:firstLine="720"/>
        <w:contextualSpacing/>
        <w:jc w:val="both"/>
        <w:rPr>
          <w:rFonts w:ascii="Times New Roman" w:hAnsi="Times New Roman" w:cs="Times New Roman"/>
          <w:sz w:val="24"/>
          <w:szCs w:val="24"/>
        </w:rPr>
      </w:pPr>
      <w:r w:rsidRPr="002561CE">
        <w:rPr>
          <w:rFonts w:ascii="Times New Roman" w:hAnsi="Times New Roman" w:cs="Times New Roman"/>
          <w:sz w:val="24"/>
          <w:szCs w:val="24"/>
        </w:rPr>
        <w:t xml:space="preserve">Tesis de Investigación </w:t>
      </w:r>
    </w:p>
    <w:p w14:paraId="0D3BB97E" w14:textId="77777777" w:rsidR="002561CE" w:rsidRPr="002561CE" w:rsidRDefault="002561CE" w:rsidP="0037253C">
      <w:pPr>
        <w:pStyle w:val="Prrafodelista"/>
        <w:widowControl/>
        <w:numPr>
          <w:ilvl w:val="0"/>
          <w:numId w:val="28"/>
        </w:numPr>
        <w:spacing w:after="160" w:line="360" w:lineRule="auto"/>
        <w:ind w:left="0" w:firstLine="720"/>
        <w:contextualSpacing/>
        <w:jc w:val="both"/>
        <w:rPr>
          <w:rFonts w:ascii="Times New Roman" w:hAnsi="Times New Roman" w:cs="Times New Roman"/>
          <w:sz w:val="24"/>
          <w:szCs w:val="24"/>
        </w:rPr>
      </w:pPr>
      <w:r w:rsidRPr="002561CE">
        <w:rPr>
          <w:rFonts w:ascii="Times New Roman" w:hAnsi="Times New Roman" w:cs="Times New Roman"/>
          <w:sz w:val="24"/>
          <w:szCs w:val="24"/>
        </w:rPr>
        <w:t>Páginas Web</w:t>
      </w:r>
    </w:p>
    <w:p w14:paraId="4747D20B" w14:textId="77777777" w:rsidR="002561CE" w:rsidRDefault="002561CE" w:rsidP="0037253C">
      <w:pPr>
        <w:pStyle w:val="Prrafodelista"/>
        <w:widowControl/>
        <w:numPr>
          <w:ilvl w:val="0"/>
          <w:numId w:val="28"/>
        </w:numPr>
        <w:spacing w:after="160" w:line="360" w:lineRule="auto"/>
        <w:ind w:left="0" w:firstLine="720"/>
        <w:contextualSpacing/>
        <w:jc w:val="both"/>
        <w:rPr>
          <w:rFonts w:ascii="Times New Roman" w:hAnsi="Times New Roman" w:cs="Times New Roman"/>
          <w:sz w:val="24"/>
          <w:szCs w:val="24"/>
        </w:rPr>
      </w:pPr>
      <w:r w:rsidRPr="002561CE">
        <w:rPr>
          <w:rFonts w:ascii="Times New Roman" w:hAnsi="Times New Roman" w:cs="Times New Roman"/>
          <w:sz w:val="24"/>
          <w:szCs w:val="24"/>
        </w:rPr>
        <w:t xml:space="preserve">Revistas y Artículos de Investigación Académicas y Científicas </w:t>
      </w:r>
    </w:p>
    <w:p w14:paraId="4A349B55" w14:textId="77777777" w:rsidR="000A4AD5" w:rsidRDefault="000A4AD5" w:rsidP="000A4AD5">
      <w:pPr>
        <w:widowControl/>
        <w:spacing w:after="160" w:line="360" w:lineRule="auto"/>
        <w:contextualSpacing/>
        <w:jc w:val="both"/>
        <w:rPr>
          <w:rFonts w:ascii="Times New Roman" w:hAnsi="Times New Roman" w:cs="Times New Roman"/>
          <w:sz w:val="24"/>
          <w:szCs w:val="24"/>
        </w:rPr>
      </w:pPr>
    </w:p>
    <w:p w14:paraId="4B0CD5F9" w14:textId="77777777" w:rsidR="00F21407" w:rsidRDefault="00F21407">
      <w:pPr>
        <w:widowControl/>
        <w:spacing w:after="160" w:line="259" w:lineRule="auto"/>
        <w:rPr>
          <w:rFonts w:ascii="Times New Roman" w:eastAsiaTheme="majorEastAsia" w:hAnsi="Times New Roman" w:cs="Times New Roman"/>
          <w:b/>
          <w:sz w:val="28"/>
          <w:szCs w:val="28"/>
        </w:rPr>
      </w:pPr>
      <w:bookmarkStart w:id="230" w:name="_Toc474331196"/>
      <w:bookmarkStart w:id="231" w:name="_Toc474331397"/>
      <w:bookmarkStart w:id="232" w:name="_Toc166705821"/>
      <w:r>
        <w:br w:type="page"/>
      </w:r>
    </w:p>
    <w:p w14:paraId="3F3DD286" w14:textId="0591F266" w:rsidR="00F560FD" w:rsidRPr="006740FE" w:rsidRDefault="00F560FD" w:rsidP="00195CA2">
      <w:pPr>
        <w:pStyle w:val="Ttulo1"/>
        <w:spacing w:before="0" w:after="120" w:line="360" w:lineRule="auto"/>
      </w:pPr>
      <w:bookmarkStart w:id="233" w:name="_Toc175171423"/>
      <w:r w:rsidRPr="006740FE">
        <w:lastRenderedPageBreak/>
        <w:t>CAPÍTULO IV. RESULTADOS Y ANÁLISIS</w:t>
      </w:r>
      <w:bookmarkEnd w:id="230"/>
      <w:bookmarkEnd w:id="231"/>
      <w:bookmarkEnd w:id="232"/>
      <w:bookmarkEnd w:id="233"/>
    </w:p>
    <w:p w14:paraId="632D7264" w14:textId="77777777" w:rsidR="001A2EA3" w:rsidRPr="006740FE" w:rsidRDefault="001A2EA3" w:rsidP="00195CA2">
      <w:pPr>
        <w:pStyle w:val="Prrafodelista"/>
        <w:numPr>
          <w:ilvl w:val="0"/>
          <w:numId w:val="12"/>
        </w:numPr>
        <w:spacing w:after="120" w:line="360" w:lineRule="auto"/>
        <w:outlineLvl w:val="1"/>
        <w:rPr>
          <w:rFonts w:ascii="Times New Roman" w:eastAsia="Times New Roman" w:hAnsi="Times New Roman" w:cs="Times New Roman"/>
          <w:b/>
          <w:bCs/>
          <w:vanish/>
          <w:sz w:val="24"/>
          <w:szCs w:val="32"/>
        </w:rPr>
      </w:pPr>
      <w:bookmarkStart w:id="234" w:name="_Toc130288102"/>
      <w:bookmarkStart w:id="235" w:name="_Toc132615468"/>
      <w:bookmarkStart w:id="236" w:name="_Toc133044415"/>
      <w:bookmarkStart w:id="237" w:name="_Toc157802680"/>
      <w:bookmarkStart w:id="238" w:name="_Toc158059831"/>
      <w:bookmarkStart w:id="239" w:name="_Toc158062788"/>
      <w:bookmarkStart w:id="240" w:name="_Toc158745566"/>
      <w:bookmarkStart w:id="241" w:name="_Toc162118126"/>
      <w:bookmarkStart w:id="242" w:name="_Toc162118226"/>
      <w:bookmarkStart w:id="243" w:name="_Toc162120598"/>
      <w:bookmarkStart w:id="244" w:name="_Toc162121273"/>
      <w:bookmarkStart w:id="245" w:name="_Toc162130296"/>
      <w:bookmarkStart w:id="246" w:name="_Toc162130403"/>
      <w:bookmarkStart w:id="247" w:name="_Toc162131051"/>
      <w:bookmarkStart w:id="248" w:name="_Toc162131159"/>
      <w:bookmarkStart w:id="249" w:name="_Toc166705822"/>
      <w:bookmarkStart w:id="250" w:name="_Toc166705960"/>
      <w:bookmarkStart w:id="251" w:name="_Toc167746680"/>
      <w:bookmarkStart w:id="252" w:name="_Toc167746812"/>
      <w:bookmarkStart w:id="253" w:name="_Toc167746947"/>
      <w:bookmarkStart w:id="254" w:name="_Toc167747080"/>
      <w:bookmarkStart w:id="255" w:name="_Toc167747212"/>
      <w:bookmarkStart w:id="256" w:name="_Toc167747345"/>
      <w:bookmarkStart w:id="257" w:name="_Toc167747478"/>
      <w:bookmarkStart w:id="258" w:name="_Toc170063943"/>
      <w:bookmarkStart w:id="259" w:name="_Toc170064087"/>
      <w:bookmarkStart w:id="260" w:name="_Toc170064233"/>
      <w:bookmarkStart w:id="261" w:name="_Toc170064377"/>
      <w:bookmarkStart w:id="262" w:name="_Toc170246328"/>
      <w:bookmarkStart w:id="263" w:name="_Toc170246472"/>
      <w:bookmarkStart w:id="264" w:name="_Toc170246616"/>
      <w:bookmarkStart w:id="265" w:name="_Toc474331197"/>
      <w:bookmarkStart w:id="266" w:name="_Toc474331398"/>
      <w:bookmarkStart w:id="267" w:name="_Toc175171277"/>
      <w:bookmarkStart w:id="268" w:name="_Toc175171424"/>
      <w:bookmarkEnd w:id="234"/>
      <w:bookmarkEnd w:id="235"/>
      <w:bookmarkEnd w:id="236"/>
      <w:bookmarkEnd w:id="237"/>
      <w:bookmarkEnd w:id="238"/>
      <w:bookmarkEnd w:id="239"/>
      <w:bookmarkEnd w:id="240"/>
      <w:bookmarkEnd w:id="241"/>
      <w:bookmarkEnd w:id="242"/>
      <w:bookmarkEnd w:id="243"/>
      <w:bookmarkEnd w:id="244"/>
      <w:bookmarkEnd w:id="245"/>
      <w:bookmarkEnd w:id="246"/>
      <w:bookmarkEnd w:id="247"/>
      <w:bookmarkEnd w:id="248"/>
      <w:bookmarkEnd w:id="249"/>
      <w:bookmarkEnd w:id="250"/>
      <w:bookmarkEnd w:id="251"/>
      <w:bookmarkEnd w:id="252"/>
      <w:bookmarkEnd w:id="253"/>
      <w:bookmarkEnd w:id="254"/>
      <w:bookmarkEnd w:id="255"/>
      <w:bookmarkEnd w:id="256"/>
      <w:bookmarkEnd w:id="257"/>
      <w:bookmarkEnd w:id="258"/>
      <w:bookmarkEnd w:id="259"/>
      <w:bookmarkEnd w:id="260"/>
      <w:bookmarkEnd w:id="261"/>
      <w:bookmarkEnd w:id="262"/>
      <w:bookmarkEnd w:id="263"/>
      <w:bookmarkEnd w:id="264"/>
      <w:bookmarkEnd w:id="267"/>
      <w:bookmarkEnd w:id="268"/>
    </w:p>
    <w:bookmarkEnd w:id="265"/>
    <w:bookmarkEnd w:id="266"/>
    <w:p w14:paraId="0A92B9BE" w14:textId="3349355D" w:rsidR="006740FE" w:rsidRPr="006740FE" w:rsidRDefault="006740FE" w:rsidP="00195CA2">
      <w:pPr>
        <w:spacing w:line="360" w:lineRule="auto"/>
        <w:ind w:firstLine="720"/>
        <w:jc w:val="both"/>
        <w:rPr>
          <w:rFonts w:ascii="Times New Roman" w:hAnsi="Times New Roman" w:cs="Times New Roman"/>
          <w:sz w:val="24"/>
          <w:szCs w:val="24"/>
        </w:rPr>
      </w:pPr>
      <w:r w:rsidRPr="006740FE">
        <w:rPr>
          <w:rFonts w:ascii="Times New Roman" w:hAnsi="Times New Roman" w:cs="Times New Roman"/>
          <w:sz w:val="24"/>
          <w:szCs w:val="24"/>
        </w:rPr>
        <w:t xml:space="preserve">De acuerdo con </w:t>
      </w:r>
      <w:r w:rsidRPr="006740FE">
        <w:rPr>
          <w:rFonts w:ascii="Times New Roman" w:hAnsi="Times New Roman" w:cs="Times New Roman"/>
          <w:sz w:val="24"/>
          <w:szCs w:val="24"/>
        </w:rPr>
        <w:fldChar w:fldCharType="begin"/>
      </w:r>
      <w:r w:rsidR="00C52841">
        <w:rPr>
          <w:rFonts w:ascii="Times New Roman" w:hAnsi="Times New Roman" w:cs="Times New Roman"/>
          <w:sz w:val="24"/>
          <w:szCs w:val="24"/>
        </w:rPr>
        <w:instrText xml:space="preserve"> ADDIN ZOTERO_ITEM CSL_CITATION {"citationID":"XDJMj7ea","properties":{"formattedCitation":"(Monroy &amp; Nava, 2018)","plainCitation":"(Monroy &amp; Nava, 2018)","dontUpdate":true,"noteIndex":0},"citationItems":[{"id":"mhK3fgOx/IBvAdwF0","uris":["http://zotero.org/users/local/rewjbDUP/items/WCML9XLE"],"itemData":{"id":19,"type":"book","event-place":"México, D.F.","ISBN":"978-607-8543-39-7","language":"Español","license":"Lapislázuli, ediciones","number-of-pages":"169","publisher":"Grupo Editorial Éxodo","publisher-place":"México, D.F.","title":"Metodología de la Investigación","volume":"0","author":[{"family":"Monroy","given":"Maria"},{"family":"Nava","given":"Nelisahuel"}],"issued":{"date-parts":[["2018",8]]}}}],"schema":"https://github.com/citation-style-language/schema/raw/master/csl-citation.json"} </w:instrText>
      </w:r>
      <w:r w:rsidRPr="006740FE">
        <w:rPr>
          <w:rFonts w:ascii="Times New Roman" w:hAnsi="Times New Roman" w:cs="Times New Roman"/>
          <w:sz w:val="24"/>
          <w:szCs w:val="24"/>
        </w:rPr>
        <w:fldChar w:fldCharType="separate"/>
      </w:r>
      <w:r w:rsidRPr="006740FE">
        <w:rPr>
          <w:rFonts w:ascii="Times New Roman" w:hAnsi="Times New Roman" w:cs="Times New Roman"/>
          <w:sz w:val="24"/>
          <w:szCs w:val="24"/>
        </w:rPr>
        <w:t>Monroy &amp; Nava, (2018)</w:t>
      </w:r>
      <w:r w:rsidRPr="006740FE">
        <w:rPr>
          <w:rFonts w:ascii="Times New Roman" w:hAnsi="Times New Roman" w:cs="Times New Roman"/>
          <w:sz w:val="24"/>
          <w:szCs w:val="24"/>
        </w:rPr>
        <w:fldChar w:fldCharType="end"/>
      </w:r>
      <w:r w:rsidRPr="006740FE">
        <w:rPr>
          <w:rFonts w:ascii="Times New Roman" w:hAnsi="Times New Roman" w:cs="Times New Roman"/>
          <w:sz w:val="24"/>
          <w:szCs w:val="24"/>
        </w:rPr>
        <w:t>, el resultado y análisis de datos  “Argumenta las propuestas planteadas en su proyecto de investigación, a través de los resultados obtenidos, para proponer soluciones a situaciones actuales de su entorno”.</w:t>
      </w:r>
    </w:p>
    <w:p w14:paraId="39EC6792" w14:textId="60DC600D" w:rsidR="006740FE" w:rsidRPr="006740FE" w:rsidRDefault="006740FE" w:rsidP="00195CA2">
      <w:pPr>
        <w:spacing w:line="360" w:lineRule="auto"/>
        <w:ind w:firstLine="720"/>
        <w:jc w:val="both"/>
        <w:rPr>
          <w:rFonts w:ascii="Times New Roman" w:hAnsi="Times New Roman" w:cs="Times New Roman"/>
          <w:sz w:val="24"/>
          <w:szCs w:val="24"/>
        </w:rPr>
      </w:pPr>
      <w:r w:rsidRPr="006740FE">
        <w:rPr>
          <w:rFonts w:ascii="Times New Roman" w:hAnsi="Times New Roman" w:cs="Times New Roman"/>
          <w:sz w:val="24"/>
          <w:szCs w:val="24"/>
        </w:rPr>
        <w:tab/>
        <w:t xml:space="preserve">En este capítulo, se presentan los resultados obtenidos a partir del análisis exhaustivo de datos cuantitativos y cualitativos recopilados en la microfinanciera </w:t>
      </w:r>
      <w:r w:rsidR="00E5074B">
        <w:rPr>
          <w:rFonts w:ascii="Times New Roman" w:hAnsi="Times New Roman" w:cs="Times New Roman"/>
          <w:sz w:val="24"/>
          <w:szCs w:val="24"/>
        </w:rPr>
        <w:t>“XYZ”</w:t>
      </w:r>
      <w:r w:rsidRPr="006740FE">
        <w:rPr>
          <w:rFonts w:ascii="Times New Roman" w:hAnsi="Times New Roman" w:cs="Times New Roman"/>
          <w:sz w:val="24"/>
          <w:szCs w:val="24"/>
        </w:rPr>
        <w:t xml:space="preserve"> durante el periodo de la investigación, dichos datos están dirigidos u orientados a cada una de las variables seleccionadas como objeto de estudio en la matriz de operacionalización. Este análisis no solo representa una fase crucial de la investigación, sino que también proporciona una visión integral de la situación financiera de la empresa.</w:t>
      </w:r>
    </w:p>
    <w:p w14:paraId="660D231D" w14:textId="77777777" w:rsidR="006740FE" w:rsidRPr="006740FE" w:rsidRDefault="006740FE" w:rsidP="00195CA2">
      <w:pPr>
        <w:spacing w:line="360" w:lineRule="auto"/>
        <w:rPr>
          <w:rFonts w:ascii="Times New Roman" w:hAnsi="Times New Roman" w:cs="Times New Roman"/>
        </w:rPr>
      </w:pPr>
    </w:p>
    <w:p w14:paraId="02EF9C41" w14:textId="0C9C5FA0" w:rsidR="001A2EA3" w:rsidRPr="006740FE" w:rsidRDefault="00984C6F" w:rsidP="00195CA2">
      <w:pPr>
        <w:pStyle w:val="Ttulo2"/>
        <w:spacing w:line="360" w:lineRule="auto"/>
        <w:rPr>
          <w:rFonts w:cs="Times New Roman"/>
        </w:rPr>
      </w:pPr>
      <w:bookmarkStart w:id="269" w:name="_Toc166705823"/>
      <w:bookmarkStart w:id="270" w:name="_Toc175171425"/>
      <w:r w:rsidRPr="006740FE">
        <w:rPr>
          <w:rFonts w:cs="Times New Roman"/>
        </w:rPr>
        <w:t xml:space="preserve">4.1. </w:t>
      </w:r>
      <w:r w:rsidR="00A871DB" w:rsidRPr="006740FE">
        <w:rPr>
          <w:rFonts w:cs="Times New Roman"/>
        </w:rPr>
        <w:t>INFORME DE PROCESO DE RECOLECCIÓN DE DATOS</w:t>
      </w:r>
      <w:bookmarkEnd w:id="269"/>
      <w:bookmarkEnd w:id="270"/>
    </w:p>
    <w:p w14:paraId="2F942FE6" w14:textId="77777777" w:rsidR="006740FE" w:rsidRDefault="006740FE" w:rsidP="00195CA2">
      <w:pPr>
        <w:pStyle w:val="TextoPrincipal"/>
        <w:spacing w:line="360" w:lineRule="auto"/>
      </w:pPr>
      <w:r>
        <w:t>El informe de proceso de recolección de datos proporciona una visión detallada de cada etapa realizada para obtener toda la información relevante. El objetivo principal es documentar y comunicar de manera transparente cada procedimiento, método y/o técnica utilizada, garantizando así la fiabilidad y validez de los resultados obtenidos.</w:t>
      </w:r>
    </w:p>
    <w:p w14:paraId="62FE68E3" w14:textId="0338D066" w:rsidR="006740FE" w:rsidRDefault="006740FE" w:rsidP="00195CA2">
      <w:pPr>
        <w:pStyle w:val="TextoPrincipal"/>
        <w:spacing w:line="360" w:lineRule="auto"/>
      </w:pPr>
      <w:r>
        <w:tab/>
        <w:t xml:space="preserve">Para llevar a cabo este proceso de recolección de datos se realizó el acercamiento directo con el gerente general de la microfinanciera </w:t>
      </w:r>
      <w:r w:rsidR="00E5074B">
        <w:t>“XYZ”</w:t>
      </w:r>
      <w:r>
        <w:t>, originándose con ello el siguiente procedimiento.</w:t>
      </w:r>
    </w:p>
    <w:p w14:paraId="550AC09A" w14:textId="470CC17D" w:rsidR="006740FE" w:rsidRDefault="006740FE" w:rsidP="00195CA2">
      <w:pPr>
        <w:pStyle w:val="TextoPrincipal"/>
        <w:spacing w:line="360" w:lineRule="auto"/>
      </w:pPr>
      <w:r>
        <w:tab/>
        <w:t xml:space="preserve">En fecha 12 de febrero de 2024, a través de llamada telefónica, se solicitó una reunión de forma presencial con el gerente general de la microfinanciera </w:t>
      </w:r>
      <w:r w:rsidR="00E5074B">
        <w:t>“XYZ”</w:t>
      </w:r>
      <w:r>
        <w:t>, esta con el objetivo de poder solicitar su autorización para llevar a cabo el proyecto de investigación en dicha institución, esta reunión fue aceptada, e inicio a las 6:00 p.m. y finalizo a las 6:20 p.m., y en la cual se obtuvo el visto bueno para proceder con el tema planteado.</w:t>
      </w:r>
    </w:p>
    <w:p w14:paraId="188BC29E" w14:textId="64B2A01D" w:rsidR="006740FE" w:rsidRDefault="006740FE" w:rsidP="00195CA2">
      <w:pPr>
        <w:pStyle w:val="TextoPrincipal"/>
        <w:spacing w:line="360" w:lineRule="auto"/>
      </w:pPr>
      <w:r>
        <w:tab/>
        <w:t>Posteriormente, en fecha 19 de febrero de 2024, considerando la necesidad de información para realizar el análisis interno, se solicitó nuevamente una reunión con el gerente general de la empresa para conversar acerca de la historia de la institución, conocer la misión, visión, su valores, los productos ofertados, las ubicaciones de sus agencias y las regiones donde operan, el número de colaboradores y que se proporcionara la estructura organizacional de la empresa, dicha información fue facilitada.</w:t>
      </w:r>
    </w:p>
    <w:p w14:paraId="44B5E5BD" w14:textId="77777777" w:rsidR="006740FE" w:rsidRDefault="006740FE" w:rsidP="00195CA2">
      <w:pPr>
        <w:pStyle w:val="TextoPrincipal"/>
        <w:spacing w:line="360" w:lineRule="auto"/>
      </w:pPr>
      <w:r>
        <w:lastRenderedPageBreak/>
        <w:tab/>
        <w:t>El 23 de marzo de 2024, nuevamente se sostuvo reunión con el gerente de la microfinanciera para poder realizar la presentación y socialización del proyecto de investigación.</w:t>
      </w:r>
    </w:p>
    <w:p w14:paraId="113B624C" w14:textId="77777777" w:rsidR="006740FE" w:rsidRDefault="006740FE" w:rsidP="00195CA2">
      <w:pPr>
        <w:pStyle w:val="TextoPrincipal"/>
        <w:spacing w:line="360" w:lineRule="auto"/>
      </w:pPr>
      <w:r>
        <w:tab/>
        <w:t>Asimismo, con los avances de la investigación y en el desarrollo de esta, y como parte de los instrumentos de investigación se elaboró una entrevista que consta de diez (10) preguntas, y para la realización de dichas entrevistas a los diferentes gerentes de la empresa, se solicitó reunión de manera individual con las siete gerencias para la realización de estas, para el análisis cualitativo de la variable gestión de créditos.</w:t>
      </w:r>
    </w:p>
    <w:p w14:paraId="1535F0D8" w14:textId="2E36C0E5" w:rsidR="00984C6F" w:rsidRDefault="006740FE" w:rsidP="00195CA2">
      <w:pPr>
        <w:pStyle w:val="TextoPrincipal"/>
        <w:spacing w:line="360" w:lineRule="auto"/>
      </w:pPr>
      <w:r>
        <w:tab/>
        <w:t>Luego se procedió a recopilar la información financiera de la empresa, para lo cual se generaron bases de datos en Excel, mismas fueron facilitadas y permitieron poder llevar a cabo el proceso minucioso de los cálculos financieros, así como el análisis comparativo para cada una de las variables cuantitativas definidas en la matriz de operacionalización, originándose así, una comprensión detallada de la situación financiera de la empresa.</w:t>
      </w:r>
    </w:p>
    <w:p w14:paraId="05464C20" w14:textId="77777777" w:rsidR="00B77490" w:rsidRPr="00984C6F" w:rsidRDefault="00B77490" w:rsidP="00816B30">
      <w:pPr>
        <w:pStyle w:val="TextoPrincipal"/>
        <w:spacing w:line="360" w:lineRule="auto"/>
      </w:pPr>
    </w:p>
    <w:p w14:paraId="62E0F71C" w14:textId="0E19D953" w:rsidR="001A2EA3" w:rsidRPr="001A2EA3" w:rsidRDefault="00984C6F" w:rsidP="00195CA2">
      <w:pPr>
        <w:pStyle w:val="Ttulo2"/>
        <w:spacing w:line="360" w:lineRule="auto"/>
      </w:pPr>
      <w:bookmarkStart w:id="271" w:name="_Toc166705824"/>
      <w:bookmarkStart w:id="272" w:name="_Toc175171426"/>
      <w:r>
        <w:t xml:space="preserve">4.2. </w:t>
      </w:r>
      <w:r w:rsidR="00A871DB" w:rsidRPr="001A2EA3">
        <w:t xml:space="preserve">RESULTADOS Y ANÁLISIS DE LAS TÉCNICAS </w:t>
      </w:r>
      <w:r w:rsidR="000F77D2">
        <w:t>CUANTITATIVAS</w:t>
      </w:r>
      <w:bookmarkEnd w:id="271"/>
      <w:bookmarkEnd w:id="272"/>
    </w:p>
    <w:p w14:paraId="36AD5ED7" w14:textId="57C97772" w:rsidR="000F77D2" w:rsidRDefault="006740FE" w:rsidP="00195CA2">
      <w:pPr>
        <w:pStyle w:val="TextoPrincipal"/>
        <w:spacing w:line="360" w:lineRule="auto"/>
      </w:pPr>
      <w:r w:rsidRPr="006740FE">
        <w:t xml:space="preserve">En esta sección se presentan los resultados obtenidos a través de cada una de las técnicas cuantitativas, mismas que son fundamentales para interpretar los resultados que se derivan de la recopilación de datos de la información financiera proporcionada por la microfinanciera </w:t>
      </w:r>
      <w:r w:rsidR="00E5074B">
        <w:t>“XYZ”</w:t>
      </w:r>
      <w:r w:rsidRPr="006740FE">
        <w:t>. Para la realización de estos cálculos y análisis se utilizó la herramienta de Office Microsoft Excel, con el objetivo de poder comprender la realidad de la situación financiera de la empresa con base en sus resultados en el periodo 2019-2023. Las variables para analizar a través de las técnicas cuantitativas son Rentabilidad, Liquidez, Solvencia Financiera/Endeudamiento, y Morosidad.</w:t>
      </w:r>
    </w:p>
    <w:p w14:paraId="3072D9B7" w14:textId="77777777" w:rsidR="0037253C" w:rsidRDefault="0037253C" w:rsidP="00195CA2">
      <w:pPr>
        <w:pStyle w:val="TextoPrincipal"/>
        <w:spacing w:line="360" w:lineRule="auto"/>
      </w:pPr>
    </w:p>
    <w:p w14:paraId="39C34EC7" w14:textId="26CA0E9A" w:rsidR="000F77D2" w:rsidRDefault="000F77D2" w:rsidP="00195CA2">
      <w:pPr>
        <w:pStyle w:val="Ttulo3"/>
        <w:spacing w:before="0" w:line="360" w:lineRule="auto"/>
        <w:ind w:left="0" w:firstLine="720"/>
      </w:pPr>
      <w:bookmarkStart w:id="273" w:name="_Toc166705825"/>
      <w:bookmarkStart w:id="274" w:name="_Toc175171427"/>
      <w:r>
        <w:t>4.2.1. RENTABILIDAD</w:t>
      </w:r>
      <w:bookmarkEnd w:id="273"/>
      <w:bookmarkEnd w:id="274"/>
    </w:p>
    <w:p w14:paraId="60D595C1" w14:textId="411711CE" w:rsidR="000A4AD5" w:rsidRDefault="000F77D2" w:rsidP="0037253C">
      <w:pPr>
        <w:pStyle w:val="TextoPrincipal"/>
        <w:spacing w:line="360" w:lineRule="auto"/>
      </w:pPr>
      <w:r w:rsidRPr="000F77D2">
        <w:t xml:space="preserve">La variable de </w:t>
      </w:r>
      <w:r w:rsidR="00620F85">
        <w:t>r</w:t>
      </w:r>
      <w:r w:rsidRPr="000F77D2">
        <w:t>entabilidad es un indicador de suma importancia para la empresa, ya que a través de esta se puede evaluar su eficiencia y medir la capacidad que se tiene para obtener ganancias, por lo que, esta variable ha sido objeto de estudio a lo largo de esta investigación, sin embargo, la misma se ha visto sido afectada directamente por la problemática que enfrenta la IMF, la cual ya ha sido planteada, y para poder analizarla de una mejor manera, se realiza a través de la Dimensión Financiera.</w:t>
      </w:r>
    </w:p>
    <w:p w14:paraId="254F09F6" w14:textId="3C0FE8C2" w:rsidR="000F77D2" w:rsidRDefault="000F77D2" w:rsidP="00195CA2">
      <w:pPr>
        <w:pStyle w:val="Ttulo4"/>
        <w:spacing w:line="360" w:lineRule="auto"/>
        <w:ind w:left="0" w:firstLine="1440"/>
      </w:pPr>
      <w:bookmarkStart w:id="275" w:name="_Toc166705826"/>
      <w:bookmarkStart w:id="276" w:name="_Toc175171428"/>
      <w:r>
        <w:lastRenderedPageBreak/>
        <w:t>4.2.1.1. DIMENSIÓN FINANCIERA</w:t>
      </w:r>
      <w:bookmarkEnd w:id="275"/>
      <w:bookmarkEnd w:id="276"/>
    </w:p>
    <w:p w14:paraId="12CA6F59" w14:textId="53E24FD6" w:rsidR="00B149BE" w:rsidRDefault="000F77D2" w:rsidP="00294C9A">
      <w:pPr>
        <w:pStyle w:val="TextoPrincipal"/>
        <w:spacing w:line="360" w:lineRule="auto"/>
      </w:pPr>
      <w:r w:rsidRPr="000F77D2">
        <w:t xml:space="preserve">La dimensión financiera es esencial para este análisis debido a que se apoya en indicadores como el retorno sobre los activos (ROA), el retorno sobre el capital (ROE), y el margen de utilidad. Estos indicadores proporcionan información valiosa para la institución </w:t>
      </w:r>
      <w:r w:rsidR="00ED3867">
        <w:t>puesto</w:t>
      </w:r>
      <w:r w:rsidRPr="000F77D2">
        <w:t xml:space="preserve"> que ofrecen perspectivas distintas sobre el rendimiento financiero y la eficiencia operativa.</w:t>
      </w:r>
    </w:p>
    <w:p w14:paraId="0B30ADF6" w14:textId="77777777" w:rsidR="00294C9A" w:rsidRPr="00294C9A" w:rsidRDefault="00294C9A" w:rsidP="00294C9A">
      <w:pPr>
        <w:pStyle w:val="TextoPrincipal"/>
        <w:spacing w:line="360" w:lineRule="auto"/>
      </w:pPr>
    </w:p>
    <w:p w14:paraId="71BDB5C5" w14:textId="5F4FC877" w:rsidR="000F77D2" w:rsidRPr="00B77490" w:rsidRDefault="000F77D2" w:rsidP="00195CA2">
      <w:pPr>
        <w:pStyle w:val="Ttulo5"/>
        <w:spacing w:line="360" w:lineRule="auto"/>
        <w:ind w:firstLine="1440"/>
        <w:rPr>
          <w:rFonts w:ascii="Times New Roman" w:hAnsi="Times New Roman" w:cs="Times New Roman"/>
          <w:b/>
          <w:bCs/>
          <w:color w:val="000000" w:themeColor="text1"/>
          <w:sz w:val="24"/>
          <w:szCs w:val="24"/>
        </w:rPr>
      </w:pPr>
      <w:bookmarkStart w:id="277" w:name="_Toc175171429"/>
      <w:r w:rsidRPr="00B77490">
        <w:rPr>
          <w:rFonts w:ascii="Times New Roman" w:hAnsi="Times New Roman" w:cs="Times New Roman"/>
          <w:b/>
          <w:bCs/>
          <w:color w:val="000000" w:themeColor="text1"/>
          <w:sz w:val="24"/>
          <w:szCs w:val="24"/>
        </w:rPr>
        <w:t>4.2.1.1.1. RENDIMIENTO SOBRE LOS ACTIVOS (ROA)</w:t>
      </w:r>
      <w:bookmarkEnd w:id="277"/>
    </w:p>
    <w:p w14:paraId="488AA8ED" w14:textId="77777777" w:rsidR="000F77D2" w:rsidRPr="000F77D2" w:rsidRDefault="000F77D2" w:rsidP="00195CA2">
      <w:pPr>
        <w:spacing w:line="360" w:lineRule="auto"/>
        <w:ind w:firstLine="720"/>
        <w:jc w:val="both"/>
        <w:rPr>
          <w:rFonts w:ascii="Times New Roman" w:hAnsi="Times New Roman" w:cs="Times New Roman"/>
          <w:sz w:val="24"/>
          <w:szCs w:val="24"/>
        </w:rPr>
      </w:pPr>
      <w:r w:rsidRPr="000F77D2">
        <w:rPr>
          <w:rFonts w:ascii="Times New Roman" w:hAnsi="Times New Roman" w:cs="Times New Roman"/>
          <w:sz w:val="24"/>
          <w:szCs w:val="24"/>
        </w:rPr>
        <w:t>El ROA es un indicador que permite determinar cómo la institución utiliza sus activos para generar ganancias, asimismo, el ROA a lo largo del tiempo ayuda a identificar tendencias en la gestión de activos y en la eficiencia operativa de la empresa. Los cambios en el ROA pueden indicar mejoras o deterioros en la operación de la empresa.</w:t>
      </w:r>
    </w:p>
    <w:p w14:paraId="75D1F81A" w14:textId="77777777" w:rsidR="00A90B85" w:rsidRPr="00A90B85" w:rsidRDefault="00A90B85" w:rsidP="00A90B85">
      <w:pPr>
        <w:spacing w:line="360" w:lineRule="auto"/>
        <w:ind w:firstLine="720"/>
        <w:jc w:val="both"/>
        <w:rPr>
          <w:rFonts w:ascii="Times New Roman" w:hAnsi="Times New Roman" w:cs="Times New Roman"/>
          <w:sz w:val="24"/>
          <w:szCs w:val="24"/>
        </w:rPr>
      </w:pPr>
      <w:r w:rsidRPr="00A90B85">
        <w:rPr>
          <w:rFonts w:ascii="Times New Roman" w:hAnsi="Times New Roman" w:cs="Times New Roman"/>
          <w:sz w:val="24"/>
          <w:szCs w:val="24"/>
        </w:rPr>
        <w:t>Para calcular correctamente el ROA es necesario aplicar la siguiente fórmula:</w:t>
      </w:r>
    </w:p>
    <w:p w14:paraId="0A7F76E0" w14:textId="1327FC60" w:rsidR="000F77D2" w:rsidRPr="00BA4F50" w:rsidRDefault="00A90B85" w:rsidP="00A90B85">
      <w:pPr>
        <w:spacing w:line="360" w:lineRule="auto"/>
        <w:ind w:firstLine="720"/>
        <w:jc w:val="both"/>
        <w:rPr>
          <w:rFonts w:ascii="Times New Roman" w:hAnsi="Times New Roman" w:cs="Times New Roman"/>
          <w:b/>
          <w:bCs/>
          <w:i/>
          <w:iCs/>
          <w:sz w:val="24"/>
          <w:szCs w:val="24"/>
        </w:rPr>
      </w:pPr>
      <w:r w:rsidRPr="00BA4F50">
        <w:rPr>
          <w:rFonts w:ascii="Times New Roman" w:hAnsi="Times New Roman" w:cs="Times New Roman"/>
          <w:b/>
          <w:bCs/>
          <w:i/>
          <w:iCs/>
          <w:sz w:val="24"/>
          <w:szCs w:val="24"/>
        </w:rPr>
        <w:t>ROA = Utilidad Neta / Activo Total * 100</w:t>
      </w:r>
    </w:p>
    <w:p w14:paraId="5A873895" w14:textId="77777777" w:rsidR="00B149BE" w:rsidRDefault="00B149BE" w:rsidP="00195CA2">
      <w:pPr>
        <w:spacing w:line="360" w:lineRule="auto"/>
        <w:jc w:val="both"/>
        <w:rPr>
          <w:rFonts w:ascii="Times New Roman" w:hAnsi="Times New Roman" w:cs="Times New Roman"/>
          <w:b/>
          <w:bCs/>
          <w:sz w:val="24"/>
          <w:szCs w:val="24"/>
        </w:rPr>
      </w:pPr>
    </w:p>
    <w:p w14:paraId="288D5E9C" w14:textId="5DC6BFC0" w:rsidR="00195CA2" w:rsidRPr="00B149BE" w:rsidRDefault="0081027F" w:rsidP="00E05353">
      <w:pPr>
        <w:spacing w:line="360" w:lineRule="auto"/>
        <w:ind w:firstLine="720"/>
        <w:jc w:val="both"/>
        <w:rPr>
          <w:rFonts w:ascii="Times New Roman" w:hAnsi="Times New Roman" w:cs="Times New Roman"/>
          <w:sz w:val="24"/>
          <w:szCs w:val="24"/>
        </w:rPr>
      </w:pPr>
      <w:r w:rsidRPr="00B149BE">
        <w:rPr>
          <w:rFonts w:ascii="Times New Roman" w:hAnsi="Times New Roman" w:cs="Times New Roman"/>
          <w:sz w:val="24"/>
          <w:szCs w:val="24"/>
        </w:rPr>
        <w:t xml:space="preserve">Tabla 4. ROA en microfinanciera </w:t>
      </w:r>
      <w:r w:rsidR="00E5074B">
        <w:rPr>
          <w:rFonts w:ascii="Times New Roman" w:hAnsi="Times New Roman" w:cs="Times New Roman"/>
          <w:sz w:val="24"/>
          <w:szCs w:val="24"/>
        </w:rPr>
        <w:t>“XYZ”</w:t>
      </w:r>
      <w:r w:rsidRPr="00B149BE">
        <w:rPr>
          <w:rFonts w:ascii="Times New Roman" w:hAnsi="Times New Roman" w:cs="Times New Roman"/>
          <w:sz w:val="24"/>
          <w:szCs w:val="24"/>
        </w:rPr>
        <w:t xml:space="preserve"> periodo 2019-2023.</w:t>
      </w:r>
    </w:p>
    <w:tbl>
      <w:tblPr>
        <w:tblW w:w="9933" w:type="dxa"/>
        <w:jc w:val="center"/>
        <w:tblCellMar>
          <w:left w:w="70" w:type="dxa"/>
          <w:right w:w="70" w:type="dxa"/>
        </w:tblCellMar>
        <w:tblLook w:val="04A0" w:firstRow="1" w:lastRow="0" w:firstColumn="1" w:lastColumn="0" w:noHBand="0" w:noVBand="1"/>
      </w:tblPr>
      <w:tblGrid>
        <w:gridCol w:w="2127"/>
        <w:gridCol w:w="346"/>
        <w:gridCol w:w="1492"/>
        <w:gridCol w:w="1492"/>
        <w:gridCol w:w="1492"/>
        <w:gridCol w:w="1492"/>
        <w:gridCol w:w="1492"/>
      </w:tblGrid>
      <w:tr w:rsidR="00195CA2" w:rsidRPr="00195CA2" w14:paraId="23C1F492" w14:textId="77777777" w:rsidTr="00E1470D">
        <w:trPr>
          <w:trHeight w:val="347"/>
          <w:jc w:val="center"/>
        </w:trPr>
        <w:tc>
          <w:tcPr>
            <w:tcW w:w="2127" w:type="dxa"/>
            <w:tcBorders>
              <w:top w:val="nil"/>
              <w:left w:val="nil"/>
              <w:bottom w:val="nil"/>
              <w:right w:val="nil"/>
            </w:tcBorders>
            <w:shd w:val="clear" w:color="auto" w:fill="auto"/>
            <w:vAlign w:val="bottom"/>
            <w:hideMark/>
          </w:tcPr>
          <w:p w14:paraId="3F60B98D" w14:textId="77777777" w:rsidR="00195CA2" w:rsidRPr="00195CA2" w:rsidRDefault="00195CA2" w:rsidP="00195CA2">
            <w:pPr>
              <w:widowControl/>
              <w:rPr>
                <w:rFonts w:ascii="Times New Roman" w:eastAsia="Times New Roman" w:hAnsi="Times New Roman" w:cs="Times New Roman"/>
                <w:sz w:val="24"/>
                <w:szCs w:val="24"/>
                <w:lang w:eastAsia="es-HN"/>
              </w:rPr>
            </w:pPr>
          </w:p>
        </w:tc>
        <w:tc>
          <w:tcPr>
            <w:tcW w:w="346" w:type="dxa"/>
            <w:tcBorders>
              <w:top w:val="nil"/>
              <w:left w:val="nil"/>
              <w:bottom w:val="nil"/>
              <w:right w:val="nil"/>
            </w:tcBorders>
            <w:shd w:val="clear" w:color="auto" w:fill="auto"/>
            <w:noWrap/>
            <w:vAlign w:val="bottom"/>
            <w:hideMark/>
          </w:tcPr>
          <w:p w14:paraId="7CBB3381" w14:textId="77777777" w:rsidR="00195CA2" w:rsidRPr="00195CA2" w:rsidRDefault="00195CA2" w:rsidP="00195CA2">
            <w:pPr>
              <w:widowControl/>
              <w:rPr>
                <w:rFonts w:ascii="Times New Roman" w:eastAsia="Times New Roman" w:hAnsi="Times New Roman" w:cs="Times New Roman"/>
                <w:sz w:val="20"/>
                <w:szCs w:val="20"/>
                <w:lang w:eastAsia="es-HN"/>
              </w:rPr>
            </w:pPr>
          </w:p>
        </w:tc>
        <w:tc>
          <w:tcPr>
            <w:tcW w:w="1492" w:type="dxa"/>
            <w:tcBorders>
              <w:top w:val="nil"/>
              <w:left w:val="nil"/>
              <w:bottom w:val="nil"/>
              <w:right w:val="nil"/>
            </w:tcBorders>
            <w:shd w:val="clear" w:color="auto" w:fill="auto"/>
            <w:noWrap/>
            <w:vAlign w:val="bottom"/>
            <w:hideMark/>
          </w:tcPr>
          <w:p w14:paraId="34B3E189" w14:textId="77777777" w:rsidR="00195CA2" w:rsidRPr="00195CA2" w:rsidRDefault="00195CA2" w:rsidP="00195CA2">
            <w:pPr>
              <w:widowControl/>
              <w:jc w:val="center"/>
              <w:rPr>
                <w:rFonts w:ascii="Times New Roman" w:eastAsia="Times New Roman" w:hAnsi="Times New Roman" w:cs="Times New Roman"/>
                <w:b/>
                <w:bCs/>
                <w:color w:val="000000"/>
                <w:lang w:eastAsia="es-HN"/>
              </w:rPr>
            </w:pPr>
            <w:r w:rsidRPr="00195CA2">
              <w:rPr>
                <w:rFonts w:ascii="Times New Roman" w:eastAsia="Times New Roman" w:hAnsi="Times New Roman" w:cs="Times New Roman"/>
                <w:b/>
                <w:bCs/>
                <w:color w:val="000000"/>
                <w:lang w:eastAsia="es-HN"/>
              </w:rPr>
              <w:t>2019</w:t>
            </w:r>
          </w:p>
        </w:tc>
        <w:tc>
          <w:tcPr>
            <w:tcW w:w="1492" w:type="dxa"/>
            <w:tcBorders>
              <w:top w:val="nil"/>
              <w:left w:val="nil"/>
              <w:bottom w:val="nil"/>
              <w:right w:val="nil"/>
            </w:tcBorders>
            <w:shd w:val="clear" w:color="auto" w:fill="auto"/>
            <w:noWrap/>
            <w:vAlign w:val="bottom"/>
            <w:hideMark/>
          </w:tcPr>
          <w:p w14:paraId="73E02067" w14:textId="77777777" w:rsidR="00195CA2" w:rsidRPr="00195CA2" w:rsidRDefault="00195CA2" w:rsidP="00195CA2">
            <w:pPr>
              <w:widowControl/>
              <w:jc w:val="center"/>
              <w:rPr>
                <w:rFonts w:ascii="Times New Roman" w:eastAsia="Times New Roman" w:hAnsi="Times New Roman" w:cs="Times New Roman"/>
                <w:b/>
                <w:bCs/>
                <w:color w:val="000000"/>
                <w:lang w:eastAsia="es-HN"/>
              </w:rPr>
            </w:pPr>
            <w:r w:rsidRPr="00195CA2">
              <w:rPr>
                <w:rFonts w:ascii="Times New Roman" w:eastAsia="Times New Roman" w:hAnsi="Times New Roman" w:cs="Times New Roman"/>
                <w:b/>
                <w:bCs/>
                <w:color w:val="000000"/>
                <w:lang w:eastAsia="es-HN"/>
              </w:rPr>
              <w:t>2020</w:t>
            </w:r>
          </w:p>
        </w:tc>
        <w:tc>
          <w:tcPr>
            <w:tcW w:w="1492" w:type="dxa"/>
            <w:tcBorders>
              <w:top w:val="nil"/>
              <w:left w:val="nil"/>
              <w:bottom w:val="nil"/>
              <w:right w:val="nil"/>
            </w:tcBorders>
            <w:shd w:val="clear" w:color="auto" w:fill="auto"/>
            <w:noWrap/>
            <w:vAlign w:val="bottom"/>
            <w:hideMark/>
          </w:tcPr>
          <w:p w14:paraId="7848153D" w14:textId="77777777" w:rsidR="00195CA2" w:rsidRPr="00195CA2" w:rsidRDefault="00195CA2" w:rsidP="00195CA2">
            <w:pPr>
              <w:widowControl/>
              <w:jc w:val="center"/>
              <w:rPr>
                <w:rFonts w:ascii="Times New Roman" w:eastAsia="Times New Roman" w:hAnsi="Times New Roman" w:cs="Times New Roman"/>
                <w:b/>
                <w:bCs/>
                <w:color w:val="000000"/>
                <w:lang w:eastAsia="es-HN"/>
              </w:rPr>
            </w:pPr>
            <w:r w:rsidRPr="00195CA2">
              <w:rPr>
                <w:rFonts w:ascii="Times New Roman" w:eastAsia="Times New Roman" w:hAnsi="Times New Roman" w:cs="Times New Roman"/>
                <w:b/>
                <w:bCs/>
                <w:color w:val="000000"/>
                <w:lang w:eastAsia="es-HN"/>
              </w:rPr>
              <w:t>2021</w:t>
            </w:r>
          </w:p>
        </w:tc>
        <w:tc>
          <w:tcPr>
            <w:tcW w:w="1492" w:type="dxa"/>
            <w:tcBorders>
              <w:top w:val="nil"/>
              <w:left w:val="nil"/>
              <w:bottom w:val="nil"/>
              <w:right w:val="nil"/>
            </w:tcBorders>
            <w:shd w:val="clear" w:color="auto" w:fill="auto"/>
            <w:noWrap/>
            <w:vAlign w:val="bottom"/>
            <w:hideMark/>
          </w:tcPr>
          <w:p w14:paraId="0063AEE3" w14:textId="77777777" w:rsidR="00195CA2" w:rsidRPr="00195CA2" w:rsidRDefault="00195CA2" w:rsidP="00195CA2">
            <w:pPr>
              <w:widowControl/>
              <w:jc w:val="center"/>
              <w:rPr>
                <w:rFonts w:ascii="Times New Roman" w:eastAsia="Times New Roman" w:hAnsi="Times New Roman" w:cs="Times New Roman"/>
                <w:b/>
                <w:bCs/>
                <w:color w:val="000000"/>
                <w:lang w:eastAsia="es-HN"/>
              </w:rPr>
            </w:pPr>
            <w:r w:rsidRPr="00195CA2">
              <w:rPr>
                <w:rFonts w:ascii="Times New Roman" w:eastAsia="Times New Roman" w:hAnsi="Times New Roman" w:cs="Times New Roman"/>
                <w:b/>
                <w:bCs/>
                <w:color w:val="000000"/>
                <w:lang w:eastAsia="es-HN"/>
              </w:rPr>
              <w:t>2022</w:t>
            </w:r>
          </w:p>
        </w:tc>
        <w:tc>
          <w:tcPr>
            <w:tcW w:w="1492" w:type="dxa"/>
            <w:tcBorders>
              <w:top w:val="nil"/>
              <w:left w:val="nil"/>
              <w:bottom w:val="nil"/>
              <w:right w:val="nil"/>
            </w:tcBorders>
            <w:shd w:val="clear" w:color="auto" w:fill="auto"/>
            <w:noWrap/>
            <w:vAlign w:val="bottom"/>
            <w:hideMark/>
          </w:tcPr>
          <w:p w14:paraId="0B38F955" w14:textId="77777777" w:rsidR="00195CA2" w:rsidRPr="00195CA2" w:rsidRDefault="00195CA2" w:rsidP="00195CA2">
            <w:pPr>
              <w:widowControl/>
              <w:jc w:val="center"/>
              <w:rPr>
                <w:rFonts w:ascii="Times New Roman" w:eastAsia="Times New Roman" w:hAnsi="Times New Roman" w:cs="Times New Roman"/>
                <w:b/>
                <w:bCs/>
                <w:color w:val="000000"/>
                <w:lang w:eastAsia="es-HN"/>
              </w:rPr>
            </w:pPr>
            <w:r w:rsidRPr="00195CA2">
              <w:rPr>
                <w:rFonts w:ascii="Times New Roman" w:eastAsia="Times New Roman" w:hAnsi="Times New Roman" w:cs="Times New Roman"/>
                <w:b/>
                <w:bCs/>
                <w:color w:val="000000"/>
                <w:lang w:eastAsia="es-HN"/>
              </w:rPr>
              <w:t>2023</w:t>
            </w:r>
          </w:p>
        </w:tc>
      </w:tr>
      <w:tr w:rsidR="00195CA2" w:rsidRPr="00195CA2" w14:paraId="5DC378B5" w14:textId="77777777" w:rsidTr="00E1470D">
        <w:trPr>
          <w:trHeight w:val="347"/>
          <w:jc w:val="center"/>
        </w:trPr>
        <w:tc>
          <w:tcPr>
            <w:tcW w:w="2127" w:type="dxa"/>
            <w:tcBorders>
              <w:top w:val="nil"/>
              <w:left w:val="nil"/>
              <w:bottom w:val="nil"/>
              <w:right w:val="nil"/>
            </w:tcBorders>
            <w:shd w:val="clear" w:color="auto" w:fill="auto"/>
            <w:vAlign w:val="bottom"/>
            <w:hideMark/>
          </w:tcPr>
          <w:p w14:paraId="62D039DA" w14:textId="77777777" w:rsidR="00195CA2" w:rsidRPr="00195CA2" w:rsidRDefault="00195CA2" w:rsidP="00195CA2">
            <w:pPr>
              <w:widowControl/>
              <w:jc w:val="center"/>
              <w:rPr>
                <w:rFonts w:ascii="Times New Roman" w:eastAsia="Times New Roman" w:hAnsi="Times New Roman" w:cs="Times New Roman"/>
                <w:b/>
                <w:bCs/>
                <w:color w:val="000000"/>
                <w:lang w:eastAsia="es-HN"/>
              </w:rPr>
            </w:pPr>
          </w:p>
        </w:tc>
        <w:tc>
          <w:tcPr>
            <w:tcW w:w="346" w:type="dxa"/>
            <w:tcBorders>
              <w:top w:val="nil"/>
              <w:left w:val="nil"/>
              <w:bottom w:val="nil"/>
              <w:right w:val="nil"/>
            </w:tcBorders>
            <w:shd w:val="clear" w:color="auto" w:fill="auto"/>
            <w:noWrap/>
            <w:vAlign w:val="bottom"/>
            <w:hideMark/>
          </w:tcPr>
          <w:p w14:paraId="69485352" w14:textId="77777777" w:rsidR="00195CA2" w:rsidRPr="00195CA2" w:rsidRDefault="00195CA2" w:rsidP="00195CA2">
            <w:pPr>
              <w:widowControl/>
              <w:rPr>
                <w:rFonts w:ascii="Times New Roman" w:eastAsia="Times New Roman" w:hAnsi="Times New Roman" w:cs="Times New Roman"/>
                <w:sz w:val="20"/>
                <w:szCs w:val="20"/>
                <w:lang w:eastAsia="es-HN"/>
              </w:rPr>
            </w:pPr>
          </w:p>
        </w:tc>
        <w:tc>
          <w:tcPr>
            <w:tcW w:w="1492" w:type="dxa"/>
            <w:tcBorders>
              <w:top w:val="nil"/>
              <w:left w:val="nil"/>
              <w:bottom w:val="nil"/>
              <w:right w:val="nil"/>
            </w:tcBorders>
            <w:shd w:val="clear" w:color="auto" w:fill="auto"/>
            <w:noWrap/>
            <w:vAlign w:val="bottom"/>
            <w:hideMark/>
          </w:tcPr>
          <w:p w14:paraId="16B16156" w14:textId="77777777" w:rsidR="00195CA2" w:rsidRPr="00195CA2" w:rsidRDefault="00195CA2" w:rsidP="00195CA2">
            <w:pPr>
              <w:widowControl/>
              <w:rPr>
                <w:rFonts w:ascii="Times New Roman" w:eastAsia="Times New Roman" w:hAnsi="Times New Roman" w:cs="Times New Roman"/>
                <w:sz w:val="20"/>
                <w:szCs w:val="20"/>
                <w:lang w:eastAsia="es-HN"/>
              </w:rPr>
            </w:pPr>
          </w:p>
        </w:tc>
        <w:tc>
          <w:tcPr>
            <w:tcW w:w="1492" w:type="dxa"/>
            <w:tcBorders>
              <w:top w:val="nil"/>
              <w:left w:val="nil"/>
              <w:bottom w:val="nil"/>
              <w:right w:val="nil"/>
            </w:tcBorders>
            <w:shd w:val="clear" w:color="auto" w:fill="auto"/>
            <w:noWrap/>
            <w:vAlign w:val="bottom"/>
            <w:hideMark/>
          </w:tcPr>
          <w:p w14:paraId="2DEFCCFA" w14:textId="77777777" w:rsidR="00195CA2" w:rsidRPr="00195CA2" w:rsidRDefault="00195CA2" w:rsidP="00195CA2">
            <w:pPr>
              <w:widowControl/>
              <w:jc w:val="center"/>
              <w:rPr>
                <w:rFonts w:ascii="Times New Roman" w:eastAsia="Times New Roman" w:hAnsi="Times New Roman" w:cs="Times New Roman"/>
                <w:sz w:val="20"/>
                <w:szCs w:val="20"/>
                <w:lang w:eastAsia="es-HN"/>
              </w:rPr>
            </w:pPr>
          </w:p>
        </w:tc>
        <w:tc>
          <w:tcPr>
            <w:tcW w:w="1492" w:type="dxa"/>
            <w:tcBorders>
              <w:top w:val="nil"/>
              <w:left w:val="nil"/>
              <w:bottom w:val="nil"/>
              <w:right w:val="nil"/>
            </w:tcBorders>
            <w:shd w:val="clear" w:color="auto" w:fill="auto"/>
            <w:noWrap/>
            <w:vAlign w:val="bottom"/>
            <w:hideMark/>
          </w:tcPr>
          <w:p w14:paraId="63975727" w14:textId="77777777" w:rsidR="00195CA2" w:rsidRPr="00195CA2" w:rsidRDefault="00195CA2" w:rsidP="00195CA2">
            <w:pPr>
              <w:widowControl/>
              <w:jc w:val="center"/>
              <w:rPr>
                <w:rFonts w:ascii="Times New Roman" w:eastAsia="Times New Roman" w:hAnsi="Times New Roman" w:cs="Times New Roman"/>
                <w:sz w:val="20"/>
                <w:szCs w:val="20"/>
                <w:lang w:eastAsia="es-HN"/>
              </w:rPr>
            </w:pPr>
          </w:p>
        </w:tc>
        <w:tc>
          <w:tcPr>
            <w:tcW w:w="1492" w:type="dxa"/>
            <w:tcBorders>
              <w:top w:val="nil"/>
              <w:left w:val="nil"/>
              <w:bottom w:val="nil"/>
              <w:right w:val="nil"/>
            </w:tcBorders>
            <w:shd w:val="clear" w:color="auto" w:fill="auto"/>
            <w:noWrap/>
            <w:vAlign w:val="bottom"/>
            <w:hideMark/>
          </w:tcPr>
          <w:p w14:paraId="3FF7662F" w14:textId="77777777" w:rsidR="00195CA2" w:rsidRPr="00195CA2" w:rsidRDefault="00195CA2" w:rsidP="00195CA2">
            <w:pPr>
              <w:widowControl/>
              <w:jc w:val="center"/>
              <w:rPr>
                <w:rFonts w:ascii="Times New Roman" w:eastAsia="Times New Roman" w:hAnsi="Times New Roman" w:cs="Times New Roman"/>
                <w:sz w:val="20"/>
                <w:szCs w:val="20"/>
                <w:lang w:eastAsia="es-HN"/>
              </w:rPr>
            </w:pPr>
          </w:p>
        </w:tc>
        <w:tc>
          <w:tcPr>
            <w:tcW w:w="1492" w:type="dxa"/>
            <w:tcBorders>
              <w:top w:val="nil"/>
              <w:left w:val="nil"/>
              <w:bottom w:val="nil"/>
              <w:right w:val="nil"/>
            </w:tcBorders>
            <w:shd w:val="clear" w:color="auto" w:fill="auto"/>
            <w:noWrap/>
            <w:vAlign w:val="bottom"/>
            <w:hideMark/>
          </w:tcPr>
          <w:p w14:paraId="1117EBF3" w14:textId="77777777" w:rsidR="00195CA2" w:rsidRPr="00195CA2" w:rsidRDefault="00195CA2" w:rsidP="00195CA2">
            <w:pPr>
              <w:widowControl/>
              <w:jc w:val="center"/>
              <w:rPr>
                <w:rFonts w:ascii="Times New Roman" w:eastAsia="Times New Roman" w:hAnsi="Times New Roman" w:cs="Times New Roman"/>
                <w:sz w:val="20"/>
                <w:szCs w:val="20"/>
                <w:lang w:eastAsia="es-HN"/>
              </w:rPr>
            </w:pPr>
          </w:p>
        </w:tc>
      </w:tr>
      <w:tr w:rsidR="00195CA2" w:rsidRPr="00195CA2" w14:paraId="71BF98B8" w14:textId="77777777" w:rsidTr="00E1470D">
        <w:trPr>
          <w:trHeight w:val="363"/>
          <w:jc w:val="center"/>
        </w:trPr>
        <w:tc>
          <w:tcPr>
            <w:tcW w:w="2127" w:type="dxa"/>
            <w:vMerge w:val="restart"/>
            <w:tcBorders>
              <w:top w:val="nil"/>
              <w:left w:val="nil"/>
              <w:bottom w:val="nil"/>
              <w:right w:val="nil"/>
            </w:tcBorders>
            <w:shd w:val="clear" w:color="auto" w:fill="auto"/>
            <w:vAlign w:val="center"/>
            <w:hideMark/>
          </w:tcPr>
          <w:p w14:paraId="2EFA90C5" w14:textId="77777777" w:rsidR="00195CA2" w:rsidRPr="00195CA2" w:rsidRDefault="00195CA2" w:rsidP="00195CA2">
            <w:pPr>
              <w:widowControl/>
              <w:jc w:val="center"/>
              <w:rPr>
                <w:rFonts w:ascii="Times New Roman" w:eastAsia="Times New Roman" w:hAnsi="Times New Roman" w:cs="Times New Roman"/>
                <w:b/>
                <w:bCs/>
                <w:color w:val="000000"/>
                <w:lang w:eastAsia="es-HN"/>
              </w:rPr>
            </w:pPr>
            <w:r w:rsidRPr="00195CA2">
              <w:rPr>
                <w:rFonts w:ascii="Times New Roman" w:eastAsia="Times New Roman" w:hAnsi="Times New Roman" w:cs="Times New Roman"/>
                <w:b/>
                <w:bCs/>
                <w:color w:val="000000"/>
                <w:lang w:eastAsia="es-HN"/>
              </w:rPr>
              <w:t>Retorno sobre los Activos</w:t>
            </w:r>
          </w:p>
        </w:tc>
        <w:tc>
          <w:tcPr>
            <w:tcW w:w="346" w:type="dxa"/>
            <w:vMerge w:val="restart"/>
            <w:tcBorders>
              <w:top w:val="nil"/>
              <w:left w:val="nil"/>
              <w:bottom w:val="nil"/>
              <w:right w:val="nil"/>
            </w:tcBorders>
            <w:shd w:val="clear" w:color="auto" w:fill="auto"/>
            <w:noWrap/>
            <w:vAlign w:val="center"/>
            <w:hideMark/>
          </w:tcPr>
          <w:p w14:paraId="5D90A750" w14:textId="77777777" w:rsidR="00195CA2" w:rsidRPr="00195CA2" w:rsidRDefault="00195CA2" w:rsidP="00195CA2">
            <w:pPr>
              <w:widowControl/>
              <w:jc w:val="center"/>
              <w:rPr>
                <w:rFonts w:ascii="Times New Roman" w:eastAsia="Times New Roman" w:hAnsi="Times New Roman" w:cs="Times New Roman"/>
                <w:b/>
                <w:bCs/>
                <w:color w:val="000000"/>
                <w:lang w:eastAsia="es-HN"/>
              </w:rPr>
            </w:pPr>
            <w:r w:rsidRPr="00195CA2">
              <w:rPr>
                <w:rFonts w:ascii="Times New Roman" w:eastAsia="Times New Roman" w:hAnsi="Times New Roman" w:cs="Times New Roman"/>
                <w:b/>
                <w:bCs/>
                <w:color w:val="000000"/>
                <w:lang w:eastAsia="es-HN"/>
              </w:rPr>
              <w:t>=</w:t>
            </w:r>
          </w:p>
        </w:tc>
        <w:tc>
          <w:tcPr>
            <w:tcW w:w="1492" w:type="dxa"/>
            <w:tcBorders>
              <w:top w:val="nil"/>
              <w:left w:val="nil"/>
              <w:bottom w:val="single" w:sz="4" w:space="0" w:color="auto"/>
              <w:right w:val="nil"/>
            </w:tcBorders>
            <w:shd w:val="clear" w:color="auto" w:fill="auto"/>
            <w:noWrap/>
            <w:vAlign w:val="bottom"/>
            <w:hideMark/>
          </w:tcPr>
          <w:p w14:paraId="116F886C" w14:textId="77777777" w:rsidR="00195CA2" w:rsidRPr="00195CA2" w:rsidRDefault="00195CA2" w:rsidP="00195CA2">
            <w:pPr>
              <w:widowControl/>
              <w:rPr>
                <w:rFonts w:ascii="Times New Roman" w:eastAsia="Times New Roman" w:hAnsi="Times New Roman" w:cs="Times New Roman"/>
                <w:color w:val="000000"/>
                <w:lang w:eastAsia="es-HN"/>
              </w:rPr>
            </w:pPr>
            <w:r w:rsidRPr="00195CA2">
              <w:rPr>
                <w:rFonts w:ascii="Times New Roman" w:eastAsia="Times New Roman" w:hAnsi="Times New Roman" w:cs="Times New Roman"/>
                <w:color w:val="000000"/>
                <w:lang w:eastAsia="es-HN"/>
              </w:rPr>
              <w:t xml:space="preserve">-     18,676,026 </w:t>
            </w:r>
          </w:p>
        </w:tc>
        <w:tc>
          <w:tcPr>
            <w:tcW w:w="1492" w:type="dxa"/>
            <w:tcBorders>
              <w:top w:val="nil"/>
              <w:left w:val="nil"/>
              <w:bottom w:val="single" w:sz="4" w:space="0" w:color="auto"/>
              <w:right w:val="nil"/>
            </w:tcBorders>
            <w:shd w:val="clear" w:color="auto" w:fill="auto"/>
            <w:noWrap/>
            <w:vAlign w:val="bottom"/>
            <w:hideMark/>
          </w:tcPr>
          <w:p w14:paraId="7ED16156" w14:textId="77777777" w:rsidR="00195CA2" w:rsidRPr="00195CA2" w:rsidRDefault="00195CA2" w:rsidP="00195CA2">
            <w:pPr>
              <w:widowControl/>
              <w:rPr>
                <w:rFonts w:ascii="Times New Roman" w:eastAsia="Times New Roman" w:hAnsi="Times New Roman" w:cs="Times New Roman"/>
                <w:color w:val="000000"/>
                <w:lang w:eastAsia="es-HN"/>
              </w:rPr>
            </w:pPr>
            <w:r w:rsidRPr="00195CA2">
              <w:rPr>
                <w:rFonts w:ascii="Times New Roman" w:eastAsia="Times New Roman" w:hAnsi="Times New Roman" w:cs="Times New Roman"/>
                <w:color w:val="000000"/>
                <w:lang w:eastAsia="es-HN"/>
              </w:rPr>
              <w:t xml:space="preserve">-   104,993,473 </w:t>
            </w:r>
          </w:p>
        </w:tc>
        <w:tc>
          <w:tcPr>
            <w:tcW w:w="1492" w:type="dxa"/>
            <w:tcBorders>
              <w:top w:val="nil"/>
              <w:left w:val="nil"/>
              <w:bottom w:val="single" w:sz="4" w:space="0" w:color="auto"/>
              <w:right w:val="nil"/>
            </w:tcBorders>
            <w:shd w:val="clear" w:color="auto" w:fill="auto"/>
            <w:noWrap/>
            <w:vAlign w:val="bottom"/>
            <w:hideMark/>
          </w:tcPr>
          <w:p w14:paraId="419012BC" w14:textId="77777777" w:rsidR="00195CA2" w:rsidRPr="00195CA2" w:rsidRDefault="00195CA2" w:rsidP="00195CA2">
            <w:pPr>
              <w:widowControl/>
              <w:rPr>
                <w:rFonts w:ascii="Times New Roman" w:eastAsia="Times New Roman" w:hAnsi="Times New Roman" w:cs="Times New Roman"/>
                <w:color w:val="000000"/>
                <w:lang w:eastAsia="es-HN"/>
              </w:rPr>
            </w:pPr>
            <w:r w:rsidRPr="00195CA2">
              <w:rPr>
                <w:rFonts w:ascii="Times New Roman" w:eastAsia="Times New Roman" w:hAnsi="Times New Roman" w:cs="Times New Roman"/>
                <w:color w:val="000000"/>
                <w:lang w:eastAsia="es-HN"/>
              </w:rPr>
              <w:t xml:space="preserve">-     99,771,938 </w:t>
            </w:r>
          </w:p>
        </w:tc>
        <w:tc>
          <w:tcPr>
            <w:tcW w:w="1492" w:type="dxa"/>
            <w:tcBorders>
              <w:top w:val="nil"/>
              <w:left w:val="nil"/>
              <w:bottom w:val="single" w:sz="4" w:space="0" w:color="auto"/>
              <w:right w:val="nil"/>
            </w:tcBorders>
            <w:shd w:val="clear" w:color="auto" w:fill="auto"/>
            <w:noWrap/>
            <w:vAlign w:val="bottom"/>
            <w:hideMark/>
          </w:tcPr>
          <w:p w14:paraId="4F2B7EC0" w14:textId="77777777" w:rsidR="00195CA2" w:rsidRPr="00195CA2" w:rsidRDefault="00195CA2" w:rsidP="00195CA2">
            <w:pPr>
              <w:widowControl/>
              <w:rPr>
                <w:rFonts w:ascii="Times New Roman" w:eastAsia="Times New Roman" w:hAnsi="Times New Roman" w:cs="Times New Roman"/>
                <w:color w:val="000000"/>
                <w:lang w:eastAsia="es-HN"/>
              </w:rPr>
            </w:pPr>
            <w:r w:rsidRPr="00195CA2">
              <w:rPr>
                <w:rFonts w:ascii="Times New Roman" w:eastAsia="Times New Roman" w:hAnsi="Times New Roman" w:cs="Times New Roman"/>
                <w:color w:val="000000"/>
                <w:lang w:eastAsia="es-HN"/>
              </w:rPr>
              <w:t xml:space="preserve">-     34,857,569 </w:t>
            </w:r>
          </w:p>
        </w:tc>
        <w:tc>
          <w:tcPr>
            <w:tcW w:w="1492" w:type="dxa"/>
            <w:tcBorders>
              <w:top w:val="nil"/>
              <w:left w:val="nil"/>
              <w:bottom w:val="single" w:sz="4" w:space="0" w:color="auto"/>
              <w:right w:val="nil"/>
            </w:tcBorders>
            <w:shd w:val="clear" w:color="auto" w:fill="auto"/>
            <w:noWrap/>
            <w:vAlign w:val="bottom"/>
            <w:hideMark/>
          </w:tcPr>
          <w:p w14:paraId="52AA7E64" w14:textId="77777777" w:rsidR="00195CA2" w:rsidRPr="00195CA2" w:rsidRDefault="00195CA2" w:rsidP="00195CA2">
            <w:pPr>
              <w:widowControl/>
              <w:rPr>
                <w:rFonts w:ascii="Times New Roman" w:eastAsia="Times New Roman" w:hAnsi="Times New Roman" w:cs="Times New Roman"/>
                <w:color w:val="000000"/>
                <w:lang w:eastAsia="es-HN"/>
              </w:rPr>
            </w:pPr>
            <w:r w:rsidRPr="00195CA2">
              <w:rPr>
                <w:rFonts w:ascii="Times New Roman" w:eastAsia="Times New Roman" w:hAnsi="Times New Roman" w:cs="Times New Roman"/>
                <w:color w:val="000000"/>
                <w:lang w:eastAsia="es-HN"/>
              </w:rPr>
              <w:t xml:space="preserve">-     13,590,489 </w:t>
            </w:r>
          </w:p>
        </w:tc>
      </w:tr>
      <w:tr w:rsidR="00195CA2" w:rsidRPr="00195CA2" w14:paraId="4294D8A3" w14:textId="77777777" w:rsidTr="00E1470D">
        <w:trPr>
          <w:trHeight w:val="390"/>
          <w:jc w:val="center"/>
        </w:trPr>
        <w:tc>
          <w:tcPr>
            <w:tcW w:w="2127" w:type="dxa"/>
            <w:vMerge/>
            <w:tcBorders>
              <w:top w:val="nil"/>
              <w:left w:val="nil"/>
              <w:bottom w:val="nil"/>
              <w:right w:val="nil"/>
            </w:tcBorders>
            <w:vAlign w:val="center"/>
            <w:hideMark/>
          </w:tcPr>
          <w:p w14:paraId="5E52B53E" w14:textId="77777777" w:rsidR="00195CA2" w:rsidRPr="00195CA2" w:rsidRDefault="00195CA2" w:rsidP="00195CA2">
            <w:pPr>
              <w:widowControl/>
              <w:rPr>
                <w:rFonts w:ascii="Times New Roman" w:eastAsia="Times New Roman" w:hAnsi="Times New Roman" w:cs="Times New Roman"/>
                <w:b/>
                <w:bCs/>
                <w:color w:val="000000"/>
                <w:lang w:eastAsia="es-HN"/>
              </w:rPr>
            </w:pPr>
          </w:p>
        </w:tc>
        <w:tc>
          <w:tcPr>
            <w:tcW w:w="346" w:type="dxa"/>
            <w:vMerge/>
            <w:tcBorders>
              <w:top w:val="nil"/>
              <w:left w:val="nil"/>
              <w:bottom w:val="nil"/>
              <w:right w:val="nil"/>
            </w:tcBorders>
            <w:vAlign w:val="center"/>
            <w:hideMark/>
          </w:tcPr>
          <w:p w14:paraId="25FFE2AB" w14:textId="77777777" w:rsidR="00195CA2" w:rsidRPr="00195CA2" w:rsidRDefault="00195CA2" w:rsidP="00195CA2">
            <w:pPr>
              <w:widowControl/>
              <w:rPr>
                <w:rFonts w:ascii="Times New Roman" w:eastAsia="Times New Roman" w:hAnsi="Times New Roman" w:cs="Times New Roman"/>
                <w:b/>
                <w:bCs/>
                <w:color w:val="000000"/>
                <w:lang w:eastAsia="es-HN"/>
              </w:rPr>
            </w:pPr>
          </w:p>
        </w:tc>
        <w:tc>
          <w:tcPr>
            <w:tcW w:w="1492" w:type="dxa"/>
            <w:tcBorders>
              <w:top w:val="nil"/>
              <w:left w:val="nil"/>
              <w:bottom w:val="nil"/>
              <w:right w:val="nil"/>
            </w:tcBorders>
            <w:shd w:val="clear" w:color="auto" w:fill="auto"/>
            <w:noWrap/>
            <w:vAlign w:val="bottom"/>
            <w:hideMark/>
          </w:tcPr>
          <w:p w14:paraId="64A7771C" w14:textId="77777777" w:rsidR="00195CA2" w:rsidRPr="00195CA2" w:rsidRDefault="00195CA2" w:rsidP="00195CA2">
            <w:pPr>
              <w:widowControl/>
              <w:rPr>
                <w:rFonts w:ascii="Times New Roman" w:eastAsia="Times New Roman" w:hAnsi="Times New Roman" w:cs="Times New Roman"/>
                <w:color w:val="000000"/>
                <w:lang w:eastAsia="es-HN"/>
              </w:rPr>
            </w:pPr>
            <w:r w:rsidRPr="00195CA2">
              <w:rPr>
                <w:rFonts w:ascii="Times New Roman" w:eastAsia="Times New Roman" w:hAnsi="Times New Roman" w:cs="Times New Roman"/>
                <w:color w:val="000000"/>
                <w:lang w:eastAsia="es-HN"/>
              </w:rPr>
              <w:t xml:space="preserve">    721,737,676 </w:t>
            </w:r>
          </w:p>
        </w:tc>
        <w:tc>
          <w:tcPr>
            <w:tcW w:w="1492" w:type="dxa"/>
            <w:tcBorders>
              <w:top w:val="nil"/>
              <w:left w:val="nil"/>
              <w:bottom w:val="nil"/>
              <w:right w:val="nil"/>
            </w:tcBorders>
            <w:shd w:val="clear" w:color="auto" w:fill="auto"/>
            <w:noWrap/>
            <w:vAlign w:val="bottom"/>
            <w:hideMark/>
          </w:tcPr>
          <w:p w14:paraId="079167D5" w14:textId="77777777" w:rsidR="00195CA2" w:rsidRPr="00195CA2" w:rsidRDefault="00195CA2" w:rsidP="00195CA2">
            <w:pPr>
              <w:widowControl/>
              <w:rPr>
                <w:rFonts w:ascii="Times New Roman" w:eastAsia="Times New Roman" w:hAnsi="Times New Roman" w:cs="Times New Roman"/>
                <w:color w:val="000000"/>
                <w:lang w:eastAsia="es-HN"/>
              </w:rPr>
            </w:pPr>
            <w:r w:rsidRPr="00195CA2">
              <w:rPr>
                <w:rFonts w:ascii="Times New Roman" w:eastAsia="Times New Roman" w:hAnsi="Times New Roman" w:cs="Times New Roman"/>
                <w:color w:val="000000"/>
                <w:lang w:eastAsia="es-HN"/>
              </w:rPr>
              <w:t xml:space="preserve">    515,392,357 </w:t>
            </w:r>
          </w:p>
        </w:tc>
        <w:tc>
          <w:tcPr>
            <w:tcW w:w="1492" w:type="dxa"/>
            <w:tcBorders>
              <w:top w:val="nil"/>
              <w:left w:val="nil"/>
              <w:bottom w:val="nil"/>
              <w:right w:val="nil"/>
            </w:tcBorders>
            <w:shd w:val="clear" w:color="auto" w:fill="auto"/>
            <w:noWrap/>
            <w:vAlign w:val="bottom"/>
            <w:hideMark/>
          </w:tcPr>
          <w:p w14:paraId="7049171D" w14:textId="77777777" w:rsidR="00195CA2" w:rsidRPr="00195CA2" w:rsidRDefault="00195CA2" w:rsidP="00195CA2">
            <w:pPr>
              <w:widowControl/>
              <w:rPr>
                <w:rFonts w:ascii="Times New Roman" w:eastAsia="Times New Roman" w:hAnsi="Times New Roman" w:cs="Times New Roman"/>
                <w:color w:val="000000"/>
                <w:lang w:eastAsia="es-HN"/>
              </w:rPr>
            </w:pPr>
            <w:r w:rsidRPr="00195CA2">
              <w:rPr>
                <w:rFonts w:ascii="Times New Roman" w:eastAsia="Times New Roman" w:hAnsi="Times New Roman" w:cs="Times New Roman"/>
                <w:color w:val="000000"/>
                <w:lang w:eastAsia="es-HN"/>
              </w:rPr>
              <w:t xml:space="preserve">    349,587,800 </w:t>
            </w:r>
          </w:p>
        </w:tc>
        <w:tc>
          <w:tcPr>
            <w:tcW w:w="1492" w:type="dxa"/>
            <w:tcBorders>
              <w:top w:val="nil"/>
              <w:left w:val="nil"/>
              <w:bottom w:val="nil"/>
              <w:right w:val="nil"/>
            </w:tcBorders>
            <w:shd w:val="clear" w:color="auto" w:fill="auto"/>
            <w:noWrap/>
            <w:vAlign w:val="bottom"/>
            <w:hideMark/>
          </w:tcPr>
          <w:p w14:paraId="3F08B157" w14:textId="77777777" w:rsidR="00195CA2" w:rsidRPr="00195CA2" w:rsidRDefault="00195CA2" w:rsidP="00195CA2">
            <w:pPr>
              <w:widowControl/>
              <w:rPr>
                <w:rFonts w:ascii="Times New Roman" w:eastAsia="Times New Roman" w:hAnsi="Times New Roman" w:cs="Times New Roman"/>
                <w:color w:val="000000"/>
                <w:lang w:eastAsia="es-HN"/>
              </w:rPr>
            </w:pPr>
            <w:r w:rsidRPr="00195CA2">
              <w:rPr>
                <w:rFonts w:ascii="Times New Roman" w:eastAsia="Times New Roman" w:hAnsi="Times New Roman" w:cs="Times New Roman"/>
                <w:color w:val="000000"/>
                <w:lang w:eastAsia="es-HN"/>
              </w:rPr>
              <w:t xml:space="preserve">    352,126,389 </w:t>
            </w:r>
          </w:p>
        </w:tc>
        <w:tc>
          <w:tcPr>
            <w:tcW w:w="1492" w:type="dxa"/>
            <w:tcBorders>
              <w:top w:val="nil"/>
              <w:left w:val="nil"/>
              <w:bottom w:val="nil"/>
              <w:right w:val="nil"/>
            </w:tcBorders>
            <w:shd w:val="clear" w:color="auto" w:fill="auto"/>
            <w:noWrap/>
            <w:vAlign w:val="bottom"/>
            <w:hideMark/>
          </w:tcPr>
          <w:p w14:paraId="4B882F8C" w14:textId="77777777" w:rsidR="00195CA2" w:rsidRPr="00195CA2" w:rsidRDefault="00195CA2" w:rsidP="00195CA2">
            <w:pPr>
              <w:widowControl/>
              <w:rPr>
                <w:rFonts w:ascii="Times New Roman" w:eastAsia="Times New Roman" w:hAnsi="Times New Roman" w:cs="Times New Roman"/>
                <w:color w:val="000000"/>
                <w:lang w:eastAsia="es-HN"/>
              </w:rPr>
            </w:pPr>
            <w:r w:rsidRPr="00195CA2">
              <w:rPr>
                <w:rFonts w:ascii="Times New Roman" w:eastAsia="Times New Roman" w:hAnsi="Times New Roman" w:cs="Times New Roman"/>
                <w:color w:val="000000"/>
                <w:lang w:eastAsia="es-HN"/>
              </w:rPr>
              <w:t xml:space="preserve">    349,308,403 </w:t>
            </w:r>
          </w:p>
        </w:tc>
      </w:tr>
      <w:tr w:rsidR="00195CA2" w:rsidRPr="00195CA2" w14:paraId="0A7A16A3" w14:textId="77777777" w:rsidTr="00E1470D">
        <w:trPr>
          <w:trHeight w:val="207"/>
          <w:jc w:val="center"/>
        </w:trPr>
        <w:tc>
          <w:tcPr>
            <w:tcW w:w="2127" w:type="dxa"/>
            <w:tcBorders>
              <w:top w:val="nil"/>
              <w:left w:val="nil"/>
              <w:bottom w:val="nil"/>
              <w:right w:val="nil"/>
            </w:tcBorders>
            <w:shd w:val="clear" w:color="auto" w:fill="auto"/>
            <w:vAlign w:val="center"/>
            <w:hideMark/>
          </w:tcPr>
          <w:p w14:paraId="6347C9B1" w14:textId="77777777" w:rsidR="00195CA2" w:rsidRPr="00195CA2" w:rsidRDefault="00195CA2" w:rsidP="00195CA2">
            <w:pPr>
              <w:widowControl/>
              <w:rPr>
                <w:rFonts w:ascii="Times New Roman" w:eastAsia="Times New Roman" w:hAnsi="Times New Roman" w:cs="Times New Roman"/>
                <w:color w:val="000000"/>
                <w:lang w:eastAsia="es-HN"/>
              </w:rPr>
            </w:pPr>
          </w:p>
        </w:tc>
        <w:tc>
          <w:tcPr>
            <w:tcW w:w="346" w:type="dxa"/>
            <w:tcBorders>
              <w:top w:val="nil"/>
              <w:left w:val="nil"/>
              <w:bottom w:val="nil"/>
              <w:right w:val="nil"/>
            </w:tcBorders>
            <w:shd w:val="clear" w:color="auto" w:fill="auto"/>
            <w:noWrap/>
            <w:vAlign w:val="bottom"/>
            <w:hideMark/>
          </w:tcPr>
          <w:p w14:paraId="54117B65" w14:textId="77777777" w:rsidR="00195CA2" w:rsidRPr="00195CA2" w:rsidRDefault="00195CA2" w:rsidP="00195CA2">
            <w:pPr>
              <w:widowControl/>
              <w:jc w:val="center"/>
              <w:rPr>
                <w:rFonts w:ascii="Times New Roman" w:eastAsia="Times New Roman" w:hAnsi="Times New Roman" w:cs="Times New Roman"/>
                <w:sz w:val="20"/>
                <w:szCs w:val="20"/>
                <w:lang w:eastAsia="es-HN"/>
              </w:rPr>
            </w:pPr>
          </w:p>
        </w:tc>
        <w:tc>
          <w:tcPr>
            <w:tcW w:w="1492" w:type="dxa"/>
            <w:tcBorders>
              <w:top w:val="nil"/>
              <w:left w:val="nil"/>
              <w:bottom w:val="nil"/>
              <w:right w:val="nil"/>
            </w:tcBorders>
            <w:shd w:val="clear" w:color="auto" w:fill="auto"/>
            <w:noWrap/>
            <w:vAlign w:val="bottom"/>
            <w:hideMark/>
          </w:tcPr>
          <w:p w14:paraId="3DB7A157" w14:textId="77777777" w:rsidR="00195CA2" w:rsidRPr="00195CA2" w:rsidRDefault="00195CA2" w:rsidP="00195CA2">
            <w:pPr>
              <w:widowControl/>
              <w:rPr>
                <w:rFonts w:ascii="Times New Roman" w:eastAsia="Times New Roman" w:hAnsi="Times New Roman" w:cs="Times New Roman"/>
                <w:sz w:val="20"/>
                <w:szCs w:val="20"/>
                <w:lang w:eastAsia="es-HN"/>
              </w:rPr>
            </w:pPr>
          </w:p>
        </w:tc>
        <w:tc>
          <w:tcPr>
            <w:tcW w:w="1492" w:type="dxa"/>
            <w:tcBorders>
              <w:top w:val="nil"/>
              <w:left w:val="nil"/>
              <w:bottom w:val="nil"/>
              <w:right w:val="nil"/>
            </w:tcBorders>
            <w:shd w:val="clear" w:color="auto" w:fill="auto"/>
            <w:noWrap/>
            <w:vAlign w:val="bottom"/>
            <w:hideMark/>
          </w:tcPr>
          <w:p w14:paraId="48B563AB" w14:textId="77777777" w:rsidR="00195CA2" w:rsidRPr="00195CA2" w:rsidRDefault="00195CA2" w:rsidP="00195CA2">
            <w:pPr>
              <w:widowControl/>
              <w:rPr>
                <w:rFonts w:ascii="Times New Roman" w:eastAsia="Times New Roman" w:hAnsi="Times New Roman" w:cs="Times New Roman"/>
                <w:sz w:val="20"/>
                <w:szCs w:val="20"/>
                <w:lang w:eastAsia="es-HN"/>
              </w:rPr>
            </w:pPr>
          </w:p>
        </w:tc>
        <w:tc>
          <w:tcPr>
            <w:tcW w:w="1492" w:type="dxa"/>
            <w:tcBorders>
              <w:top w:val="nil"/>
              <w:left w:val="nil"/>
              <w:bottom w:val="nil"/>
              <w:right w:val="nil"/>
            </w:tcBorders>
            <w:shd w:val="clear" w:color="auto" w:fill="auto"/>
            <w:noWrap/>
            <w:vAlign w:val="bottom"/>
            <w:hideMark/>
          </w:tcPr>
          <w:p w14:paraId="71BD6186" w14:textId="77777777" w:rsidR="00195CA2" w:rsidRPr="00195CA2" w:rsidRDefault="00195CA2" w:rsidP="00195CA2">
            <w:pPr>
              <w:widowControl/>
              <w:rPr>
                <w:rFonts w:ascii="Times New Roman" w:eastAsia="Times New Roman" w:hAnsi="Times New Roman" w:cs="Times New Roman"/>
                <w:sz w:val="20"/>
                <w:szCs w:val="20"/>
                <w:lang w:eastAsia="es-HN"/>
              </w:rPr>
            </w:pPr>
          </w:p>
        </w:tc>
        <w:tc>
          <w:tcPr>
            <w:tcW w:w="1492" w:type="dxa"/>
            <w:tcBorders>
              <w:top w:val="nil"/>
              <w:left w:val="nil"/>
              <w:bottom w:val="nil"/>
              <w:right w:val="nil"/>
            </w:tcBorders>
            <w:shd w:val="clear" w:color="auto" w:fill="auto"/>
            <w:noWrap/>
            <w:vAlign w:val="bottom"/>
            <w:hideMark/>
          </w:tcPr>
          <w:p w14:paraId="095339AF" w14:textId="77777777" w:rsidR="00195CA2" w:rsidRPr="00195CA2" w:rsidRDefault="00195CA2" w:rsidP="00195CA2">
            <w:pPr>
              <w:widowControl/>
              <w:rPr>
                <w:rFonts w:ascii="Times New Roman" w:eastAsia="Times New Roman" w:hAnsi="Times New Roman" w:cs="Times New Roman"/>
                <w:sz w:val="20"/>
                <w:szCs w:val="20"/>
                <w:lang w:eastAsia="es-HN"/>
              </w:rPr>
            </w:pPr>
          </w:p>
        </w:tc>
        <w:tc>
          <w:tcPr>
            <w:tcW w:w="1492" w:type="dxa"/>
            <w:tcBorders>
              <w:top w:val="nil"/>
              <w:left w:val="nil"/>
              <w:bottom w:val="nil"/>
              <w:right w:val="nil"/>
            </w:tcBorders>
            <w:shd w:val="clear" w:color="auto" w:fill="auto"/>
            <w:noWrap/>
            <w:vAlign w:val="bottom"/>
            <w:hideMark/>
          </w:tcPr>
          <w:p w14:paraId="58D8A68B" w14:textId="77777777" w:rsidR="00195CA2" w:rsidRPr="00195CA2" w:rsidRDefault="00195CA2" w:rsidP="00195CA2">
            <w:pPr>
              <w:widowControl/>
              <w:rPr>
                <w:rFonts w:ascii="Times New Roman" w:eastAsia="Times New Roman" w:hAnsi="Times New Roman" w:cs="Times New Roman"/>
                <w:sz w:val="20"/>
                <w:szCs w:val="20"/>
                <w:lang w:eastAsia="es-HN"/>
              </w:rPr>
            </w:pPr>
          </w:p>
        </w:tc>
      </w:tr>
      <w:tr w:rsidR="00195CA2" w:rsidRPr="00195CA2" w14:paraId="7CF0198B" w14:textId="77777777" w:rsidTr="00E1470D">
        <w:trPr>
          <w:trHeight w:val="363"/>
          <w:jc w:val="center"/>
        </w:trPr>
        <w:tc>
          <w:tcPr>
            <w:tcW w:w="2127" w:type="dxa"/>
            <w:tcBorders>
              <w:top w:val="nil"/>
              <w:left w:val="nil"/>
              <w:bottom w:val="nil"/>
              <w:right w:val="nil"/>
            </w:tcBorders>
            <w:shd w:val="clear" w:color="auto" w:fill="auto"/>
            <w:vAlign w:val="bottom"/>
            <w:hideMark/>
          </w:tcPr>
          <w:p w14:paraId="08C33386" w14:textId="77777777" w:rsidR="00195CA2" w:rsidRPr="00195CA2" w:rsidRDefault="00195CA2" w:rsidP="008B27FD">
            <w:pPr>
              <w:widowControl/>
              <w:spacing w:before="240"/>
              <w:jc w:val="center"/>
              <w:rPr>
                <w:rFonts w:ascii="Times New Roman" w:eastAsia="Times New Roman" w:hAnsi="Times New Roman" w:cs="Times New Roman"/>
                <w:b/>
                <w:bCs/>
                <w:color w:val="000000"/>
                <w:lang w:eastAsia="es-HN"/>
              </w:rPr>
            </w:pPr>
            <w:r w:rsidRPr="00195CA2">
              <w:rPr>
                <w:rFonts w:ascii="Times New Roman" w:eastAsia="Times New Roman" w:hAnsi="Times New Roman" w:cs="Times New Roman"/>
                <w:b/>
                <w:bCs/>
                <w:color w:val="000000"/>
                <w:lang w:eastAsia="es-HN"/>
              </w:rPr>
              <w:t xml:space="preserve"> (ROA)</w:t>
            </w:r>
          </w:p>
        </w:tc>
        <w:tc>
          <w:tcPr>
            <w:tcW w:w="346" w:type="dxa"/>
            <w:tcBorders>
              <w:top w:val="nil"/>
              <w:left w:val="nil"/>
              <w:bottom w:val="nil"/>
              <w:right w:val="nil"/>
            </w:tcBorders>
            <w:shd w:val="clear" w:color="auto" w:fill="auto"/>
            <w:noWrap/>
            <w:vAlign w:val="bottom"/>
            <w:hideMark/>
          </w:tcPr>
          <w:p w14:paraId="439C5A05" w14:textId="77777777" w:rsidR="00195CA2" w:rsidRPr="00195CA2" w:rsidRDefault="00195CA2" w:rsidP="008B27FD">
            <w:pPr>
              <w:widowControl/>
              <w:spacing w:before="240"/>
              <w:jc w:val="center"/>
              <w:rPr>
                <w:rFonts w:ascii="Times New Roman" w:eastAsia="Times New Roman" w:hAnsi="Times New Roman" w:cs="Times New Roman"/>
                <w:b/>
                <w:bCs/>
                <w:color w:val="000000"/>
                <w:lang w:eastAsia="es-HN"/>
              </w:rPr>
            </w:pPr>
          </w:p>
        </w:tc>
        <w:tc>
          <w:tcPr>
            <w:tcW w:w="1492" w:type="dxa"/>
            <w:tcBorders>
              <w:top w:val="nil"/>
              <w:left w:val="nil"/>
              <w:bottom w:val="nil"/>
              <w:right w:val="nil"/>
            </w:tcBorders>
            <w:shd w:val="clear" w:color="000000" w:fill="CAEDFB"/>
            <w:noWrap/>
            <w:vAlign w:val="bottom"/>
            <w:hideMark/>
          </w:tcPr>
          <w:p w14:paraId="60365073" w14:textId="03D291D2" w:rsidR="00195CA2" w:rsidRPr="00195CA2" w:rsidRDefault="00195CA2" w:rsidP="008B27FD">
            <w:pPr>
              <w:widowControl/>
              <w:spacing w:before="240"/>
              <w:jc w:val="center"/>
              <w:rPr>
                <w:rFonts w:ascii="Times New Roman" w:eastAsia="Times New Roman" w:hAnsi="Times New Roman" w:cs="Times New Roman"/>
                <w:b/>
                <w:bCs/>
                <w:color w:val="FF0000"/>
                <w:lang w:eastAsia="es-HN"/>
              </w:rPr>
            </w:pPr>
            <w:r w:rsidRPr="00195CA2">
              <w:rPr>
                <w:rFonts w:ascii="Times New Roman" w:eastAsia="Times New Roman" w:hAnsi="Times New Roman" w:cs="Times New Roman"/>
                <w:b/>
                <w:bCs/>
                <w:color w:val="FF0000"/>
                <w:lang w:eastAsia="es-HN"/>
              </w:rPr>
              <w:t>-               2.6</w:t>
            </w:r>
          </w:p>
        </w:tc>
        <w:tc>
          <w:tcPr>
            <w:tcW w:w="1492" w:type="dxa"/>
            <w:tcBorders>
              <w:top w:val="nil"/>
              <w:left w:val="nil"/>
              <w:bottom w:val="nil"/>
              <w:right w:val="nil"/>
            </w:tcBorders>
            <w:shd w:val="clear" w:color="000000" w:fill="CAEDFB"/>
            <w:noWrap/>
            <w:vAlign w:val="bottom"/>
            <w:hideMark/>
          </w:tcPr>
          <w:p w14:paraId="1EB9356E" w14:textId="4030D099" w:rsidR="00195CA2" w:rsidRPr="00195CA2" w:rsidRDefault="00195CA2" w:rsidP="008B27FD">
            <w:pPr>
              <w:widowControl/>
              <w:spacing w:before="240"/>
              <w:jc w:val="center"/>
              <w:rPr>
                <w:rFonts w:ascii="Times New Roman" w:eastAsia="Times New Roman" w:hAnsi="Times New Roman" w:cs="Times New Roman"/>
                <w:b/>
                <w:bCs/>
                <w:color w:val="FF0000"/>
                <w:lang w:eastAsia="es-HN"/>
              </w:rPr>
            </w:pPr>
            <w:r w:rsidRPr="00195CA2">
              <w:rPr>
                <w:rFonts w:ascii="Times New Roman" w:eastAsia="Times New Roman" w:hAnsi="Times New Roman" w:cs="Times New Roman"/>
                <w:b/>
                <w:bCs/>
                <w:color w:val="FF0000"/>
                <w:lang w:eastAsia="es-HN"/>
              </w:rPr>
              <w:t>-             20.4</w:t>
            </w:r>
          </w:p>
        </w:tc>
        <w:tc>
          <w:tcPr>
            <w:tcW w:w="1492" w:type="dxa"/>
            <w:tcBorders>
              <w:top w:val="nil"/>
              <w:left w:val="nil"/>
              <w:bottom w:val="nil"/>
              <w:right w:val="nil"/>
            </w:tcBorders>
            <w:shd w:val="clear" w:color="000000" w:fill="CAEDFB"/>
            <w:noWrap/>
            <w:vAlign w:val="bottom"/>
            <w:hideMark/>
          </w:tcPr>
          <w:p w14:paraId="424374C8" w14:textId="2BBF56F9" w:rsidR="00195CA2" w:rsidRPr="00195CA2" w:rsidRDefault="00195CA2" w:rsidP="008B27FD">
            <w:pPr>
              <w:widowControl/>
              <w:spacing w:before="240"/>
              <w:jc w:val="center"/>
              <w:rPr>
                <w:rFonts w:ascii="Times New Roman" w:eastAsia="Times New Roman" w:hAnsi="Times New Roman" w:cs="Times New Roman"/>
                <w:b/>
                <w:bCs/>
                <w:color w:val="FF0000"/>
                <w:lang w:eastAsia="es-HN"/>
              </w:rPr>
            </w:pPr>
            <w:r w:rsidRPr="00195CA2">
              <w:rPr>
                <w:rFonts w:ascii="Times New Roman" w:eastAsia="Times New Roman" w:hAnsi="Times New Roman" w:cs="Times New Roman"/>
                <w:b/>
                <w:bCs/>
                <w:color w:val="FF0000"/>
                <w:lang w:eastAsia="es-HN"/>
              </w:rPr>
              <w:t>-             28.5</w:t>
            </w:r>
          </w:p>
        </w:tc>
        <w:tc>
          <w:tcPr>
            <w:tcW w:w="1492" w:type="dxa"/>
            <w:tcBorders>
              <w:top w:val="nil"/>
              <w:left w:val="nil"/>
              <w:bottom w:val="nil"/>
              <w:right w:val="nil"/>
            </w:tcBorders>
            <w:shd w:val="clear" w:color="000000" w:fill="CAEDFB"/>
            <w:noWrap/>
            <w:vAlign w:val="bottom"/>
            <w:hideMark/>
          </w:tcPr>
          <w:p w14:paraId="30E402DC" w14:textId="66785CAE" w:rsidR="00195CA2" w:rsidRPr="00195CA2" w:rsidRDefault="00195CA2" w:rsidP="008B27FD">
            <w:pPr>
              <w:widowControl/>
              <w:spacing w:before="240"/>
              <w:jc w:val="center"/>
              <w:rPr>
                <w:rFonts w:ascii="Times New Roman" w:eastAsia="Times New Roman" w:hAnsi="Times New Roman" w:cs="Times New Roman"/>
                <w:b/>
                <w:bCs/>
                <w:color w:val="FF0000"/>
                <w:lang w:eastAsia="es-HN"/>
              </w:rPr>
            </w:pPr>
            <w:r w:rsidRPr="00195CA2">
              <w:rPr>
                <w:rFonts w:ascii="Times New Roman" w:eastAsia="Times New Roman" w:hAnsi="Times New Roman" w:cs="Times New Roman"/>
                <w:b/>
                <w:bCs/>
                <w:color w:val="FF0000"/>
                <w:lang w:eastAsia="es-HN"/>
              </w:rPr>
              <w:t>-               9.9</w:t>
            </w:r>
          </w:p>
        </w:tc>
        <w:tc>
          <w:tcPr>
            <w:tcW w:w="1492" w:type="dxa"/>
            <w:tcBorders>
              <w:top w:val="nil"/>
              <w:left w:val="nil"/>
              <w:bottom w:val="nil"/>
              <w:right w:val="nil"/>
            </w:tcBorders>
            <w:shd w:val="clear" w:color="000000" w:fill="CAEDFB"/>
            <w:noWrap/>
            <w:vAlign w:val="bottom"/>
            <w:hideMark/>
          </w:tcPr>
          <w:p w14:paraId="364E8279" w14:textId="32887154" w:rsidR="00195CA2" w:rsidRPr="00195CA2" w:rsidRDefault="00195CA2" w:rsidP="008B27FD">
            <w:pPr>
              <w:widowControl/>
              <w:spacing w:before="240"/>
              <w:jc w:val="center"/>
              <w:rPr>
                <w:rFonts w:ascii="Times New Roman" w:eastAsia="Times New Roman" w:hAnsi="Times New Roman" w:cs="Times New Roman"/>
                <w:b/>
                <w:bCs/>
                <w:color w:val="FF0000"/>
                <w:lang w:eastAsia="es-HN"/>
              </w:rPr>
            </w:pPr>
            <w:r w:rsidRPr="00195CA2">
              <w:rPr>
                <w:rFonts w:ascii="Times New Roman" w:eastAsia="Times New Roman" w:hAnsi="Times New Roman" w:cs="Times New Roman"/>
                <w:b/>
                <w:bCs/>
                <w:color w:val="FF0000"/>
                <w:lang w:eastAsia="es-HN"/>
              </w:rPr>
              <w:t>-               3.9</w:t>
            </w:r>
          </w:p>
        </w:tc>
      </w:tr>
    </w:tbl>
    <w:p w14:paraId="2D3F59A0" w14:textId="08C7D488" w:rsidR="00E1470D" w:rsidRPr="0037253C" w:rsidRDefault="0081027F" w:rsidP="0037253C">
      <w:pPr>
        <w:pStyle w:val="Fuentes"/>
        <w:spacing w:before="240"/>
        <w:rPr>
          <w:sz w:val="24"/>
          <w:szCs w:val="24"/>
          <w:lang w:val="es-HN"/>
        </w:rPr>
      </w:pPr>
      <w:r w:rsidRPr="0037253C">
        <w:rPr>
          <w:sz w:val="24"/>
          <w:szCs w:val="24"/>
          <w:lang w:val="es-HN"/>
        </w:rPr>
        <w:t xml:space="preserve">Fuente: Elaboración propia con datos de microfinanciera </w:t>
      </w:r>
      <w:r w:rsidR="00E5074B" w:rsidRPr="0037253C">
        <w:rPr>
          <w:sz w:val="24"/>
          <w:szCs w:val="24"/>
          <w:lang w:val="es-HN"/>
        </w:rPr>
        <w:t>“XYZ”</w:t>
      </w:r>
      <w:r w:rsidR="00BA4F50" w:rsidRPr="0037253C">
        <w:rPr>
          <w:sz w:val="24"/>
          <w:szCs w:val="24"/>
          <w:lang w:val="es-HN"/>
        </w:rPr>
        <w:t>.</w:t>
      </w:r>
      <w:r w:rsidRPr="0037253C">
        <w:rPr>
          <w:sz w:val="24"/>
          <w:szCs w:val="24"/>
          <w:lang w:val="es-HN"/>
        </w:rPr>
        <w:t xml:space="preserve"> </w:t>
      </w:r>
    </w:p>
    <w:p w14:paraId="230CAE94" w14:textId="7A4EE858" w:rsidR="00E1470D" w:rsidRDefault="006C0B8D" w:rsidP="00E1470D">
      <w:pPr>
        <w:pStyle w:val="TextoPrincipal"/>
        <w:spacing w:before="240" w:line="360" w:lineRule="auto"/>
      </w:pPr>
      <w:r>
        <w:t xml:space="preserve">Se observo que </w:t>
      </w:r>
      <w:r w:rsidR="006E21B3">
        <w:t xml:space="preserve">para el periodo 2019-2023, </w:t>
      </w:r>
      <w:r>
        <w:t>el indicador de rendimiento sobre los activos</w:t>
      </w:r>
      <w:r w:rsidR="006E21B3">
        <w:t xml:space="preserve"> (ROA)</w:t>
      </w:r>
      <w:r>
        <w:t xml:space="preserve"> de la </w:t>
      </w:r>
      <w:r w:rsidR="006E21B3">
        <w:t xml:space="preserve">IMF </w:t>
      </w:r>
      <w:r w:rsidR="00E5074B">
        <w:t>“XYZ”</w:t>
      </w:r>
      <w:r w:rsidR="006E21B3">
        <w:t xml:space="preserve">, </w:t>
      </w:r>
      <w:r w:rsidR="001A153D">
        <w:t>enfrento fuertes fluctuaciones negativas, encontrándose</w:t>
      </w:r>
      <w:r w:rsidR="00101CE4">
        <w:t xml:space="preserve"> resultados</w:t>
      </w:r>
      <w:r w:rsidR="001A153D">
        <w:t xml:space="preserve"> </w:t>
      </w:r>
      <w:r w:rsidR="006E21B3">
        <w:t xml:space="preserve">muy por debajo de los parámetros </w:t>
      </w:r>
      <w:r w:rsidR="00823FEF">
        <w:t>establecidos</w:t>
      </w:r>
      <w:r w:rsidR="00101CE4">
        <w:t>, inclu</w:t>
      </w:r>
      <w:r w:rsidR="00065D71">
        <w:t xml:space="preserve">sive </w:t>
      </w:r>
      <w:r w:rsidR="00101CE4">
        <w:t>inferiores a cero.</w:t>
      </w:r>
      <w:r w:rsidR="005271E2">
        <w:t xml:space="preserve"> Esto </w:t>
      </w:r>
      <w:r w:rsidR="00823FEF">
        <w:t>proporciona</w:t>
      </w:r>
      <w:r w:rsidR="00823FEF" w:rsidRPr="00823FEF">
        <w:t xml:space="preserve"> una imagen clara de las pérdidas que la empresa está experimentando con relación a sus activos</w:t>
      </w:r>
      <w:r w:rsidR="00823FEF">
        <w:t>.</w:t>
      </w:r>
    </w:p>
    <w:p w14:paraId="3650817C" w14:textId="77777777" w:rsidR="00823FEF" w:rsidRDefault="00823FEF" w:rsidP="00E1470D">
      <w:pPr>
        <w:pStyle w:val="TextoPrincipal"/>
        <w:spacing w:before="240" w:line="360" w:lineRule="auto"/>
      </w:pPr>
    </w:p>
    <w:p w14:paraId="2CD94346" w14:textId="77777777" w:rsidR="00E1470D" w:rsidRDefault="00E1470D" w:rsidP="00E1470D">
      <w:pPr>
        <w:pStyle w:val="TextoPrincipal"/>
        <w:spacing w:before="240" w:line="360" w:lineRule="auto"/>
      </w:pPr>
    </w:p>
    <w:p w14:paraId="1FC0E82B" w14:textId="46978AB2" w:rsidR="00E1470D" w:rsidRDefault="007A2103" w:rsidP="00E1470D">
      <w:pPr>
        <w:pStyle w:val="TextoPrincipal"/>
        <w:spacing w:line="360" w:lineRule="auto"/>
        <w:ind w:firstLine="0"/>
        <w:jc w:val="center"/>
      </w:pPr>
      <w:r>
        <w:rPr>
          <w:noProof/>
        </w:rPr>
        <w:lastRenderedPageBreak/>
        <w:drawing>
          <wp:inline distT="0" distB="0" distL="0" distR="0" wp14:anchorId="4129B665" wp14:editId="436EB5EF">
            <wp:extent cx="4442460" cy="2922270"/>
            <wp:effectExtent l="0" t="0" r="15240" b="11430"/>
            <wp:docPr id="313284884" name="Gráfico 1">
              <a:extLst xmlns:a="http://schemas.openxmlformats.org/drawingml/2006/main">
                <a:ext uri="{FF2B5EF4-FFF2-40B4-BE49-F238E27FC236}">
                  <a16:creationId xmlns:a16="http://schemas.microsoft.com/office/drawing/2014/main" id="{BA0EC0AA-99FE-0B1A-6CD7-DAD13BDE62E8}"/>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14:paraId="3F87B002" w14:textId="77777777" w:rsidR="001A4EDE" w:rsidRDefault="00E1470D" w:rsidP="0037253C">
      <w:pPr>
        <w:pStyle w:val="TextoPrincipal"/>
        <w:spacing w:after="0" w:line="360" w:lineRule="auto"/>
      </w:pPr>
      <w:r w:rsidRPr="00E1470D">
        <w:t>Figura 4. Rentabilidad sobre los Activos (ROA)</w:t>
      </w:r>
      <w:r>
        <w:t>.</w:t>
      </w:r>
    </w:p>
    <w:p w14:paraId="6FAC3F33" w14:textId="6F940C73" w:rsidR="00E1470D" w:rsidRPr="00E1470D" w:rsidRDefault="001A4EDE" w:rsidP="0037253C">
      <w:pPr>
        <w:pStyle w:val="TextoPrincipal"/>
        <w:spacing w:after="0" w:line="360" w:lineRule="auto"/>
      </w:pPr>
      <w:r>
        <w:t xml:space="preserve">Fuente: </w:t>
      </w:r>
      <w:r w:rsidR="00E1470D" w:rsidRPr="00E1470D">
        <w:t xml:space="preserve">Elaboración propia con datos de microfinanciera </w:t>
      </w:r>
      <w:r w:rsidR="00E5074B">
        <w:t>“XYZ”</w:t>
      </w:r>
      <w:r w:rsidR="00E1470D" w:rsidRPr="00E1470D">
        <w:t xml:space="preserve">. </w:t>
      </w:r>
    </w:p>
    <w:p w14:paraId="1B9DD53D" w14:textId="77777777" w:rsidR="00101CE4" w:rsidRPr="00816B30" w:rsidRDefault="00101CE4" w:rsidP="005271E2">
      <w:pPr>
        <w:pStyle w:val="TextoPrincipal"/>
        <w:spacing w:line="360" w:lineRule="auto"/>
        <w:rPr>
          <w:sz w:val="22"/>
          <w:szCs w:val="22"/>
        </w:rPr>
      </w:pPr>
    </w:p>
    <w:p w14:paraId="1C44E50B" w14:textId="099AA11B" w:rsidR="00B854CD" w:rsidRDefault="005271E2" w:rsidP="005271E2">
      <w:pPr>
        <w:pStyle w:val="TextoPrincipal"/>
        <w:spacing w:line="360" w:lineRule="auto"/>
      </w:pPr>
      <w:r w:rsidRPr="005271E2">
        <w:t xml:space="preserve">Como se muestra en la figura 4, en el año 2021, la IMF alcanzó el punto más bajo de su rentabilidad sobre los activos, </w:t>
      </w:r>
      <w:r w:rsidR="00B655AB">
        <w:t>mostrándose</w:t>
      </w:r>
      <w:r w:rsidRPr="005271E2">
        <w:t xml:space="preserve"> un desfavorable -28.5%</w:t>
      </w:r>
      <w:r w:rsidR="00065D71">
        <w:t>,</w:t>
      </w:r>
      <w:r w:rsidR="0005688F" w:rsidRPr="0005688F">
        <w:t xml:space="preserve"> </w:t>
      </w:r>
      <w:r w:rsidR="0005688F">
        <w:t>es decir, que la institución pierde L 0.285 por cada lempira que valen sus activos;</w:t>
      </w:r>
      <w:r w:rsidR="00065D71">
        <w:t xml:space="preserve"> </w:t>
      </w:r>
      <w:r w:rsidR="000C5C59" w:rsidRPr="0005688F">
        <w:t xml:space="preserve">encontrándose dicho porcentaje muy </w:t>
      </w:r>
      <w:r w:rsidR="0005688F" w:rsidRPr="0005688F">
        <w:t>inferior al</w:t>
      </w:r>
      <w:r w:rsidR="000C5C59" w:rsidRPr="0005688F">
        <w:t xml:space="preserve"> </w:t>
      </w:r>
      <w:r w:rsidR="0005688F" w:rsidRPr="0005688F">
        <w:t>5</w:t>
      </w:r>
      <w:r w:rsidR="000C5C59" w:rsidRPr="0005688F">
        <w:t xml:space="preserve">% que se sugiere </w:t>
      </w:r>
      <w:r w:rsidR="0005688F" w:rsidRPr="0005688F">
        <w:t xml:space="preserve">para que una empresa </w:t>
      </w:r>
      <w:r w:rsidR="00180F9A">
        <w:t>sea</w:t>
      </w:r>
      <w:r w:rsidR="0005688F">
        <w:t xml:space="preserve"> rentable</w:t>
      </w:r>
      <w:r w:rsidR="0005688F" w:rsidRPr="0005688F">
        <w:t>.</w:t>
      </w:r>
    </w:p>
    <w:p w14:paraId="1059497A" w14:textId="1DCF264E" w:rsidR="000D76EB" w:rsidRDefault="005271E2" w:rsidP="005271E2">
      <w:pPr>
        <w:pStyle w:val="TextoPrincipal"/>
        <w:spacing w:line="360" w:lineRule="auto"/>
      </w:pPr>
      <w:r w:rsidRPr="005271E2">
        <w:t xml:space="preserve">Esta pérdida significativa del valor de los activos indica una situación financiera muy deteriorada, lo que podría poner en riesgo la viabilidad a largo plazo de la empresa. Sin embargo, </w:t>
      </w:r>
      <w:r w:rsidR="00101CE4">
        <w:t xml:space="preserve">algunos </w:t>
      </w:r>
      <w:r w:rsidRPr="005271E2">
        <w:t>factores externos como la pandemia mundial de COVID-19 y las tormentas tropicales ETA e IOTA impactaron negativamente a la IMF. En respuesta, la institución implementó medidas y estrategias para contrarrestar el impacto en su cartera de crédito (su activo de mayor valor), evitando así un deterioro aún más acelerado</w:t>
      </w:r>
      <w:r>
        <w:t>.</w:t>
      </w:r>
    </w:p>
    <w:p w14:paraId="1A1D7C30" w14:textId="5C4D3926" w:rsidR="0037253C" w:rsidRPr="000F77D2" w:rsidRDefault="005271E2" w:rsidP="00816B30">
      <w:pPr>
        <w:pStyle w:val="TextoPrincipal"/>
        <w:spacing w:line="360" w:lineRule="auto"/>
      </w:pPr>
      <w:r>
        <w:tab/>
      </w:r>
      <w:r w:rsidRPr="005271E2">
        <w:t xml:space="preserve">Asimismo, se logró </w:t>
      </w:r>
      <w:r w:rsidR="00294C9A">
        <w:t>determinar</w:t>
      </w:r>
      <w:r w:rsidRPr="005271E2">
        <w:t xml:space="preserve"> que las estrategias desarrolladas</w:t>
      </w:r>
      <w:r w:rsidR="00284ED1">
        <w:t xml:space="preserve"> o adoptadas</w:t>
      </w:r>
      <w:r w:rsidRPr="005271E2">
        <w:t xml:space="preserve"> </w:t>
      </w:r>
      <w:r w:rsidR="00705BBA">
        <w:t xml:space="preserve">por la IMF </w:t>
      </w:r>
      <w:r w:rsidR="00284ED1">
        <w:t>están siendo efectivas</w:t>
      </w:r>
      <w:r w:rsidR="00AF40AD">
        <w:t>,</w:t>
      </w:r>
      <w:r w:rsidR="00284ED1">
        <w:t xml:space="preserve"> puesto que </w:t>
      </w:r>
      <w:r w:rsidRPr="005271E2">
        <w:t xml:space="preserve">han permitido mejorar la eficiencia de los retornos sobre los activos, </w:t>
      </w:r>
      <w:r w:rsidR="00284ED1">
        <w:t xml:space="preserve">ya </w:t>
      </w:r>
      <w:r w:rsidR="00294C9A">
        <w:t>que se muestra</w:t>
      </w:r>
      <w:r w:rsidRPr="005271E2">
        <w:t xml:space="preserve"> una mejora progresiva</w:t>
      </w:r>
      <w:r w:rsidR="00705BBA">
        <w:t>, que genera una curva ascendente en la gráfica.</w:t>
      </w:r>
      <w:r w:rsidRPr="005271E2">
        <w:t xml:space="preserve"> En 2022, el indicador alcanzó un -9.9%, y en 2023, mejoró aún má</w:t>
      </w:r>
      <w:r w:rsidR="003302CE">
        <w:t>s, alcanzando</w:t>
      </w:r>
      <w:r w:rsidRPr="005271E2">
        <w:t xml:space="preserve"> un -3.9%, aunque sigue siendo negativo</w:t>
      </w:r>
      <w:r w:rsidR="00225526">
        <w:t xml:space="preserve"> se muestra una reducción del 24.6%</w:t>
      </w:r>
      <w:r w:rsidR="00705BBA">
        <w:t xml:space="preserve">, </w:t>
      </w:r>
      <w:r w:rsidR="00225526">
        <w:t xml:space="preserve">lo cual es </w:t>
      </w:r>
      <w:r w:rsidR="00284ED1">
        <w:t xml:space="preserve">muy bueno para la </w:t>
      </w:r>
      <w:r w:rsidR="00AF40AD">
        <w:t>empresa debido</w:t>
      </w:r>
      <w:r w:rsidR="00284ED1">
        <w:t xml:space="preserve"> a </w:t>
      </w:r>
      <w:r w:rsidR="00AF40AD">
        <w:t>las pérdidas en el</w:t>
      </w:r>
      <w:r w:rsidR="00225526">
        <w:t xml:space="preserve"> valor </w:t>
      </w:r>
      <w:r w:rsidR="00AF40AD">
        <w:t>de</w:t>
      </w:r>
      <w:r w:rsidR="00225526">
        <w:t xml:space="preserve"> sus </w:t>
      </w:r>
      <w:r w:rsidR="00284ED1">
        <w:t>activos</w:t>
      </w:r>
      <w:r w:rsidR="00AF40AD">
        <w:t xml:space="preserve"> está en </w:t>
      </w:r>
      <w:r w:rsidR="00225526">
        <w:t>menor escala</w:t>
      </w:r>
      <w:r w:rsidR="00F83917">
        <w:t>.</w:t>
      </w:r>
    </w:p>
    <w:p w14:paraId="21491DCE" w14:textId="70C2F9D1" w:rsidR="000F77D2" w:rsidRPr="00B77490" w:rsidRDefault="000F77D2" w:rsidP="00195CA2">
      <w:pPr>
        <w:pStyle w:val="Ttulo5"/>
        <w:spacing w:line="360" w:lineRule="auto"/>
        <w:ind w:firstLine="1440"/>
        <w:rPr>
          <w:rFonts w:ascii="Times New Roman" w:hAnsi="Times New Roman" w:cs="Times New Roman"/>
          <w:b/>
          <w:bCs/>
          <w:color w:val="000000" w:themeColor="text1"/>
          <w:sz w:val="24"/>
          <w:szCs w:val="24"/>
        </w:rPr>
      </w:pPr>
      <w:bookmarkStart w:id="278" w:name="_Toc175171430"/>
      <w:r w:rsidRPr="00B77490">
        <w:rPr>
          <w:rFonts w:ascii="Times New Roman" w:hAnsi="Times New Roman" w:cs="Times New Roman"/>
          <w:b/>
          <w:bCs/>
          <w:color w:val="000000" w:themeColor="text1"/>
          <w:sz w:val="24"/>
          <w:szCs w:val="24"/>
        </w:rPr>
        <w:lastRenderedPageBreak/>
        <w:t>4.2.1.1.2. RENDIMIENTO SOBRE EL CAPITAL (ROE)</w:t>
      </w:r>
      <w:bookmarkEnd w:id="278"/>
    </w:p>
    <w:p w14:paraId="19E3D6A8" w14:textId="77777777" w:rsidR="000F77D2" w:rsidRDefault="000F77D2" w:rsidP="00195CA2">
      <w:pPr>
        <w:spacing w:line="360" w:lineRule="auto"/>
        <w:ind w:firstLine="720"/>
        <w:jc w:val="both"/>
        <w:rPr>
          <w:rFonts w:ascii="Times New Roman" w:hAnsi="Times New Roman" w:cs="Times New Roman"/>
          <w:sz w:val="24"/>
          <w:szCs w:val="24"/>
        </w:rPr>
      </w:pPr>
      <w:r w:rsidRPr="000F77D2">
        <w:rPr>
          <w:rFonts w:ascii="Times New Roman" w:hAnsi="Times New Roman" w:cs="Times New Roman"/>
          <w:sz w:val="24"/>
          <w:szCs w:val="24"/>
        </w:rPr>
        <w:t>El ROE, o "Retorno sobre el Patrimonio", es un indicador financiero clave que evalúa la rentabilidad y el rendimiento financiero de la empresa en relación con el capital invertido en esta. Esencialmente, el ROE ofrece una visión de la eficiencia con la que la empresa utiliza el capital de sus accionistas para generar ganancias. Este indicador es fundamental tanto para inversores como para directivos, ya que les proporciona información crucial sobre la capacidad de la empresa para generar beneficios a partir de su patrimonio.</w:t>
      </w:r>
    </w:p>
    <w:p w14:paraId="60A23E9A" w14:textId="77777777" w:rsidR="00A90B85" w:rsidRPr="00A90B85" w:rsidRDefault="00A90B85" w:rsidP="00A90B85">
      <w:pPr>
        <w:spacing w:line="360" w:lineRule="auto"/>
        <w:ind w:firstLine="720"/>
        <w:jc w:val="both"/>
        <w:rPr>
          <w:rFonts w:ascii="Times New Roman" w:hAnsi="Times New Roman" w:cs="Times New Roman"/>
          <w:sz w:val="24"/>
          <w:szCs w:val="24"/>
        </w:rPr>
      </w:pPr>
      <w:r w:rsidRPr="00A90B85">
        <w:rPr>
          <w:rFonts w:ascii="Times New Roman" w:hAnsi="Times New Roman" w:cs="Times New Roman"/>
          <w:sz w:val="24"/>
          <w:szCs w:val="24"/>
        </w:rPr>
        <w:t>Para realizar los cálculos del ROE se utilizó la siguiente fórmula:</w:t>
      </w:r>
    </w:p>
    <w:p w14:paraId="4117AD5C" w14:textId="4B48828B" w:rsidR="00195CA2" w:rsidRPr="00B149BE" w:rsidRDefault="00A90B85" w:rsidP="00A90B85">
      <w:pPr>
        <w:spacing w:line="360" w:lineRule="auto"/>
        <w:ind w:firstLine="720"/>
        <w:jc w:val="both"/>
        <w:rPr>
          <w:rFonts w:ascii="Times New Roman" w:hAnsi="Times New Roman" w:cs="Times New Roman"/>
          <w:b/>
          <w:bCs/>
          <w:i/>
          <w:iCs/>
          <w:sz w:val="24"/>
          <w:szCs w:val="24"/>
        </w:rPr>
      </w:pPr>
      <w:r w:rsidRPr="00B149BE">
        <w:rPr>
          <w:rFonts w:ascii="Times New Roman" w:hAnsi="Times New Roman" w:cs="Times New Roman"/>
          <w:b/>
          <w:bCs/>
          <w:i/>
          <w:iCs/>
          <w:sz w:val="24"/>
          <w:szCs w:val="24"/>
        </w:rPr>
        <w:t>ROE = Utilidad Neta / Patrimonio * 100</w:t>
      </w:r>
    </w:p>
    <w:p w14:paraId="32E40C9F" w14:textId="77777777" w:rsidR="00272B2F" w:rsidRDefault="00272B2F" w:rsidP="00A90B85">
      <w:pPr>
        <w:spacing w:line="360" w:lineRule="auto"/>
        <w:ind w:firstLine="720"/>
        <w:jc w:val="both"/>
        <w:rPr>
          <w:rFonts w:ascii="Times New Roman" w:hAnsi="Times New Roman" w:cs="Times New Roman"/>
          <w:sz w:val="24"/>
          <w:szCs w:val="24"/>
        </w:rPr>
      </w:pPr>
    </w:p>
    <w:p w14:paraId="0E1E16AE" w14:textId="60563297" w:rsidR="00BA4F50" w:rsidRPr="00B149BE" w:rsidRDefault="00BA4F50" w:rsidP="0037253C">
      <w:pPr>
        <w:spacing w:line="360" w:lineRule="auto"/>
        <w:ind w:firstLine="720"/>
        <w:jc w:val="both"/>
        <w:rPr>
          <w:rFonts w:ascii="Times New Roman" w:hAnsi="Times New Roman" w:cs="Times New Roman"/>
          <w:sz w:val="24"/>
          <w:szCs w:val="24"/>
        </w:rPr>
      </w:pPr>
      <w:r w:rsidRPr="00B149BE">
        <w:rPr>
          <w:rFonts w:ascii="Times New Roman" w:hAnsi="Times New Roman" w:cs="Times New Roman"/>
          <w:sz w:val="24"/>
          <w:szCs w:val="24"/>
        </w:rPr>
        <w:t xml:space="preserve">Tabla 5. ROE en microfinanciera </w:t>
      </w:r>
      <w:r w:rsidR="00E5074B">
        <w:rPr>
          <w:rFonts w:ascii="Times New Roman" w:hAnsi="Times New Roman" w:cs="Times New Roman"/>
          <w:sz w:val="24"/>
          <w:szCs w:val="24"/>
        </w:rPr>
        <w:t>“XYZ”</w:t>
      </w:r>
      <w:r w:rsidRPr="00B149BE">
        <w:rPr>
          <w:rFonts w:ascii="Times New Roman" w:hAnsi="Times New Roman" w:cs="Times New Roman"/>
          <w:sz w:val="24"/>
          <w:szCs w:val="24"/>
        </w:rPr>
        <w:t xml:space="preserve"> periodo 2019-2023.</w:t>
      </w:r>
    </w:p>
    <w:tbl>
      <w:tblPr>
        <w:tblW w:w="9872" w:type="dxa"/>
        <w:tblInd w:w="-496" w:type="dxa"/>
        <w:tblCellMar>
          <w:left w:w="70" w:type="dxa"/>
          <w:right w:w="70" w:type="dxa"/>
        </w:tblCellMar>
        <w:tblLook w:val="04A0" w:firstRow="1" w:lastRow="0" w:firstColumn="1" w:lastColumn="0" w:noHBand="0" w:noVBand="1"/>
      </w:tblPr>
      <w:tblGrid>
        <w:gridCol w:w="2113"/>
        <w:gridCol w:w="344"/>
        <w:gridCol w:w="1483"/>
        <w:gridCol w:w="1483"/>
        <w:gridCol w:w="1483"/>
        <w:gridCol w:w="1483"/>
        <w:gridCol w:w="1483"/>
      </w:tblGrid>
      <w:tr w:rsidR="00D20199" w:rsidRPr="00D20199" w14:paraId="10637FB3" w14:textId="77777777" w:rsidTr="00D20199">
        <w:trPr>
          <w:trHeight w:val="303"/>
        </w:trPr>
        <w:tc>
          <w:tcPr>
            <w:tcW w:w="2113" w:type="dxa"/>
            <w:tcBorders>
              <w:top w:val="nil"/>
              <w:left w:val="nil"/>
              <w:bottom w:val="nil"/>
              <w:right w:val="nil"/>
            </w:tcBorders>
            <w:shd w:val="clear" w:color="auto" w:fill="auto"/>
            <w:vAlign w:val="bottom"/>
            <w:hideMark/>
          </w:tcPr>
          <w:p w14:paraId="73A51020" w14:textId="77777777" w:rsidR="00D20199" w:rsidRPr="00D20199" w:rsidRDefault="00D20199" w:rsidP="00D20199">
            <w:pPr>
              <w:widowControl/>
              <w:rPr>
                <w:rFonts w:ascii="Times New Roman" w:eastAsia="Times New Roman" w:hAnsi="Times New Roman" w:cs="Times New Roman"/>
                <w:sz w:val="24"/>
                <w:szCs w:val="24"/>
                <w:lang w:eastAsia="es-HN"/>
              </w:rPr>
            </w:pPr>
          </w:p>
        </w:tc>
        <w:tc>
          <w:tcPr>
            <w:tcW w:w="344" w:type="dxa"/>
            <w:tcBorders>
              <w:top w:val="nil"/>
              <w:left w:val="nil"/>
              <w:bottom w:val="nil"/>
              <w:right w:val="nil"/>
            </w:tcBorders>
            <w:shd w:val="clear" w:color="auto" w:fill="auto"/>
            <w:noWrap/>
            <w:vAlign w:val="bottom"/>
            <w:hideMark/>
          </w:tcPr>
          <w:p w14:paraId="1E689BE8" w14:textId="77777777" w:rsidR="00D20199" w:rsidRPr="00D20199" w:rsidRDefault="00D20199" w:rsidP="00D20199">
            <w:pPr>
              <w:widowControl/>
              <w:rPr>
                <w:rFonts w:ascii="Times New Roman" w:eastAsia="Times New Roman" w:hAnsi="Times New Roman" w:cs="Times New Roman"/>
                <w:sz w:val="20"/>
                <w:szCs w:val="20"/>
                <w:lang w:eastAsia="es-HN"/>
              </w:rPr>
            </w:pPr>
          </w:p>
        </w:tc>
        <w:tc>
          <w:tcPr>
            <w:tcW w:w="1483" w:type="dxa"/>
            <w:tcBorders>
              <w:top w:val="nil"/>
              <w:left w:val="nil"/>
              <w:bottom w:val="nil"/>
              <w:right w:val="nil"/>
            </w:tcBorders>
            <w:shd w:val="clear" w:color="auto" w:fill="auto"/>
            <w:noWrap/>
            <w:vAlign w:val="bottom"/>
            <w:hideMark/>
          </w:tcPr>
          <w:p w14:paraId="2E31D119" w14:textId="77777777" w:rsidR="00D20199" w:rsidRPr="00D20199" w:rsidRDefault="00D20199" w:rsidP="00D20199">
            <w:pPr>
              <w:widowControl/>
              <w:jc w:val="center"/>
              <w:rPr>
                <w:rFonts w:ascii="Times New Roman" w:eastAsia="Times New Roman" w:hAnsi="Times New Roman" w:cs="Times New Roman"/>
                <w:b/>
                <w:bCs/>
                <w:color w:val="000000"/>
                <w:lang w:eastAsia="es-HN"/>
              </w:rPr>
            </w:pPr>
            <w:r w:rsidRPr="00D20199">
              <w:rPr>
                <w:rFonts w:ascii="Times New Roman" w:eastAsia="Times New Roman" w:hAnsi="Times New Roman" w:cs="Times New Roman"/>
                <w:b/>
                <w:bCs/>
                <w:color w:val="000000"/>
                <w:lang w:eastAsia="es-HN"/>
              </w:rPr>
              <w:t>2019</w:t>
            </w:r>
          </w:p>
        </w:tc>
        <w:tc>
          <w:tcPr>
            <w:tcW w:w="1483" w:type="dxa"/>
            <w:tcBorders>
              <w:top w:val="nil"/>
              <w:left w:val="nil"/>
              <w:bottom w:val="nil"/>
              <w:right w:val="nil"/>
            </w:tcBorders>
            <w:shd w:val="clear" w:color="auto" w:fill="auto"/>
            <w:noWrap/>
            <w:vAlign w:val="bottom"/>
            <w:hideMark/>
          </w:tcPr>
          <w:p w14:paraId="482F804D" w14:textId="77777777" w:rsidR="00D20199" w:rsidRPr="00D20199" w:rsidRDefault="00D20199" w:rsidP="00D20199">
            <w:pPr>
              <w:widowControl/>
              <w:jc w:val="center"/>
              <w:rPr>
                <w:rFonts w:ascii="Times New Roman" w:eastAsia="Times New Roman" w:hAnsi="Times New Roman" w:cs="Times New Roman"/>
                <w:b/>
                <w:bCs/>
                <w:color w:val="000000"/>
                <w:lang w:eastAsia="es-HN"/>
              </w:rPr>
            </w:pPr>
            <w:r w:rsidRPr="00D20199">
              <w:rPr>
                <w:rFonts w:ascii="Times New Roman" w:eastAsia="Times New Roman" w:hAnsi="Times New Roman" w:cs="Times New Roman"/>
                <w:b/>
                <w:bCs/>
                <w:color w:val="000000"/>
                <w:lang w:eastAsia="es-HN"/>
              </w:rPr>
              <w:t>2020</w:t>
            </w:r>
          </w:p>
        </w:tc>
        <w:tc>
          <w:tcPr>
            <w:tcW w:w="1483" w:type="dxa"/>
            <w:tcBorders>
              <w:top w:val="nil"/>
              <w:left w:val="nil"/>
              <w:bottom w:val="nil"/>
              <w:right w:val="nil"/>
            </w:tcBorders>
            <w:shd w:val="clear" w:color="auto" w:fill="auto"/>
            <w:noWrap/>
            <w:vAlign w:val="bottom"/>
            <w:hideMark/>
          </w:tcPr>
          <w:p w14:paraId="6159EA1B" w14:textId="77777777" w:rsidR="00D20199" w:rsidRPr="00D20199" w:rsidRDefault="00D20199" w:rsidP="00D20199">
            <w:pPr>
              <w:widowControl/>
              <w:jc w:val="center"/>
              <w:rPr>
                <w:rFonts w:ascii="Times New Roman" w:eastAsia="Times New Roman" w:hAnsi="Times New Roman" w:cs="Times New Roman"/>
                <w:b/>
                <w:bCs/>
                <w:color w:val="000000"/>
                <w:lang w:eastAsia="es-HN"/>
              </w:rPr>
            </w:pPr>
            <w:r w:rsidRPr="00D20199">
              <w:rPr>
                <w:rFonts w:ascii="Times New Roman" w:eastAsia="Times New Roman" w:hAnsi="Times New Roman" w:cs="Times New Roman"/>
                <w:b/>
                <w:bCs/>
                <w:color w:val="000000"/>
                <w:lang w:eastAsia="es-HN"/>
              </w:rPr>
              <w:t>2021</w:t>
            </w:r>
          </w:p>
        </w:tc>
        <w:tc>
          <w:tcPr>
            <w:tcW w:w="1483" w:type="dxa"/>
            <w:tcBorders>
              <w:top w:val="nil"/>
              <w:left w:val="nil"/>
              <w:bottom w:val="nil"/>
              <w:right w:val="nil"/>
            </w:tcBorders>
            <w:shd w:val="clear" w:color="auto" w:fill="auto"/>
            <w:noWrap/>
            <w:vAlign w:val="bottom"/>
            <w:hideMark/>
          </w:tcPr>
          <w:p w14:paraId="5176E95F" w14:textId="77777777" w:rsidR="00D20199" w:rsidRPr="00D20199" w:rsidRDefault="00D20199" w:rsidP="00D20199">
            <w:pPr>
              <w:widowControl/>
              <w:jc w:val="center"/>
              <w:rPr>
                <w:rFonts w:ascii="Times New Roman" w:eastAsia="Times New Roman" w:hAnsi="Times New Roman" w:cs="Times New Roman"/>
                <w:b/>
                <w:bCs/>
                <w:color w:val="000000"/>
                <w:lang w:eastAsia="es-HN"/>
              </w:rPr>
            </w:pPr>
            <w:r w:rsidRPr="00D20199">
              <w:rPr>
                <w:rFonts w:ascii="Times New Roman" w:eastAsia="Times New Roman" w:hAnsi="Times New Roman" w:cs="Times New Roman"/>
                <w:b/>
                <w:bCs/>
                <w:color w:val="000000"/>
                <w:lang w:eastAsia="es-HN"/>
              </w:rPr>
              <w:t>2022</w:t>
            </w:r>
          </w:p>
        </w:tc>
        <w:tc>
          <w:tcPr>
            <w:tcW w:w="1483" w:type="dxa"/>
            <w:tcBorders>
              <w:top w:val="nil"/>
              <w:left w:val="nil"/>
              <w:bottom w:val="nil"/>
              <w:right w:val="nil"/>
            </w:tcBorders>
            <w:shd w:val="clear" w:color="auto" w:fill="auto"/>
            <w:noWrap/>
            <w:vAlign w:val="bottom"/>
            <w:hideMark/>
          </w:tcPr>
          <w:p w14:paraId="59E3BA00" w14:textId="77777777" w:rsidR="00D20199" w:rsidRPr="00D20199" w:rsidRDefault="00D20199" w:rsidP="00D20199">
            <w:pPr>
              <w:widowControl/>
              <w:jc w:val="center"/>
              <w:rPr>
                <w:rFonts w:ascii="Times New Roman" w:eastAsia="Times New Roman" w:hAnsi="Times New Roman" w:cs="Times New Roman"/>
                <w:b/>
                <w:bCs/>
                <w:color w:val="000000"/>
                <w:lang w:eastAsia="es-HN"/>
              </w:rPr>
            </w:pPr>
            <w:r w:rsidRPr="00D20199">
              <w:rPr>
                <w:rFonts w:ascii="Times New Roman" w:eastAsia="Times New Roman" w:hAnsi="Times New Roman" w:cs="Times New Roman"/>
                <w:b/>
                <w:bCs/>
                <w:color w:val="000000"/>
                <w:lang w:eastAsia="es-HN"/>
              </w:rPr>
              <w:t>2023</w:t>
            </w:r>
          </w:p>
        </w:tc>
      </w:tr>
      <w:tr w:rsidR="00D20199" w:rsidRPr="00D20199" w14:paraId="4CBE48F4" w14:textId="77777777" w:rsidTr="00D20199">
        <w:trPr>
          <w:trHeight w:val="317"/>
        </w:trPr>
        <w:tc>
          <w:tcPr>
            <w:tcW w:w="2113" w:type="dxa"/>
            <w:tcBorders>
              <w:top w:val="nil"/>
              <w:left w:val="nil"/>
              <w:bottom w:val="nil"/>
              <w:right w:val="nil"/>
            </w:tcBorders>
            <w:shd w:val="clear" w:color="auto" w:fill="auto"/>
            <w:vAlign w:val="bottom"/>
            <w:hideMark/>
          </w:tcPr>
          <w:p w14:paraId="5426A681" w14:textId="77777777" w:rsidR="00D20199" w:rsidRPr="00D20199" w:rsidRDefault="00D20199" w:rsidP="00D20199">
            <w:pPr>
              <w:widowControl/>
              <w:jc w:val="center"/>
              <w:rPr>
                <w:rFonts w:ascii="Times New Roman" w:eastAsia="Times New Roman" w:hAnsi="Times New Roman" w:cs="Times New Roman"/>
                <w:b/>
                <w:bCs/>
                <w:color w:val="000000"/>
                <w:lang w:eastAsia="es-HN"/>
              </w:rPr>
            </w:pPr>
          </w:p>
        </w:tc>
        <w:tc>
          <w:tcPr>
            <w:tcW w:w="344" w:type="dxa"/>
            <w:tcBorders>
              <w:top w:val="nil"/>
              <w:left w:val="nil"/>
              <w:bottom w:val="nil"/>
              <w:right w:val="nil"/>
            </w:tcBorders>
            <w:shd w:val="clear" w:color="auto" w:fill="auto"/>
            <w:noWrap/>
            <w:vAlign w:val="bottom"/>
            <w:hideMark/>
          </w:tcPr>
          <w:p w14:paraId="69CE90B5" w14:textId="77777777" w:rsidR="00D20199" w:rsidRPr="00D20199" w:rsidRDefault="00D20199" w:rsidP="00D20199">
            <w:pPr>
              <w:widowControl/>
              <w:rPr>
                <w:rFonts w:ascii="Times New Roman" w:eastAsia="Times New Roman" w:hAnsi="Times New Roman" w:cs="Times New Roman"/>
                <w:sz w:val="20"/>
                <w:szCs w:val="20"/>
                <w:lang w:eastAsia="es-HN"/>
              </w:rPr>
            </w:pPr>
          </w:p>
        </w:tc>
        <w:tc>
          <w:tcPr>
            <w:tcW w:w="1483" w:type="dxa"/>
            <w:tcBorders>
              <w:top w:val="nil"/>
              <w:left w:val="nil"/>
              <w:bottom w:val="nil"/>
              <w:right w:val="nil"/>
            </w:tcBorders>
            <w:shd w:val="clear" w:color="auto" w:fill="auto"/>
            <w:noWrap/>
            <w:vAlign w:val="bottom"/>
            <w:hideMark/>
          </w:tcPr>
          <w:p w14:paraId="34925489" w14:textId="77777777" w:rsidR="00D20199" w:rsidRPr="00D20199" w:rsidRDefault="00D20199" w:rsidP="00D20199">
            <w:pPr>
              <w:widowControl/>
              <w:rPr>
                <w:rFonts w:ascii="Times New Roman" w:eastAsia="Times New Roman" w:hAnsi="Times New Roman" w:cs="Times New Roman"/>
                <w:sz w:val="20"/>
                <w:szCs w:val="20"/>
                <w:lang w:eastAsia="es-HN"/>
              </w:rPr>
            </w:pPr>
          </w:p>
        </w:tc>
        <w:tc>
          <w:tcPr>
            <w:tcW w:w="1483" w:type="dxa"/>
            <w:tcBorders>
              <w:top w:val="nil"/>
              <w:left w:val="nil"/>
              <w:bottom w:val="nil"/>
              <w:right w:val="nil"/>
            </w:tcBorders>
            <w:shd w:val="clear" w:color="auto" w:fill="auto"/>
            <w:noWrap/>
            <w:vAlign w:val="bottom"/>
            <w:hideMark/>
          </w:tcPr>
          <w:p w14:paraId="6CC1CB02" w14:textId="77777777" w:rsidR="00D20199" w:rsidRPr="00D20199" w:rsidRDefault="00D20199" w:rsidP="00D20199">
            <w:pPr>
              <w:widowControl/>
              <w:rPr>
                <w:rFonts w:ascii="Times New Roman" w:eastAsia="Times New Roman" w:hAnsi="Times New Roman" w:cs="Times New Roman"/>
                <w:sz w:val="20"/>
                <w:szCs w:val="20"/>
                <w:lang w:eastAsia="es-HN"/>
              </w:rPr>
            </w:pPr>
          </w:p>
        </w:tc>
        <w:tc>
          <w:tcPr>
            <w:tcW w:w="1483" w:type="dxa"/>
            <w:tcBorders>
              <w:top w:val="nil"/>
              <w:left w:val="nil"/>
              <w:bottom w:val="nil"/>
              <w:right w:val="nil"/>
            </w:tcBorders>
            <w:shd w:val="clear" w:color="auto" w:fill="auto"/>
            <w:noWrap/>
            <w:vAlign w:val="bottom"/>
            <w:hideMark/>
          </w:tcPr>
          <w:p w14:paraId="6195F141" w14:textId="77777777" w:rsidR="00D20199" w:rsidRPr="00D20199" w:rsidRDefault="00D20199" w:rsidP="00D20199">
            <w:pPr>
              <w:widowControl/>
              <w:rPr>
                <w:rFonts w:ascii="Times New Roman" w:eastAsia="Times New Roman" w:hAnsi="Times New Roman" w:cs="Times New Roman"/>
                <w:sz w:val="20"/>
                <w:szCs w:val="20"/>
                <w:lang w:eastAsia="es-HN"/>
              </w:rPr>
            </w:pPr>
          </w:p>
        </w:tc>
        <w:tc>
          <w:tcPr>
            <w:tcW w:w="1483" w:type="dxa"/>
            <w:tcBorders>
              <w:top w:val="nil"/>
              <w:left w:val="nil"/>
              <w:bottom w:val="nil"/>
              <w:right w:val="nil"/>
            </w:tcBorders>
            <w:shd w:val="clear" w:color="auto" w:fill="auto"/>
            <w:noWrap/>
            <w:vAlign w:val="bottom"/>
            <w:hideMark/>
          </w:tcPr>
          <w:p w14:paraId="5055293F" w14:textId="77777777" w:rsidR="00D20199" w:rsidRPr="00D20199" w:rsidRDefault="00D20199" w:rsidP="00D20199">
            <w:pPr>
              <w:widowControl/>
              <w:rPr>
                <w:rFonts w:ascii="Times New Roman" w:eastAsia="Times New Roman" w:hAnsi="Times New Roman" w:cs="Times New Roman"/>
                <w:sz w:val="20"/>
                <w:szCs w:val="20"/>
                <w:lang w:eastAsia="es-HN"/>
              </w:rPr>
            </w:pPr>
          </w:p>
        </w:tc>
        <w:tc>
          <w:tcPr>
            <w:tcW w:w="1483" w:type="dxa"/>
            <w:tcBorders>
              <w:top w:val="nil"/>
              <w:left w:val="nil"/>
              <w:bottom w:val="nil"/>
              <w:right w:val="nil"/>
            </w:tcBorders>
            <w:shd w:val="clear" w:color="auto" w:fill="auto"/>
            <w:noWrap/>
            <w:vAlign w:val="bottom"/>
            <w:hideMark/>
          </w:tcPr>
          <w:p w14:paraId="6E1C3F88" w14:textId="77777777" w:rsidR="00D20199" w:rsidRPr="00D20199" w:rsidRDefault="00D20199" w:rsidP="00D20199">
            <w:pPr>
              <w:widowControl/>
              <w:rPr>
                <w:rFonts w:ascii="Times New Roman" w:eastAsia="Times New Roman" w:hAnsi="Times New Roman" w:cs="Times New Roman"/>
                <w:sz w:val="20"/>
                <w:szCs w:val="20"/>
                <w:lang w:eastAsia="es-HN"/>
              </w:rPr>
            </w:pPr>
          </w:p>
        </w:tc>
      </w:tr>
      <w:tr w:rsidR="00D20199" w:rsidRPr="00D20199" w14:paraId="49EF47BB" w14:textId="77777777" w:rsidTr="00D20199">
        <w:trPr>
          <w:trHeight w:val="317"/>
        </w:trPr>
        <w:tc>
          <w:tcPr>
            <w:tcW w:w="2113" w:type="dxa"/>
            <w:vMerge w:val="restart"/>
            <w:tcBorders>
              <w:top w:val="nil"/>
              <w:left w:val="nil"/>
              <w:bottom w:val="nil"/>
              <w:right w:val="nil"/>
            </w:tcBorders>
            <w:shd w:val="clear" w:color="auto" w:fill="auto"/>
            <w:vAlign w:val="center"/>
            <w:hideMark/>
          </w:tcPr>
          <w:p w14:paraId="3B019EEB" w14:textId="77777777" w:rsidR="00D20199" w:rsidRPr="00D20199" w:rsidRDefault="00D20199" w:rsidP="00D20199">
            <w:pPr>
              <w:widowControl/>
              <w:jc w:val="center"/>
              <w:rPr>
                <w:rFonts w:ascii="Times New Roman" w:eastAsia="Times New Roman" w:hAnsi="Times New Roman" w:cs="Times New Roman"/>
                <w:b/>
                <w:bCs/>
                <w:color w:val="000000"/>
                <w:lang w:eastAsia="es-HN"/>
              </w:rPr>
            </w:pPr>
            <w:r w:rsidRPr="00D20199">
              <w:rPr>
                <w:rFonts w:ascii="Times New Roman" w:eastAsia="Times New Roman" w:hAnsi="Times New Roman" w:cs="Times New Roman"/>
                <w:b/>
                <w:bCs/>
                <w:color w:val="000000"/>
                <w:lang w:eastAsia="es-HN"/>
              </w:rPr>
              <w:t xml:space="preserve">Retorno sobre el Capital </w:t>
            </w:r>
          </w:p>
        </w:tc>
        <w:tc>
          <w:tcPr>
            <w:tcW w:w="344" w:type="dxa"/>
            <w:vMerge w:val="restart"/>
            <w:tcBorders>
              <w:top w:val="nil"/>
              <w:left w:val="nil"/>
              <w:bottom w:val="nil"/>
              <w:right w:val="nil"/>
            </w:tcBorders>
            <w:shd w:val="clear" w:color="auto" w:fill="auto"/>
            <w:noWrap/>
            <w:vAlign w:val="center"/>
            <w:hideMark/>
          </w:tcPr>
          <w:p w14:paraId="483A74E3" w14:textId="77777777" w:rsidR="00D20199" w:rsidRPr="00D20199" w:rsidRDefault="00D20199" w:rsidP="00D20199">
            <w:pPr>
              <w:widowControl/>
              <w:jc w:val="center"/>
              <w:rPr>
                <w:rFonts w:ascii="Times New Roman" w:eastAsia="Times New Roman" w:hAnsi="Times New Roman" w:cs="Times New Roman"/>
                <w:b/>
                <w:bCs/>
                <w:color w:val="000000"/>
                <w:lang w:eastAsia="es-HN"/>
              </w:rPr>
            </w:pPr>
            <w:r w:rsidRPr="00D20199">
              <w:rPr>
                <w:rFonts w:ascii="Times New Roman" w:eastAsia="Times New Roman" w:hAnsi="Times New Roman" w:cs="Times New Roman"/>
                <w:b/>
                <w:bCs/>
                <w:color w:val="000000"/>
                <w:lang w:eastAsia="es-HN"/>
              </w:rPr>
              <w:t>=</w:t>
            </w:r>
          </w:p>
        </w:tc>
        <w:tc>
          <w:tcPr>
            <w:tcW w:w="1483" w:type="dxa"/>
            <w:tcBorders>
              <w:top w:val="nil"/>
              <w:left w:val="nil"/>
              <w:bottom w:val="single" w:sz="4" w:space="0" w:color="auto"/>
              <w:right w:val="nil"/>
            </w:tcBorders>
            <w:shd w:val="clear" w:color="auto" w:fill="auto"/>
            <w:noWrap/>
            <w:vAlign w:val="bottom"/>
            <w:hideMark/>
          </w:tcPr>
          <w:p w14:paraId="05A3084D" w14:textId="77777777" w:rsidR="00D20199" w:rsidRPr="00D20199" w:rsidRDefault="00D20199" w:rsidP="00D20199">
            <w:pPr>
              <w:widowControl/>
              <w:rPr>
                <w:rFonts w:ascii="Times New Roman" w:eastAsia="Times New Roman" w:hAnsi="Times New Roman" w:cs="Times New Roman"/>
                <w:color w:val="000000"/>
                <w:lang w:eastAsia="es-HN"/>
              </w:rPr>
            </w:pPr>
            <w:r w:rsidRPr="00D20199">
              <w:rPr>
                <w:rFonts w:ascii="Times New Roman" w:eastAsia="Times New Roman" w:hAnsi="Times New Roman" w:cs="Times New Roman"/>
                <w:color w:val="000000"/>
                <w:lang w:eastAsia="es-HN"/>
              </w:rPr>
              <w:t xml:space="preserve">-     18,676,026 </w:t>
            </w:r>
          </w:p>
        </w:tc>
        <w:tc>
          <w:tcPr>
            <w:tcW w:w="1483" w:type="dxa"/>
            <w:tcBorders>
              <w:top w:val="nil"/>
              <w:left w:val="nil"/>
              <w:bottom w:val="single" w:sz="4" w:space="0" w:color="auto"/>
              <w:right w:val="nil"/>
            </w:tcBorders>
            <w:shd w:val="clear" w:color="auto" w:fill="auto"/>
            <w:noWrap/>
            <w:vAlign w:val="bottom"/>
            <w:hideMark/>
          </w:tcPr>
          <w:p w14:paraId="5A8231A9" w14:textId="77777777" w:rsidR="00D20199" w:rsidRPr="00D20199" w:rsidRDefault="00D20199" w:rsidP="00D20199">
            <w:pPr>
              <w:widowControl/>
              <w:rPr>
                <w:rFonts w:ascii="Times New Roman" w:eastAsia="Times New Roman" w:hAnsi="Times New Roman" w:cs="Times New Roman"/>
                <w:color w:val="000000"/>
                <w:lang w:eastAsia="es-HN"/>
              </w:rPr>
            </w:pPr>
            <w:r w:rsidRPr="00D20199">
              <w:rPr>
                <w:rFonts w:ascii="Times New Roman" w:eastAsia="Times New Roman" w:hAnsi="Times New Roman" w:cs="Times New Roman"/>
                <w:color w:val="000000"/>
                <w:lang w:eastAsia="es-HN"/>
              </w:rPr>
              <w:t xml:space="preserve">-   104,993,473 </w:t>
            </w:r>
          </w:p>
        </w:tc>
        <w:tc>
          <w:tcPr>
            <w:tcW w:w="1483" w:type="dxa"/>
            <w:tcBorders>
              <w:top w:val="nil"/>
              <w:left w:val="nil"/>
              <w:bottom w:val="single" w:sz="4" w:space="0" w:color="auto"/>
              <w:right w:val="nil"/>
            </w:tcBorders>
            <w:shd w:val="clear" w:color="auto" w:fill="auto"/>
            <w:noWrap/>
            <w:vAlign w:val="bottom"/>
            <w:hideMark/>
          </w:tcPr>
          <w:p w14:paraId="4FB8095E" w14:textId="77777777" w:rsidR="00D20199" w:rsidRPr="00D20199" w:rsidRDefault="00D20199" w:rsidP="00D20199">
            <w:pPr>
              <w:widowControl/>
              <w:rPr>
                <w:rFonts w:ascii="Times New Roman" w:eastAsia="Times New Roman" w:hAnsi="Times New Roman" w:cs="Times New Roman"/>
                <w:color w:val="000000"/>
                <w:lang w:eastAsia="es-HN"/>
              </w:rPr>
            </w:pPr>
            <w:r w:rsidRPr="00D20199">
              <w:rPr>
                <w:rFonts w:ascii="Times New Roman" w:eastAsia="Times New Roman" w:hAnsi="Times New Roman" w:cs="Times New Roman"/>
                <w:color w:val="000000"/>
                <w:lang w:eastAsia="es-HN"/>
              </w:rPr>
              <w:t xml:space="preserve">-     99,771,938 </w:t>
            </w:r>
          </w:p>
        </w:tc>
        <w:tc>
          <w:tcPr>
            <w:tcW w:w="1483" w:type="dxa"/>
            <w:tcBorders>
              <w:top w:val="nil"/>
              <w:left w:val="nil"/>
              <w:bottom w:val="single" w:sz="4" w:space="0" w:color="auto"/>
              <w:right w:val="nil"/>
            </w:tcBorders>
            <w:shd w:val="clear" w:color="auto" w:fill="auto"/>
            <w:noWrap/>
            <w:vAlign w:val="bottom"/>
            <w:hideMark/>
          </w:tcPr>
          <w:p w14:paraId="624C4758" w14:textId="77777777" w:rsidR="00D20199" w:rsidRPr="00D20199" w:rsidRDefault="00D20199" w:rsidP="00D20199">
            <w:pPr>
              <w:widowControl/>
              <w:rPr>
                <w:rFonts w:ascii="Times New Roman" w:eastAsia="Times New Roman" w:hAnsi="Times New Roman" w:cs="Times New Roman"/>
                <w:color w:val="000000"/>
                <w:lang w:eastAsia="es-HN"/>
              </w:rPr>
            </w:pPr>
            <w:r w:rsidRPr="00D20199">
              <w:rPr>
                <w:rFonts w:ascii="Times New Roman" w:eastAsia="Times New Roman" w:hAnsi="Times New Roman" w:cs="Times New Roman"/>
                <w:color w:val="000000"/>
                <w:lang w:eastAsia="es-HN"/>
              </w:rPr>
              <w:t xml:space="preserve">-     34,857,569 </w:t>
            </w:r>
          </w:p>
        </w:tc>
        <w:tc>
          <w:tcPr>
            <w:tcW w:w="1483" w:type="dxa"/>
            <w:tcBorders>
              <w:top w:val="nil"/>
              <w:left w:val="nil"/>
              <w:bottom w:val="single" w:sz="4" w:space="0" w:color="auto"/>
              <w:right w:val="nil"/>
            </w:tcBorders>
            <w:shd w:val="clear" w:color="auto" w:fill="auto"/>
            <w:noWrap/>
            <w:vAlign w:val="bottom"/>
            <w:hideMark/>
          </w:tcPr>
          <w:p w14:paraId="2359DFE6" w14:textId="77777777" w:rsidR="00D20199" w:rsidRPr="00D20199" w:rsidRDefault="00D20199" w:rsidP="00D20199">
            <w:pPr>
              <w:widowControl/>
              <w:rPr>
                <w:rFonts w:ascii="Times New Roman" w:eastAsia="Times New Roman" w:hAnsi="Times New Roman" w:cs="Times New Roman"/>
                <w:color w:val="000000"/>
                <w:lang w:eastAsia="es-HN"/>
              </w:rPr>
            </w:pPr>
            <w:r w:rsidRPr="00D20199">
              <w:rPr>
                <w:rFonts w:ascii="Times New Roman" w:eastAsia="Times New Roman" w:hAnsi="Times New Roman" w:cs="Times New Roman"/>
                <w:color w:val="000000"/>
                <w:lang w:eastAsia="es-HN"/>
              </w:rPr>
              <w:t xml:space="preserve">-     13,590,489 </w:t>
            </w:r>
          </w:p>
        </w:tc>
      </w:tr>
      <w:tr w:rsidR="00D20199" w:rsidRPr="00D20199" w14:paraId="598D5C2F" w14:textId="77777777" w:rsidTr="00D20199">
        <w:trPr>
          <w:trHeight w:val="317"/>
        </w:trPr>
        <w:tc>
          <w:tcPr>
            <w:tcW w:w="2113" w:type="dxa"/>
            <w:vMerge/>
            <w:tcBorders>
              <w:top w:val="nil"/>
              <w:left w:val="nil"/>
              <w:bottom w:val="nil"/>
              <w:right w:val="nil"/>
            </w:tcBorders>
            <w:vAlign w:val="center"/>
            <w:hideMark/>
          </w:tcPr>
          <w:p w14:paraId="7B9FAE37" w14:textId="77777777" w:rsidR="00D20199" w:rsidRPr="00D20199" w:rsidRDefault="00D20199" w:rsidP="00D20199">
            <w:pPr>
              <w:widowControl/>
              <w:rPr>
                <w:rFonts w:ascii="Times New Roman" w:eastAsia="Times New Roman" w:hAnsi="Times New Roman" w:cs="Times New Roman"/>
                <w:b/>
                <w:bCs/>
                <w:color w:val="000000"/>
                <w:lang w:eastAsia="es-HN"/>
              </w:rPr>
            </w:pPr>
          </w:p>
        </w:tc>
        <w:tc>
          <w:tcPr>
            <w:tcW w:w="344" w:type="dxa"/>
            <w:vMerge/>
            <w:tcBorders>
              <w:top w:val="nil"/>
              <w:left w:val="nil"/>
              <w:bottom w:val="nil"/>
              <w:right w:val="nil"/>
            </w:tcBorders>
            <w:vAlign w:val="center"/>
            <w:hideMark/>
          </w:tcPr>
          <w:p w14:paraId="37EB79A7" w14:textId="77777777" w:rsidR="00D20199" w:rsidRPr="00D20199" w:rsidRDefault="00D20199" w:rsidP="00D20199">
            <w:pPr>
              <w:widowControl/>
              <w:rPr>
                <w:rFonts w:ascii="Times New Roman" w:eastAsia="Times New Roman" w:hAnsi="Times New Roman" w:cs="Times New Roman"/>
                <w:b/>
                <w:bCs/>
                <w:color w:val="000000"/>
                <w:lang w:eastAsia="es-HN"/>
              </w:rPr>
            </w:pPr>
          </w:p>
        </w:tc>
        <w:tc>
          <w:tcPr>
            <w:tcW w:w="1483" w:type="dxa"/>
            <w:tcBorders>
              <w:top w:val="nil"/>
              <w:left w:val="nil"/>
              <w:bottom w:val="nil"/>
              <w:right w:val="nil"/>
            </w:tcBorders>
            <w:shd w:val="clear" w:color="auto" w:fill="auto"/>
            <w:noWrap/>
            <w:vAlign w:val="bottom"/>
            <w:hideMark/>
          </w:tcPr>
          <w:p w14:paraId="5FA6D74E" w14:textId="77777777" w:rsidR="00D20199" w:rsidRPr="00D20199" w:rsidRDefault="00D20199" w:rsidP="00D20199">
            <w:pPr>
              <w:widowControl/>
              <w:rPr>
                <w:rFonts w:ascii="Times New Roman" w:eastAsia="Times New Roman" w:hAnsi="Times New Roman" w:cs="Times New Roman"/>
                <w:color w:val="000000"/>
                <w:lang w:eastAsia="es-HN"/>
              </w:rPr>
            </w:pPr>
            <w:r w:rsidRPr="00D20199">
              <w:rPr>
                <w:rFonts w:ascii="Times New Roman" w:eastAsia="Times New Roman" w:hAnsi="Times New Roman" w:cs="Times New Roman"/>
                <w:color w:val="000000"/>
                <w:lang w:eastAsia="es-HN"/>
              </w:rPr>
              <w:t xml:space="preserve">    132,704,015 </w:t>
            </w:r>
          </w:p>
        </w:tc>
        <w:tc>
          <w:tcPr>
            <w:tcW w:w="1483" w:type="dxa"/>
            <w:tcBorders>
              <w:top w:val="nil"/>
              <w:left w:val="nil"/>
              <w:bottom w:val="nil"/>
              <w:right w:val="nil"/>
            </w:tcBorders>
            <w:shd w:val="clear" w:color="auto" w:fill="auto"/>
            <w:noWrap/>
            <w:vAlign w:val="bottom"/>
            <w:hideMark/>
          </w:tcPr>
          <w:p w14:paraId="1E9EAACC" w14:textId="77777777" w:rsidR="00D20199" w:rsidRPr="00D20199" w:rsidRDefault="00D20199" w:rsidP="00D20199">
            <w:pPr>
              <w:widowControl/>
              <w:rPr>
                <w:rFonts w:ascii="Times New Roman" w:eastAsia="Times New Roman" w:hAnsi="Times New Roman" w:cs="Times New Roman"/>
                <w:color w:val="000000"/>
                <w:lang w:eastAsia="es-HN"/>
              </w:rPr>
            </w:pPr>
            <w:r w:rsidRPr="00D20199">
              <w:rPr>
                <w:rFonts w:ascii="Times New Roman" w:eastAsia="Times New Roman" w:hAnsi="Times New Roman" w:cs="Times New Roman"/>
                <w:color w:val="000000"/>
                <w:lang w:eastAsia="es-HN"/>
              </w:rPr>
              <w:t xml:space="preserve">      63,803,739 </w:t>
            </w:r>
          </w:p>
        </w:tc>
        <w:tc>
          <w:tcPr>
            <w:tcW w:w="1483" w:type="dxa"/>
            <w:tcBorders>
              <w:top w:val="nil"/>
              <w:left w:val="nil"/>
              <w:bottom w:val="nil"/>
              <w:right w:val="nil"/>
            </w:tcBorders>
            <w:shd w:val="clear" w:color="auto" w:fill="auto"/>
            <w:noWrap/>
            <w:vAlign w:val="bottom"/>
            <w:hideMark/>
          </w:tcPr>
          <w:p w14:paraId="480B1752" w14:textId="77777777" w:rsidR="00D20199" w:rsidRPr="00D20199" w:rsidRDefault="00D20199" w:rsidP="00D20199">
            <w:pPr>
              <w:widowControl/>
              <w:rPr>
                <w:rFonts w:ascii="Times New Roman" w:eastAsia="Times New Roman" w:hAnsi="Times New Roman" w:cs="Times New Roman"/>
                <w:color w:val="000000"/>
                <w:lang w:eastAsia="es-HN"/>
              </w:rPr>
            </w:pPr>
            <w:r w:rsidRPr="00D20199">
              <w:rPr>
                <w:rFonts w:ascii="Times New Roman" w:eastAsia="Times New Roman" w:hAnsi="Times New Roman" w:cs="Times New Roman"/>
                <w:color w:val="000000"/>
                <w:lang w:eastAsia="es-HN"/>
              </w:rPr>
              <w:t xml:space="preserve">      31,525,216 </w:t>
            </w:r>
          </w:p>
        </w:tc>
        <w:tc>
          <w:tcPr>
            <w:tcW w:w="1483" w:type="dxa"/>
            <w:tcBorders>
              <w:top w:val="nil"/>
              <w:left w:val="nil"/>
              <w:bottom w:val="nil"/>
              <w:right w:val="nil"/>
            </w:tcBorders>
            <w:shd w:val="clear" w:color="auto" w:fill="auto"/>
            <w:noWrap/>
            <w:vAlign w:val="bottom"/>
            <w:hideMark/>
          </w:tcPr>
          <w:p w14:paraId="6C8A7C01" w14:textId="77777777" w:rsidR="00D20199" w:rsidRPr="00D20199" w:rsidRDefault="00D20199" w:rsidP="00D20199">
            <w:pPr>
              <w:widowControl/>
              <w:rPr>
                <w:rFonts w:ascii="Times New Roman" w:eastAsia="Times New Roman" w:hAnsi="Times New Roman" w:cs="Times New Roman"/>
                <w:color w:val="000000"/>
                <w:lang w:eastAsia="es-HN"/>
              </w:rPr>
            </w:pPr>
            <w:r w:rsidRPr="00D20199">
              <w:rPr>
                <w:rFonts w:ascii="Times New Roman" w:eastAsia="Times New Roman" w:hAnsi="Times New Roman" w:cs="Times New Roman"/>
                <w:color w:val="000000"/>
                <w:lang w:eastAsia="es-HN"/>
              </w:rPr>
              <w:t xml:space="preserve">      71,241,105 </w:t>
            </w:r>
          </w:p>
        </w:tc>
        <w:tc>
          <w:tcPr>
            <w:tcW w:w="1483" w:type="dxa"/>
            <w:tcBorders>
              <w:top w:val="nil"/>
              <w:left w:val="nil"/>
              <w:bottom w:val="nil"/>
              <w:right w:val="nil"/>
            </w:tcBorders>
            <w:shd w:val="clear" w:color="auto" w:fill="auto"/>
            <w:noWrap/>
            <w:vAlign w:val="bottom"/>
            <w:hideMark/>
          </w:tcPr>
          <w:p w14:paraId="17C41CB0" w14:textId="77777777" w:rsidR="00D20199" w:rsidRPr="00D20199" w:rsidRDefault="00D20199" w:rsidP="00D20199">
            <w:pPr>
              <w:widowControl/>
              <w:rPr>
                <w:rFonts w:ascii="Times New Roman" w:eastAsia="Times New Roman" w:hAnsi="Times New Roman" w:cs="Times New Roman"/>
                <w:color w:val="000000"/>
                <w:lang w:eastAsia="es-HN"/>
              </w:rPr>
            </w:pPr>
            <w:r w:rsidRPr="00D20199">
              <w:rPr>
                <w:rFonts w:ascii="Times New Roman" w:eastAsia="Times New Roman" w:hAnsi="Times New Roman" w:cs="Times New Roman"/>
                <w:color w:val="000000"/>
                <w:lang w:eastAsia="es-HN"/>
              </w:rPr>
              <w:t xml:space="preserve">      62,471,814 </w:t>
            </w:r>
          </w:p>
        </w:tc>
      </w:tr>
      <w:tr w:rsidR="00D20199" w:rsidRPr="00D20199" w14:paraId="5A93C874" w14:textId="77777777" w:rsidTr="00D20199">
        <w:trPr>
          <w:trHeight w:val="150"/>
        </w:trPr>
        <w:tc>
          <w:tcPr>
            <w:tcW w:w="2113" w:type="dxa"/>
            <w:tcBorders>
              <w:top w:val="nil"/>
              <w:left w:val="nil"/>
              <w:bottom w:val="nil"/>
              <w:right w:val="nil"/>
            </w:tcBorders>
            <w:shd w:val="clear" w:color="auto" w:fill="auto"/>
            <w:vAlign w:val="center"/>
            <w:hideMark/>
          </w:tcPr>
          <w:p w14:paraId="1F166585" w14:textId="77777777" w:rsidR="00D20199" w:rsidRPr="00D20199" w:rsidRDefault="00D20199" w:rsidP="00D20199">
            <w:pPr>
              <w:widowControl/>
              <w:rPr>
                <w:rFonts w:ascii="Times New Roman" w:eastAsia="Times New Roman" w:hAnsi="Times New Roman" w:cs="Times New Roman"/>
                <w:color w:val="000000"/>
                <w:lang w:eastAsia="es-HN"/>
              </w:rPr>
            </w:pPr>
          </w:p>
        </w:tc>
        <w:tc>
          <w:tcPr>
            <w:tcW w:w="344" w:type="dxa"/>
            <w:tcBorders>
              <w:top w:val="nil"/>
              <w:left w:val="nil"/>
              <w:bottom w:val="nil"/>
              <w:right w:val="nil"/>
            </w:tcBorders>
            <w:shd w:val="clear" w:color="auto" w:fill="auto"/>
            <w:noWrap/>
            <w:vAlign w:val="bottom"/>
            <w:hideMark/>
          </w:tcPr>
          <w:p w14:paraId="39416F1E" w14:textId="77777777" w:rsidR="00D20199" w:rsidRPr="00D20199" w:rsidRDefault="00D20199" w:rsidP="00D20199">
            <w:pPr>
              <w:widowControl/>
              <w:rPr>
                <w:rFonts w:ascii="Times New Roman" w:eastAsia="Times New Roman" w:hAnsi="Times New Roman" w:cs="Times New Roman"/>
                <w:sz w:val="20"/>
                <w:szCs w:val="20"/>
                <w:lang w:eastAsia="es-HN"/>
              </w:rPr>
            </w:pPr>
          </w:p>
        </w:tc>
        <w:tc>
          <w:tcPr>
            <w:tcW w:w="1483" w:type="dxa"/>
            <w:tcBorders>
              <w:top w:val="nil"/>
              <w:left w:val="nil"/>
              <w:bottom w:val="nil"/>
              <w:right w:val="nil"/>
            </w:tcBorders>
            <w:shd w:val="clear" w:color="auto" w:fill="auto"/>
            <w:noWrap/>
            <w:vAlign w:val="bottom"/>
            <w:hideMark/>
          </w:tcPr>
          <w:p w14:paraId="1E509689" w14:textId="77777777" w:rsidR="00D20199" w:rsidRPr="00D20199" w:rsidRDefault="00D20199" w:rsidP="004F563A">
            <w:pPr>
              <w:widowControl/>
              <w:jc w:val="center"/>
              <w:rPr>
                <w:rFonts w:ascii="Times New Roman" w:eastAsia="Times New Roman" w:hAnsi="Times New Roman" w:cs="Times New Roman"/>
                <w:sz w:val="20"/>
                <w:szCs w:val="20"/>
                <w:lang w:eastAsia="es-HN"/>
              </w:rPr>
            </w:pPr>
          </w:p>
        </w:tc>
        <w:tc>
          <w:tcPr>
            <w:tcW w:w="1483" w:type="dxa"/>
            <w:tcBorders>
              <w:top w:val="nil"/>
              <w:left w:val="nil"/>
              <w:bottom w:val="nil"/>
              <w:right w:val="nil"/>
            </w:tcBorders>
            <w:shd w:val="clear" w:color="auto" w:fill="auto"/>
            <w:noWrap/>
            <w:vAlign w:val="bottom"/>
            <w:hideMark/>
          </w:tcPr>
          <w:p w14:paraId="14ABC7EF" w14:textId="77777777" w:rsidR="00D20199" w:rsidRPr="00D20199" w:rsidRDefault="00D20199" w:rsidP="004F563A">
            <w:pPr>
              <w:widowControl/>
              <w:jc w:val="center"/>
              <w:rPr>
                <w:rFonts w:ascii="Times New Roman" w:eastAsia="Times New Roman" w:hAnsi="Times New Roman" w:cs="Times New Roman"/>
                <w:sz w:val="20"/>
                <w:szCs w:val="20"/>
                <w:lang w:eastAsia="es-HN"/>
              </w:rPr>
            </w:pPr>
          </w:p>
        </w:tc>
        <w:tc>
          <w:tcPr>
            <w:tcW w:w="1483" w:type="dxa"/>
            <w:tcBorders>
              <w:top w:val="nil"/>
              <w:left w:val="nil"/>
              <w:bottom w:val="nil"/>
              <w:right w:val="nil"/>
            </w:tcBorders>
            <w:shd w:val="clear" w:color="auto" w:fill="auto"/>
            <w:noWrap/>
            <w:vAlign w:val="bottom"/>
            <w:hideMark/>
          </w:tcPr>
          <w:p w14:paraId="1D21DE37" w14:textId="77777777" w:rsidR="00D20199" w:rsidRPr="00D20199" w:rsidRDefault="00D20199" w:rsidP="004F563A">
            <w:pPr>
              <w:widowControl/>
              <w:jc w:val="center"/>
              <w:rPr>
                <w:rFonts w:ascii="Times New Roman" w:eastAsia="Times New Roman" w:hAnsi="Times New Roman" w:cs="Times New Roman"/>
                <w:sz w:val="20"/>
                <w:szCs w:val="20"/>
                <w:lang w:eastAsia="es-HN"/>
              </w:rPr>
            </w:pPr>
          </w:p>
        </w:tc>
        <w:tc>
          <w:tcPr>
            <w:tcW w:w="1483" w:type="dxa"/>
            <w:tcBorders>
              <w:top w:val="nil"/>
              <w:left w:val="nil"/>
              <w:bottom w:val="nil"/>
              <w:right w:val="nil"/>
            </w:tcBorders>
            <w:shd w:val="clear" w:color="auto" w:fill="auto"/>
            <w:noWrap/>
            <w:vAlign w:val="bottom"/>
            <w:hideMark/>
          </w:tcPr>
          <w:p w14:paraId="375694E9" w14:textId="77777777" w:rsidR="00D20199" w:rsidRPr="00D20199" w:rsidRDefault="00D20199" w:rsidP="004F563A">
            <w:pPr>
              <w:widowControl/>
              <w:jc w:val="center"/>
              <w:rPr>
                <w:rFonts w:ascii="Times New Roman" w:eastAsia="Times New Roman" w:hAnsi="Times New Roman" w:cs="Times New Roman"/>
                <w:sz w:val="20"/>
                <w:szCs w:val="20"/>
                <w:lang w:eastAsia="es-HN"/>
              </w:rPr>
            </w:pPr>
          </w:p>
        </w:tc>
        <w:tc>
          <w:tcPr>
            <w:tcW w:w="1483" w:type="dxa"/>
            <w:tcBorders>
              <w:top w:val="nil"/>
              <w:left w:val="nil"/>
              <w:bottom w:val="nil"/>
              <w:right w:val="nil"/>
            </w:tcBorders>
            <w:shd w:val="clear" w:color="auto" w:fill="auto"/>
            <w:noWrap/>
            <w:vAlign w:val="bottom"/>
            <w:hideMark/>
          </w:tcPr>
          <w:p w14:paraId="0F9B7993" w14:textId="77777777" w:rsidR="00D20199" w:rsidRPr="00D20199" w:rsidRDefault="00D20199" w:rsidP="004F563A">
            <w:pPr>
              <w:widowControl/>
              <w:jc w:val="center"/>
              <w:rPr>
                <w:rFonts w:ascii="Times New Roman" w:eastAsia="Times New Roman" w:hAnsi="Times New Roman" w:cs="Times New Roman"/>
                <w:sz w:val="20"/>
                <w:szCs w:val="20"/>
                <w:lang w:eastAsia="es-HN"/>
              </w:rPr>
            </w:pPr>
          </w:p>
        </w:tc>
      </w:tr>
      <w:tr w:rsidR="00D20199" w:rsidRPr="00D20199" w14:paraId="66B125B5" w14:textId="77777777" w:rsidTr="00D20199">
        <w:trPr>
          <w:trHeight w:val="317"/>
        </w:trPr>
        <w:tc>
          <w:tcPr>
            <w:tcW w:w="2113" w:type="dxa"/>
            <w:tcBorders>
              <w:top w:val="nil"/>
              <w:left w:val="nil"/>
              <w:bottom w:val="nil"/>
              <w:right w:val="nil"/>
            </w:tcBorders>
            <w:shd w:val="clear" w:color="auto" w:fill="auto"/>
            <w:vAlign w:val="center"/>
            <w:hideMark/>
          </w:tcPr>
          <w:p w14:paraId="727DF1FD" w14:textId="77777777" w:rsidR="00D20199" w:rsidRPr="00D20199" w:rsidRDefault="00D20199" w:rsidP="00D20199">
            <w:pPr>
              <w:widowControl/>
              <w:jc w:val="center"/>
              <w:rPr>
                <w:rFonts w:ascii="Times New Roman" w:eastAsia="Times New Roman" w:hAnsi="Times New Roman" w:cs="Times New Roman"/>
                <w:b/>
                <w:bCs/>
                <w:color w:val="000000"/>
                <w:lang w:eastAsia="es-HN"/>
              </w:rPr>
            </w:pPr>
            <w:r w:rsidRPr="00D20199">
              <w:rPr>
                <w:rFonts w:ascii="Times New Roman" w:eastAsia="Times New Roman" w:hAnsi="Times New Roman" w:cs="Times New Roman"/>
                <w:b/>
                <w:bCs/>
                <w:color w:val="000000"/>
                <w:lang w:eastAsia="es-HN"/>
              </w:rPr>
              <w:t>(ROE)</w:t>
            </w:r>
          </w:p>
        </w:tc>
        <w:tc>
          <w:tcPr>
            <w:tcW w:w="344" w:type="dxa"/>
            <w:tcBorders>
              <w:top w:val="nil"/>
              <w:left w:val="nil"/>
              <w:bottom w:val="nil"/>
              <w:right w:val="nil"/>
            </w:tcBorders>
            <w:shd w:val="clear" w:color="auto" w:fill="auto"/>
            <w:noWrap/>
            <w:vAlign w:val="bottom"/>
            <w:hideMark/>
          </w:tcPr>
          <w:p w14:paraId="64B96DAB" w14:textId="77777777" w:rsidR="00D20199" w:rsidRPr="00D20199" w:rsidRDefault="00D20199" w:rsidP="00D20199">
            <w:pPr>
              <w:widowControl/>
              <w:jc w:val="center"/>
              <w:rPr>
                <w:rFonts w:ascii="Times New Roman" w:eastAsia="Times New Roman" w:hAnsi="Times New Roman" w:cs="Times New Roman"/>
                <w:b/>
                <w:bCs/>
                <w:color w:val="000000"/>
                <w:lang w:eastAsia="es-HN"/>
              </w:rPr>
            </w:pPr>
          </w:p>
        </w:tc>
        <w:tc>
          <w:tcPr>
            <w:tcW w:w="1483" w:type="dxa"/>
            <w:tcBorders>
              <w:top w:val="nil"/>
              <w:left w:val="nil"/>
              <w:bottom w:val="nil"/>
              <w:right w:val="nil"/>
            </w:tcBorders>
            <w:shd w:val="clear" w:color="000000" w:fill="CAEDFB"/>
            <w:noWrap/>
            <w:vAlign w:val="bottom"/>
            <w:hideMark/>
          </w:tcPr>
          <w:p w14:paraId="38B13594" w14:textId="55BF95FB" w:rsidR="00D20199" w:rsidRPr="00D20199" w:rsidRDefault="00D20199" w:rsidP="004F563A">
            <w:pPr>
              <w:widowControl/>
              <w:jc w:val="center"/>
              <w:rPr>
                <w:rFonts w:ascii="Times New Roman" w:eastAsia="Times New Roman" w:hAnsi="Times New Roman" w:cs="Times New Roman"/>
                <w:b/>
                <w:bCs/>
                <w:color w:val="FF0000"/>
                <w:lang w:eastAsia="es-HN"/>
              </w:rPr>
            </w:pPr>
            <w:r w:rsidRPr="00D20199">
              <w:rPr>
                <w:rFonts w:ascii="Times New Roman" w:eastAsia="Times New Roman" w:hAnsi="Times New Roman" w:cs="Times New Roman"/>
                <w:b/>
                <w:bCs/>
                <w:color w:val="FF0000"/>
                <w:lang w:eastAsia="es-HN"/>
              </w:rPr>
              <w:t>-             14.1</w:t>
            </w:r>
          </w:p>
        </w:tc>
        <w:tc>
          <w:tcPr>
            <w:tcW w:w="1483" w:type="dxa"/>
            <w:tcBorders>
              <w:top w:val="nil"/>
              <w:left w:val="nil"/>
              <w:bottom w:val="nil"/>
              <w:right w:val="nil"/>
            </w:tcBorders>
            <w:shd w:val="clear" w:color="000000" w:fill="CAEDFB"/>
            <w:noWrap/>
            <w:vAlign w:val="bottom"/>
            <w:hideMark/>
          </w:tcPr>
          <w:p w14:paraId="01613D4B" w14:textId="31E992A1" w:rsidR="00D20199" w:rsidRPr="00D20199" w:rsidRDefault="00D20199" w:rsidP="004F563A">
            <w:pPr>
              <w:widowControl/>
              <w:jc w:val="center"/>
              <w:rPr>
                <w:rFonts w:ascii="Times New Roman" w:eastAsia="Times New Roman" w:hAnsi="Times New Roman" w:cs="Times New Roman"/>
                <w:b/>
                <w:bCs/>
                <w:color w:val="FF0000"/>
                <w:lang w:eastAsia="es-HN"/>
              </w:rPr>
            </w:pPr>
            <w:r w:rsidRPr="00D20199">
              <w:rPr>
                <w:rFonts w:ascii="Times New Roman" w:eastAsia="Times New Roman" w:hAnsi="Times New Roman" w:cs="Times New Roman"/>
                <w:b/>
                <w:bCs/>
                <w:color w:val="FF0000"/>
                <w:lang w:eastAsia="es-HN"/>
              </w:rPr>
              <w:t>-           164.6</w:t>
            </w:r>
          </w:p>
        </w:tc>
        <w:tc>
          <w:tcPr>
            <w:tcW w:w="1483" w:type="dxa"/>
            <w:tcBorders>
              <w:top w:val="nil"/>
              <w:left w:val="nil"/>
              <w:bottom w:val="nil"/>
              <w:right w:val="nil"/>
            </w:tcBorders>
            <w:shd w:val="clear" w:color="000000" w:fill="CAEDFB"/>
            <w:noWrap/>
            <w:vAlign w:val="bottom"/>
            <w:hideMark/>
          </w:tcPr>
          <w:p w14:paraId="0A792783" w14:textId="68AAF929" w:rsidR="00D20199" w:rsidRPr="00D20199" w:rsidRDefault="00D20199" w:rsidP="004F563A">
            <w:pPr>
              <w:widowControl/>
              <w:jc w:val="center"/>
              <w:rPr>
                <w:rFonts w:ascii="Times New Roman" w:eastAsia="Times New Roman" w:hAnsi="Times New Roman" w:cs="Times New Roman"/>
                <w:b/>
                <w:bCs/>
                <w:color w:val="FF0000"/>
                <w:lang w:eastAsia="es-HN"/>
              </w:rPr>
            </w:pPr>
            <w:r w:rsidRPr="00D20199">
              <w:rPr>
                <w:rFonts w:ascii="Times New Roman" w:eastAsia="Times New Roman" w:hAnsi="Times New Roman" w:cs="Times New Roman"/>
                <w:b/>
                <w:bCs/>
                <w:color w:val="FF0000"/>
                <w:lang w:eastAsia="es-HN"/>
              </w:rPr>
              <w:t>-           316.5</w:t>
            </w:r>
          </w:p>
        </w:tc>
        <w:tc>
          <w:tcPr>
            <w:tcW w:w="1483" w:type="dxa"/>
            <w:tcBorders>
              <w:top w:val="nil"/>
              <w:left w:val="nil"/>
              <w:bottom w:val="nil"/>
              <w:right w:val="nil"/>
            </w:tcBorders>
            <w:shd w:val="clear" w:color="000000" w:fill="CAEDFB"/>
            <w:noWrap/>
            <w:vAlign w:val="bottom"/>
            <w:hideMark/>
          </w:tcPr>
          <w:p w14:paraId="64ED8815" w14:textId="02258F76" w:rsidR="00D20199" w:rsidRPr="00D20199" w:rsidRDefault="00D20199" w:rsidP="004F563A">
            <w:pPr>
              <w:widowControl/>
              <w:jc w:val="center"/>
              <w:rPr>
                <w:rFonts w:ascii="Times New Roman" w:eastAsia="Times New Roman" w:hAnsi="Times New Roman" w:cs="Times New Roman"/>
                <w:b/>
                <w:bCs/>
                <w:color w:val="FF0000"/>
                <w:lang w:eastAsia="es-HN"/>
              </w:rPr>
            </w:pPr>
            <w:r w:rsidRPr="00D20199">
              <w:rPr>
                <w:rFonts w:ascii="Times New Roman" w:eastAsia="Times New Roman" w:hAnsi="Times New Roman" w:cs="Times New Roman"/>
                <w:b/>
                <w:bCs/>
                <w:color w:val="FF0000"/>
                <w:lang w:eastAsia="es-HN"/>
              </w:rPr>
              <w:t>-             48.9</w:t>
            </w:r>
          </w:p>
        </w:tc>
        <w:tc>
          <w:tcPr>
            <w:tcW w:w="1483" w:type="dxa"/>
            <w:tcBorders>
              <w:top w:val="nil"/>
              <w:left w:val="nil"/>
              <w:bottom w:val="nil"/>
              <w:right w:val="nil"/>
            </w:tcBorders>
            <w:shd w:val="clear" w:color="000000" w:fill="CAEDFB"/>
            <w:noWrap/>
            <w:vAlign w:val="bottom"/>
            <w:hideMark/>
          </w:tcPr>
          <w:p w14:paraId="078A7B84" w14:textId="75FD551D" w:rsidR="00D20199" w:rsidRPr="00D20199" w:rsidRDefault="00D20199" w:rsidP="004F563A">
            <w:pPr>
              <w:widowControl/>
              <w:jc w:val="center"/>
              <w:rPr>
                <w:rFonts w:ascii="Times New Roman" w:eastAsia="Times New Roman" w:hAnsi="Times New Roman" w:cs="Times New Roman"/>
                <w:b/>
                <w:bCs/>
                <w:color w:val="FF0000"/>
                <w:lang w:eastAsia="es-HN"/>
              </w:rPr>
            </w:pPr>
            <w:r w:rsidRPr="00D20199">
              <w:rPr>
                <w:rFonts w:ascii="Times New Roman" w:eastAsia="Times New Roman" w:hAnsi="Times New Roman" w:cs="Times New Roman"/>
                <w:b/>
                <w:bCs/>
                <w:color w:val="FF0000"/>
                <w:lang w:eastAsia="es-HN"/>
              </w:rPr>
              <w:t>-             21.8</w:t>
            </w:r>
          </w:p>
        </w:tc>
      </w:tr>
    </w:tbl>
    <w:p w14:paraId="7303040F" w14:textId="4F8D3489" w:rsidR="00BA4F50" w:rsidRDefault="00BA4F50" w:rsidP="003E2058">
      <w:pPr>
        <w:pStyle w:val="Fuentes"/>
        <w:spacing w:before="240"/>
        <w:rPr>
          <w:sz w:val="24"/>
          <w:szCs w:val="24"/>
          <w:lang w:val="es-HN"/>
        </w:rPr>
      </w:pPr>
      <w:r w:rsidRPr="0081027F">
        <w:rPr>
          <w:sz w:val="24"/>
          <w:szCs w:val="24"/>
          <w:lang w:val="es-HN"/>
        </w:rPr>
        <w:t xml:space="preserve">Fuente: Elaboración propia con datos de microfinanciera </w:t>
      </w:r>
      <w:r w:rsidR="00E5074B">
        <w:rPr>
          <w:sz w:val="24"/>
          <w:szCs w:val="24"/>
          <w:lang w:val="es-HN"/>
        </w:rPr>
        <w:t>“XYZ”</w:t>
      </w:r>
      <w:r>
        <w:rPr>
          <w:sz w:val="24"/>
          <w:szCs w:val="24"/>
          <w:lang w:val="es-HN"/>
        </w:rPr>
        <w:t>.</w:t>
      </w:r>
      <w:r w:rsidRPr="0081027F">
        <w:rPr>
          <w:sz w:val="24"/>
          <w:szCs w:val="24"/>
          <w:lang w:val="es-HN"/>
        </w:rPr>
        <w:t xml:space="preserve"> </w:t>
      </w:r>
    </w:p>
    <w:p w14:paraId="0D734327" w14:textId="46572714" w:rsidR="000F77D2" w:rsidRPr="006A68C7" w:rsidRDefault="004F563A" w:rsidP="004F563A">
      <w:pPr>
        <w:pStyle w:val="Fuentes"/>
        <w:spacing w:before="240"/>
      </w:pPr>
      <w:r>
        <w:rPr>
          <w:sz w:val="24"/>
          <w:szCs w:val="24"/>
          <w:lang w:val="es-HN"/>
        </w:rPr>
        <w:t>E</w:t>
      </w:r>
      <w:r w:rsidR="00101CE4">
        <w:rPr>
          <w:sz w:val="24"/>
          <w:szCs w:val="24"/>
          <w:lang w:val="es-HN"/>
        </w:rPr>
        <w:t xml:space="preserve">ste indicador </w:t>
      </w:r>
      <w:r>
        <w:rPr>
          <w:sz w:val="24"/>
          <w:szCs w:val="24"/>
          <w:lang w:val="es-HN"/>
        </w:rPr>
        <w:t xml:space="preserve">evidencia las </w:t>
      </w:r>
      <w:r w:rsidR="00101CE4">
        <w:rPr>
          <w:sz w:val="24"/>
          <w:szCs w:val="24"/>
          <w:lang w:val="es-HN"/>
        </w:rPr>
        <w:t>pérdidas</w:t>
      </w:r>
      <w:r>
        <w:rPr>
          <w:sz w:val="24"/>
          <w:szCs w:val="24"/>
          <w:lang w:val="es-HN"/>
        </w:rPr>
        <w:t xml:space="preserve"> que la empresa ha venido enfrentando en los últimos cinco años, mostrándose un ROE negativo y la disminución en el patrimonio puesto </w:t>
      </w:r>
      <w:r w:rsidRPr="006A68C7">
        <w:rPr>
          <w:sz w:val="24"/>
          <w:szCs w:val="24"/>
          <w:lang w:val="es-HN"/>
        </w:rPr>
        <w:t xml:space="preserve">que la IMF no está generando </w:t>
      </w:r>
      <w:r w:rsidR="00101CE4">
        <w:rPr>
          <w:sz w:val="24"/>
          <w:szCs w:val="24"/>
          <w:lang w:val="es-HN"/>
        </w:rPr>
        <w:t xml:space="preserve">ningún tipo de </w:t>
      </w:r>
      <w:r w:rsidRPr="006A68C7">
        <w:rPr>
          <w:sz w:val="24"/>
          <w:szCs w:val="24"/>
          <w:lang w:val="es-HN"/>
        </w:rPr>
        <w:t>beneficios</w:t>
      </w:r>
      <w:r w:rsidR="00101CE4">
        <w:rPr>
          <w:sz w:val="24"/>
          <w:szCs w:val="24"/>
          <w:lang w:val="es-HN"/>
        </w:rPr>
        <w:t xml:space="preserve"> con relación al capital invertido.</w:t>
      </w:r>
    </w:p>
    <w:p w14:paraId="0C419025" w14:textId="1EA775C1" w:rsidR="00D20199" w:rsidRDefault="007A2103" w:rsidP="004F563A">
      <w:pPr>
        <w:pStyle w:val="TextoPrincipal"/>
        <w:spacing w:line="360" w:lineRule="auto"/>
        <w:ind w:firstLine="0"/>
        <w:jc w:val="center"/>
      </w:pPr>
      <w:r>
        <w:rPr>
          <w:noProof/>
        </w:rPr>
        <w:lastRenderedPageBreak/>
        <w:drawing>
          <wp:inline distT="0" distB="0" distL="0" distR="0" wp14:anchorId="195D2C48" wp14:editId="0D74585E">
            <wp:extent cx="4469130" cy="2971800"/>
            <wp:effectExtent l="0" t="0" r="7620" b="0"/>
            <wp:docPr id="325434148" name="Gráfico 1">
              <a:extLst xmlns:a="http://schemas.openxmlformats.org/drawingml/2006/main">
                <a:ext uri="{FF2B5EF4-FFF2-40B4-BE49-F238E27FC236}">
                  <a16:creationId xmlns:a16="http://schemas.microsoft.com/office/drawing/2014/main" id="{6A3CE16A-2D07-1DB9-F9B9-659664F36D76}"/>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14:paraId="52B333A7" w14:textId="77777777" w:rsidR="001A4EDE" w:rsidRDefault="005271E2" w:rsidP="0037253C">
      <w:pPr>
        <w:pStyle w:val="TextoPrincipal"/>
        <w:spacing w:before="240" w:line="240" w:lineRule="auto"/>
        <w:jc w:val="left"/>
      </w:pPr>
      <w:r w:rsidRPr="00E1470D">
        <w:t xml:space="preserve">Figura </w:t>
      </w:r>
      <w:r>
        <w:t>5</w:t>
      </w:r>
      <w:r w:rsidRPr="00E1470D">
        <w:t xml:space="preserve">. Rentabilidad sobre </w:t>
      </w:r>
      <w:r w:rsidR="009968F1">
        <w:t>el patrimonio</w:t>
      </w:r>
      <w:r w:rsidRPr="00E1470D">
        <w:t xml:space="preserve"> (RO</w:t>
      </w:r>
      <w:r w:rsidR="009968F1">
        <w:t>E</w:t>
      </w:r>
      <w:r w:rsidRPr="00E1470D">
        <w:t>)</w:t>
      </w:r>
      <w:r>
        <w:t>.</w:t>
      </w:r>
    </w:p>
    <w:p w14:paraId="6902C209" w14:textId="09948D41" w:rsidR="005271E2" w:rsidRDefault="001A4EDE" w:rsidP="0037253C">
      <w:pPr>
        <w:pStyle w:val="TextoPrincipal"/>
        <w:spacing w:before="240" w:line="240" w:lineRule="auto"/>
        <w:jc w:val="left"/>
      </w:pPr>
      <w:r>
        <w:t xml:space="preserve">Fuente: </w:t>
      </w:r>
      <w:r w:rsidR="005271E2" w:rsidRPr="00E1470D">
        <w:t xml:space="preserve">Elaboración propia con datos de microfinanciera </w:t>
      </w:r>
      <w:r w:rsidR="00E5074B">
        <w:t>“XYZ”</w:t>
      </w:r>
      <w:r w:rsidR="005271E2" w:rsidRPr="00E1470D">
        <w:t xml:space="preserve">. </w:t>
      </w:r>
    </w:p>
    <w:p w14:paraId="1AFD51A6" w14:textId="0BBF12C4" w:rsidR="004F563A" w:rsidRDefault="004F563A" w:rsidP="009968F1">
      <w:pPr>
        <w:pStyle w:val="TextoPrincipal"/>
        <w:spacing w:before="240" w:line="360" w:lineRule="auto"/>
      </w:pPr>
      <w:r w:rsidRPr="006A68C7">
        <w:t>Según se muestra en la figura 5, en el año 2021</w:t>
      </w:r>
      <w:r w:rsidR="00B655AB" w:rsidRPr="006A68C7">
        <w:rPr>
          <w:color w:val="0D0D0D"/>
          <w:shd w:val="clear" w:color="auto" w:fill="FFFFFF"/>
        </w:rPr>
        <w:t xml:space="preserve">, el </w:t>
      </w:r>
      <w:r w:rsidR="00B655AB" w:rsidRPr="006A68C7">
        <w:t>ROE de -316.5% indica que las pérdidas netas son más de tres veces el valor del patrimonio neto y tal nivel de pérdidas está destruyendo masivamente el valor del capital de los accionistas. Sin embargo,</w:t>
      </w:r>
      <w:r w:rsidR="00B655AB" w:rsidRPr="006A68C7">
        <w:rPr>
          <w:color w:val="0D0D0D"/>
          <w:shd w:val="clear" w:color="auto" w:fill="FFFFFF"/>
        </w:rPr>
        <w:t xml:space="preserve"> estas </w:t>
      </w:r>
      <w:r w:rsidR="00B655AB" w:rsidRPr="006A68C7">
        <w:t>pérdidas también están influenciadas por los factores externos significativos, como las tormentas tropicales ETA e IOTA, así como la crisis sanitaria a nivel mundial por COVID-19, entre otros eventos imprevistos. De acuerdo con los expertos un ROE tan negativo generalmente apunta a problemas internos profundos que requieren atención urgente, ya que se pone en riesgo la viabilidad a largo plazo de la empresa</w:t>
      </w:r>
      <w:r w:rsidR="006A68C7" w:rsidRPr="006A68C7">
        <w:t xml:space="preserve"> y es</w:t>
      </w:r>
      <w:r w:rsidR="00B655AB" w:rsidRPr="006A68C7">
        <w:t xml:space="preserve"> probable que los inversores pierdan confianza,</w:t>
      </w:r>
      <w:r w:rsidR="006A68C7" w:rsidRPr="006A68C7">
        <w:t xml:space="preserve"> además,</w:t>
      </w:r>
      <w:r w:rsidR="00B655AB" w:rsidRPr="006A68C7">
        <w:t xml:space="preserve"> la empresa podría enfrentar dificultades para obtener financiamiento adicional o para cumplir con sus obligaciones financieras.</w:t>
      </w:r>
    </w:p>
    <w:p w14:paraId="6BDC775F" w14:textId="1DAE7990" w:rsidR="009968F1" w:rsidRDefault="00B149BE" w:rsidP="001A4EDE">
      <w:pPr>
        <w:pStyle w:val="TextoPrincipal"/>
        <w:spacing w:after="0" w:line="360" w:lineRule="auto"/>
      </w:pPr>
      <w:r w:rsidRPr="00B149BE">
        <w:t xml:space="preserve">Para el año 2022, la IMF muestra una mejora significativa en su ROE, alcanzando un -48.9%, mucho mejor que el resultado de 2021. Esta mejora se debe a las estrategias implementadas, que lograron reducir las pérdidas del período y un nuevo aporte al patrimonio por parte de los socios. En 2023, la IMF continuó reduciendo sus pérdidas netas, logrando </w:t>
      </w:r>
      <w:r w:rsidR="005C3F0A">
        <w:t xml:space="preserve">alcanzar </w:t>
      </w:r>
      <w:r w:rsidRPr="00B149BE">
        <w:t>un indicador de -21.8%</w:t>
      </w:r>
      <w:r w:rsidR="005C3F0A">
        <w:t xml:space="preserve">, a pesar de haber mejorado en comparación a los años anteriores </w:t>
      </w:r>
      <w:r w:rsidR="002A7CE2">
        <w:t>estas no se han podido evitar</w:t>
      </w:r>
      <w:r w:rsidR="005C3F0A">
        <w:t>.</w:t>
      </w:r>
    </w:p>
    <w:p w14:paraId="71BA2035" w14:textId="77777777" w:rsidR="001A4EDE" w:rsidRDefault="001A4EDE" w:rsidP="001A4EDE">
      <w:pPr>
        <w:pStyle w:val="TextoPrincipal"/>
        <w:spacing w:after="0" w:line="360" w:lineRule="auto"/>
      </w:pPr>
    </w:p>
    <w:p w14:paraId="430CCAD7" w14:textId="0CBD932C" w:rsidR="000F77D2" w:rsidRPr="00B77490" w:rsidRDefault="000F77D2" w:rsidP="00195CA2">
      <w:pPr>
        <w:pStyle w:val="Ttulo5"/>
        <w:spacing w:line="360" w:lineRule="auto"/>
        <w:ind w:firstLine="1440"/>
        <w:rPr>
          <w:rFonts w:ascii="Times New Roman" w:hAnsi="Times New Roman" w:cs="Times New Roman"/>
          <w:b/>
          <w:bCs/>
          <w:color w:val="000000" w:themeColor="text1"/>
          <w:sz w:val="24"/>
          <w:szCs w:val="24"/>
        </w:rPr>
      </w:pPr>
      <w:bookmarkStart w:id="279" w:name="_Toc175171431"/>
      <w:r w:rsidRPr="00B77490">
        <w:rPr>
          <w:rFonts w:ascii="Times New Roman" w:hAnsi="Times New Roman" w:cs="Times New Roman"/>
          <w:b/>
          <w:bCs/>
          <w:color w:val="000000" w:themeColor="text1"/>
          <w:sz w:val="24"/>
          <w:szCs w:val="24"/>
        </w:rPr>
        <w:lastRenderedPageBreak/>
        <w:t>4.2.1.1.3. MARGEN DE UTILIDAD</w:t>
      </w:r>
      <w:bookmarkEnd w:id="279"/>
    </w:p>
    <w:p w14:paraId="4BBA100F" w14:textId="605DFB97" w:rsidR="000F77D2" w:rsidRDefault="000F77D2" w:rsidP="00195CA2">
      <w:pPr>
        <w:pStyle w:val="TextoPrincipal"/>
        <w:spacing w:line="360" w:lineRule="auto"/>
      </w:pPr>
      <w:r w:rsidRPr="000F77D2">
        <w:t>El margen de utilidad, también conocido como margen de beneficio o margen de ganancia, es un indicador financiero mide el porcentaje de utilidad que se obtiene con cada ingreso financiero y la eficiencia de la empresa para convertir sus ingresos en utilidades netas. Este indicador permite evaluar la rentabilidad de la empresa y su capacidad para generar ganancias a partir de sus ingresos financieros, además, proporciona información sobre la eficiencia operativa y la salud financiera de la empresa.  Un margen de utilidad alto indica que la empresa está generando una cantidad significativa de ganancias en relación con sus ingresos, mientras que un margen bajo puede señalar problemas de rentabilidad y eficiencia que deben ser abordados.</w:t>
      </w:r>
    </w:p>
    <w:p w14:paraId="371A8678" w14:textId="77777777" w:rsidR="00A90B85" w:rsidRDefault="00A90B85" w:rsidP="00A90B85">
      <w:pPr>
        <w:pStyle w:val="TextoPrincipal"/>
        <w:spacing w:line="360" w:lineRule="auto"/>
      </w:pPr>
      <w:r>
        <w:t>Para determinar el margen de utilidad de la IMF, fue necesario aplicar la fórmula:</w:t>
      </w:r>
    </w:p>
    <w:p w14:paraId="346EDCB6" w14:textId="1C161420" w:rsidR="00272B2F" w:rsidRDefault="00A90B85" w:rsidP="00272B2F">
      <w:pPr>
        <w:pStyle w:val="TextoPrincipal"/>
        <w:spacing w:line="360" w:lineRule="auto"/>
        <w:rPr>
          <w:b/>
          <w:bCs/>
          <w:i/>
          <w:iCs/>
        </w:rPr>
      </w:pPr>
      <w:r w:rsidRPr="00BA4F50">
        <w:rPr>
          <w:b/>
          <w:bCs/>
          <w:i/>
          <w:iCs/>
        </w:rPr>
        <w:t>Margen de Utilidad = Utilidad Neta / Ingresos Financieros * 100</w:t>
      </w:r>
    </w:p>
    <w:p w14:paraId="771C71E0" w14:textId="3E8E9455" w:rsidR="00B149BE" w:rsidRDefault="00B149BE" w:rsidP="0037253C">
      <w:pPr>
        <w:spacing w:line="360" w:lineRule="auto"/>
        <w:ind w:firstLine="720"/>
        <w:jc w:val="both"/>
        <w:rPr>
          <w:rFonts w:ascii="Times New Roman" w:hAnsi="Times New Roman" w:cs="Times New Roman"/>
          <w:sz w:val="24"/>
          <w:szCs w:val="24"/>
        </w:rPr>
      </w:pPr>
      <w:r w:rsidRPr="00B149BE">
        <w:rPr>
          <w:rFonts w:ascii="Times New Roman" w:hAnsi="Times New Roman" w:cs="Times New Roman"/>
          <w:sz w:val="24"/>
          <w:szCs w:val="24"/>
        </w:rPr>
        <w:t xml:space="preserve">Tabla </w:t>
      </w:r>
      <w:r>
        <w:rPr>
          <w:rFonts w:ascii="Times New Roman" w:hAnsi="Times New Roman" w:cs="Times New Roman"/>
          <w:sz w:val="24"/>
          <w:szCs w:val="24"/>
        </w:rPr>
        <w:t>6</w:t>
      </w:r>
      <w:r w:rsidRPr="00B149BE">
        <w:rPr>
          <w:rFonts w:ascii="Times New Roman" w:hAnsi="Times New Roman" w:cs="Times New Roman"/>
          <w:sz w:val="24"/>
          <w:szCs w:val="24"/>
        </w:rPr>
        <w:t xml:space="preserve">. </w:t>
      </w:r>
      <w:r>
        <w:rPr>
          <w:rFonts w:ascii="Times New Roman" w:hAnsi="Times New Roman" w:cs="Times New Roman"/>
          <w:sz w:val="24"/>
          <w:szCs w:val="24"/>
        </w:rPr>
        <w:t>Margen de Utilidad</w:t>
      </w:r>
      <w:r w:rsidRPr="00B149BE">
        <w:rPr>
          <w:rFonts w:ascii="Times New Roman" w:hAnsi="Times New Roman" w:cs="Times New Roman"/>
          <w:sz w:val="24"/>
          <w:szCs w:val="24"/>
        </w:rPr>
        <w:t xml:space="preserve"> </w:t>
      </w:r>
      <w:r w:rsidR="00B838D6">
        <w:rPr>
          <w:rFonts w:ascii="Times New Roman" w:hAnsi="Times New Roman" w:cs="Times New Roman"/>
          <w:sz w:val="24"/>
          <w:szCs w:val="24"/>
        </w:rPr>
        <w:t xml:space="preserve">de </w:t>
      </w:r>
      <w:r w:rsidRPr="00B149BE">
        <w:rPr>
          <w:rFonts w:ascii="Times New Roman" w:hAnsi="Times New Roman" w:cs="Times New Roman"/>
          <w:sz w:val="24"/>
          <w:szCs w:val="24"/>
        </w:rPr>
        <w:t xml:space="preserve">microfinanciera </w:t>
      </w:r>
      <w:r w:rsidR="00E5074B">
        <w:rPr>
          <w:rFonts w:ascii="Times New Roman" w:hAnsi="Times New Roman" w:cs="Times New Roman"/>
          <w:sz w:val="24"/>
          <w:szCs w:val="24"/>
        </w:rPr>
        <w:t>“XYZ”</w:t>
      </w:r>
      <w:r w:rsidRPr="00B149BE">
        <w:rPr>
          <w:rFonts w:ascii="Times New Roman" w:hAnsi="Times New Roman" w:cs="Times New Roman"/>
          <w:sz w:val="24"/>
          <w:szCs w:val="24"/>
        </w:rPr>
        <w:t xml:space="preserve"> periodo 2019-2023.</w:t>
      </w:r>
    </w:p>
    <w:tbl>
      <w:tblPr>
        <w:tblW w:w="10078" w:type="dxa"/>
        <w:tblInd w:w="-248" w:type="dxa"/>
        <w:tblCellMar>
          <w:left w:w="70" w:type="dxa"/>
          <w:right w:w="70" w:type="dxa"/>
        </w:tblCellMar>
        <w:tblLook w:val="04A0" w:firstRow="1" w:lastRow="0" w:firstColumn="1" w:lastColumn="0" w:noHBand="0" w:noVBand="1"/>
      </w:tblPr>
      <w:tblGrid>
        <w:gridCol w:w="2159"/>
        <w:gridCol w:w="349"/>
        <w:gridCol w:w="1514"/>
        <w:gridCol w:w="1514"/>
        <w:gridCol w:w="1514"/>
        <w:gridCol w:w="1514"/>
        <w:gridCol w:w="1514"/>
      </w:tblGrid>
      <w:tr w:rsidR="00D20199" w:rsidRPr="00D20199" w14:paraId="4AA4A298" w14:textId="77777777" w:rsidTr="00B149BE">
        <w:trPr>
          <w:trHeight w:val="345"/>
        </w:trPr>
        <w:tc>
          <w:tcPr>
            <w:tcW w:w="2159" w:type="dxa"/>
            <w:tcBorders>
              <w:top w:val="nil"/>
              <w:left w:val="nil"/>
              <w:bottom w:val="nil"/>
              <w:right w:val="nil"/>
            </w:tcBorders>
            <w:shd w:val="clear" w:color="auto" w:fill="auto"/>
            <w:vAlign w:val="bottom"/>
            <w:hideMark/>
          </w:tcPr>
          <w:p w14:paraId="69F34123" w14:textId="77777777" w:rsidR="00D20199" w:rsidRPr="00D20199" w:rsidRDefault="00D20199" w:rsidP="00B149BE">
            <w:pPr>
              <w:widowControl/>
              <w:jc w:val="center"/>
              <w:rPr>
                <w:rFonts w:ascii="Times New Roman" w:eastAsia="Times New Roman" w:hAnsi="Times New Roman" w:cs="Times New Roman"/>
                <w:sz w:val="24"/>
                <w:szCs w:val="24"/>
                <w:lang w:eastAsia="es-HN"/>
              </w:rPr>
            </w:pPr>
          </w:p>
        </w:tc>
        <w:tc>
          <w:tcPr>
            <w:tcW w:w="349" w:type="dxa"/>
            <w:tcBorders>
              <w:top w:val="nil"/>
              <w:left w:val="nil"/>
              <w:bottom w:val="nil"/>
              <w:right w:val="nil"/>
            </w:tcBorders>
            <w:shd w:val="clear" w:color="auto" w:fill="auto"/>
            <w:noWrap/>
            <w:vAlign w:val="bottom"/>
            <w:hideMark/>
          </w:tcPr>
          <w:p w14:paraId="3416D45A" w14:textId="77777777" w:rsidR="00D20199" w:rsidRPr="00D20199" w:rsidRDefault="00D20199" w:rsidP="00D20199">
            <w:pPr>
              <w:widowControl/>
              <w:rPr>
                <w:rFonts w:ascii="Times New Roman" w:eastAsia="Times New Roman" w:hAnsi="Times New Roman" w:cs="Times New Roman"/>
                <w:sz w:val="20"/>
                <w:szCs w:val="20"/>
                <w:lang w:eastAsia="es-HN"/>
              </w:rPr>
            </w:pPr>
          </w:p>
        </w:tc>
        <w:tc>
          <w:tcPr>
            <w:tcW w:w="1514" w:type="dxa"/>
            <w:tcBorders>
              <w:top w:val="nil"/>
              <w:left w:val="nil"/>
              <w:bottom w:val="nil"/>
              <w:right w:val="nil"/>
            </w:tcBorders>
            <w:shd w:val="clear" w:color="auto" w:fill="auto"/>
            <w:noWrap/>
            <w:vAlign w:val="bottom"/>
            <w:hideMark/>
          </w:tcPr>
          <w:p w14:paraId="6ADD451A" w14:textId="77777777" w:rsidR="00D20199" w:rsidRPr="00D20199" w:rsidRDefault="00D20199" w:rsidP="00D20199">
            <w:pPr>
              <w:widowControl/>
              <w:jc w:val="center"/>
              <w:rPr>
                <w:rFonts w:ascii="Times New Roman" w:eastAsia="Times New Roman" w:hAnsi="Times New Roman" w:cs="Times New Roman"/>
                <w:b/>
                <w:bCs/>
                <w:color w:val="000000"/>
                <w:lang w:eastAsia="es-HN"/>
              </w:rPr>
            </w:pPr>
            <w:r w:rsidRPr="00D20199">
              <w:rPr>
                <w:rFonts w:ascii="Times New Roman" w:eastAsia="Times New Roman" w:hAnsi="Times New Roman" w:cs="Times New Roman"/>
                <w:b/>
                <w:bCs/>
                <w:color w:val="000000"/>
                <w:lang w:eastAsia="es-HN"/>
              </w:rPr>
              <w:t>2019</w:t>
            </w:r>
          </w:p>
        </w:tc>
        <w:tc>
          <w:tcPr>
            <w:tcW w:w="1514" w:type="dxa"/>
            <w:tcBorders>
              <w:top w:val="nil"/>
              <w:left w:val="nil"/>
              <w:bottom w:val="nil"/>
              <w:right w:val="nil"/>
            </w:tcBorders>
            <w:shd w:val="clear" w:color="auto" w:fill="auto"/>
            <w:noWrap/>
            <w:vAlign w:val="bottom"/>
            <w:hideMark/>
          </w:tcPr>
          <w:p w14:paraId="45B0F06E" w14:textId="77777777" w:rsidR="00D20199" w:rsidRPr="00D20199" w:rsidRDefault="00D20199" w:rsidP="00D20199">
            <w:pPr>
              <w:widowControl/>
              <w:jc w:val="center"/>
              <w:rPr>
                <w:rFonts w:ascii="Times New Roman" w:eastAsia="Times New Roman" w:hAnsi="Times New Roman" w:cs="Times New Roman"/>
                <w:b/>
                <w:bCs/>
                <w:color w:val="000000"/>
                <w:lang w:eastAsia="es-HN"/>
              </w:rPr>
            </w:pPr>
            <w:r w:rsidRPr="00D20199">
              <w:rPr>
                <w:rFonts w:ascii="Times New Roman" w:eastAsia="Times New Roman" w:hAnsi="Times New Roman" w:cs="Times New Roman"/>
                <w:b/>
                <w:bCs/>
                <w:color w:val="000000"/>
                <w:lang w:eastAsia="es-HN"/>
              </w:rPr>
              <w:t>2020</w:t>
            </w:r>
          </w:p>
        </w:tc>
        <w:tc>
          <w:tcPr>
            <w:tcW w:w="1514" w:type="dxa"/>
            <w:tcBorders>
              <w:top w:val="nil"/>
              <w:left w:val="nil"/>
              <w:bottom w:val="nil"/>
              <w:right w:val="nil"/>
            </w:tcBorders>
            <w:shd w:val="clear" w:color="auto" w:fill="auto"/>
            <w:noWrap/>
            <w:vAlign w:val="bottom"/>
            <w:hideMark/>
          </w:tcPr>
          <w:p w14:paraId="30047AB6" w14:textId="77777777" w:rsidR="00D20199" w:rsidRPr="00D20199" w:rsidRDefault="00D20199" w:rsidP="00D20199">
            <w:pPr>
              <w:widowControl/>
              <w:jc w:val="center"/>
              <w:rPr>
                <w:rFonts w:ascii="Times New Roman" w:eastAsia="Times New Roman" w:hAnsi="Times New Roman" w:cs="Times New Roman"/>
                <w:b/>
                <w:bCs/>
                <w:color w:val="000000"/>
                <w:lang w:eastAsia="es-HN"/>
              </w:rPr>
            </w:pPr>
            <w:r w:rsidRPr="00D20199">
              <w:rPr>
                <w:rFonts w:ascii="Times New Roman" w:eastAsia="Times New Roman" w:hAnsi="Times New Roman" w:cs="Times New Roman"/>
                <w:b/>
                <w:bCs/>
                <w:color w:val="000000"/>
                <w:lang w:eastAsia="es-HN"/>
              </w:rPr>
              <w:t>2021</w:t>
            </w:r>
          </w:p>
        </w:tc>
        <w:tc>
          <w:tcPr>
            <w:tcW w:w="1514" w:type="dxa"/>
            <w:tcBorders>
              <w:top w:val="nil"/>
              <w:left w:val="nil"/>
              <w:bottom w:val="nil"/>
              <w:right w:val="nil"/>
            </w:tcBorders>
            <w:shd w:val="clear" w:color="auto" w:fill="auto"/>
            <w:noWrap/>
            <w:vAlign w:val="bottom"/>
            <w:hideMark/>
          </w:tcPr>
          <w:p w14:paraId="36E46E49" w14:textId="77777777" w:rsidR="00D20199" w:rsidRPr="00D20199" w:rsidRDefault="00D20199" w:rsidP="00D20199">
            <w:pPr>
              <w:widowControl/>
              <w:jc w:val="center"/>
              <w:rPr>
                <w:rFonts w:ascii="Times New Roman" w:eastAsia="Times New Roman" w:hAnsi="Times New Roman" w:cs="Times New Roman"/>
                <w:b/>
                <w:bCs/>
                <w:color w:val="000000"/>
                <w:lang w:eastAsia="es-HN"/>
              </w:rPr>
            </w:pPr>
            <w:r w:rsidRPr="00D20199">
              <w:rPr>
                <w:rFonts w:ascii="Times New Roman" w:eastAsia="Times New Roman" w:hAnsi="Times New Roman" w:cs="Times New Roman"/>
                <w:b/>
                <w:bCs/>
                <w:color w:val="000000"/>
                <w:lang w:eastAsia="es-HN"/>
              </w:rPr>
              <w:t>2022</w:t>
            </w:r>
          </w:p>
        </w:tc>
        <w:tc>
          <w:tcPr>
            <w:tcW w:w="1514" w:type="dxa"/>
            <w:tcBorders>
              <w:top w:val="nil"/>
              <w:left w:val="nil"/>
              <w:bottom w:val="nil"/>
              <w:right w:val="nil"/>
            </w:tcBorders>
            <w:shd w:val="clear" w:color="auto" w:fill="auto"/>
            <w:noWrap/>
            <w:vAlign w:val="bottom"/>
            <w:hideMark/>
          </w:tcPr>
          <w:p w14:paraId="7467BC03" w14:textId="77777777" w:rsidR="00D20199" w:rsidRPr="00D20199" w:rsidRDefault="00D20199" w:rsidP="00D20199">
            <w:pPr>
              <w:widowControl/>
              <w:jc w:val="center"/>
              <w:rPr>
                <w:rFonts w:ascii="Times New Roman" w:eastAsia="Times New Roman" w:hAnsi="Times New Roman" w:cs="Times New Roman"/>
                <w:b/>
                <w:bCs/>
                <w:color w:val="000000"/>
                <w:lang w:eastAsia="es-HN"/>
              </w:rPr>
            </w:pPr>
            <w:r w:rsidRPr="00D20199">
              <w:rPr>
                <w:rFonts w:ascii="Times New Roman" w:eastAsia="Times New Roman" w:hAnsi="Times New Roman" w:cs="Times New Roman"/>
                <w:b/>
                <w:bCs/>
                <w:color w:val="000000"/>
                <w:lang w:eastAsia="es-HN"/>
              </w:rPr>
              <w:t>2023</w:t>
            </w:r>
          </w:p>
        </w:tc>
      </w:tr>
      <w:tr w:rsidR="00D20199" w:rsidRPr="00D20199" w14:paraId="04258E07" w14:textId="77777777" w:rsidTr="00B149BE">
        <w:trPr>
          <w:trHeight w:val="362"/>
        </w:trPr>
        <w:tc>
          <w:tcPr>
            <w:tcW w:w="2159" w:type="dxa"/>
            <w:tcBorders>
              <w:top w:val="nil"/>
              <w:left w:val="nil"/>
              <w:bottom w:val="nil"/>
              <w:right w:val="nil"/>
            </w:tcBorders>
            <w:shd w:val="clear" w:color="auto" w:fill="auto"/>
            <w:vAlign w:val="bottom"/>
            <w:hideMark/>
          </w:tcPr>
          <w:p w14:paraId="28FE8374" w14:textId="77777777" w:rsidR="00D20199" w:rsidRPr="00D20199" w:rsidRDefault="00D20199" w:rsidP="00D20199">
            <w:pPr>
              <w:widowControl/>
              <w:jc w:val="center"/>
              <w:rPr>
                <w:rFonts w:ascii="Times New Roman" w:eastAsia="Times New Roman" w:hAnsi="Times New Roman" w:cs="Times New Roman"/>
                <w:b/>
                <w:bCs/>
                <w:color w:val="000000"/>
                <w:lang w:eastAsia="es-HN"/>
              </w:rPr>
            </w:pPr>
          </w:p>
        </w:tc>
        <w:tc>
          <w:tcPr>
            <w:tcW w:w="349" w:type="dxa"/>
            <w:tcBorders>
              <w:top w:val="nil"/>
              <w:left w:val="nil"/>
              <w:bottom w:val="nil"/>
              <w:right w:val="nil"/>
            </w:tcBorders>
            <w:shd w:val="clear" w:color="auto" w:fill="auto"/>
            <w:noWrap/>
            <w:vAlign w:val="bottom"/>
            <w:hideMark/>
          </w:tcPr>
          <w:p w14:paraId="4705B1A3" w14:textId="77777777" w:rsidR="00D20199" w:rsidRPr="00D20199" w:rsidRDefault="00D20199" w:rsidP="00D20199">
            <w:pPr>
              <w:widowControl/>
              <w:rPr>
                <w:rFonts w:ascii="Times New Roman" w:eastAsia="Times New Roman" w:hAnsi="Times New Roman" w:cs="Times New Roman"/>
                <w:sz w:val="20"/>
                <w:szCs w:val="20"/>
                <w:lang w:eastAsia="es-HN"/>
              </w:rPr>
            </w:pPr>
          </w:p>
        </w:tc>
        <w:tc>
          <w:tcPr>
            <w:tcW w:w="1514" w:type="dxa"/>
            <w:tcBorders>
              <w:top w:val="nil"/>
              <w:left w:val="nil"/>
              <w:bottom w:val="nil"/>
              <w:right w:val="nil"/>
            </w:tcBorders>
            <w:shd w:val="clear" w:color="auto" w:fill="auto"/>
            <w:noWrap/>
            <w:vAlign w:val="bottom"/>
            <w:hideMark/>
          </w:tcPr>
          <w:p w14:paraId="407C9268" w14:textId="77777777" w:rsidR="00D20199" w:rsidRPr="00D20199" w:rsidRDefault="00D20199" w:rsidP="00D20199">
            <w:pPr>
              <w:widowControl/>
              <w:rPr>
                <w:rFonts w:ascii="Times New Roman" w:eastAsia="Times New Roman" w:hAnsi="Times New Roman" w:cs="Times New Roman"/>
                <w:sz w:val="20"/>
                <w:szCs w:val="20"/>
                <w:lang w:eastAsia="es-HN"/>
              </w:rPr>
            </w:pPr>
          </w:p>
        </w:tc>
        <w:tc>
          <w:tcPr>
            <w:tcW w:w="1514" w:type="dxa"/>
            <w:tcBorders>
              <w:top w:val="nil"/>
              <w:left w:val="nil"/>
              <w:bottom w:val="nil"/>
              <w:right w:val="nil"/>
            </w:tcBorders>
            <w:shd w:val="clear" w:color="auto" w:fill="auto"/>
            <w:noWrap/>
            <w:vAlign w:val="bottom"/>
            <w:hideMark/>
          </w:tcPr>
          <w:p w14:paraId="0609719B" w14:textId="77777777" w:rsidR="00D20199" w:rsidRPr="00D20199" w:rsidRDefault="00D20199" w:rsidP="00D20199">
            <w:pPr>
              <w:widowControl/>
              <w:rPr>
                <w:rFonts w:ascii="Times New Roman" w:eastAsia="Times New Roman" w:hAnsi="Times New Roman" w:cs="Times New Roman"/>
                <w:sz w:val="20"/>
                <w:szCs w:val="20"/>
                <w:lang w:eastAsia="es-HN"/>
              </w:rPr>
            </w:pPr>
          </w:p>
        </w:tc>
        <w:tc>
          <w:tcPr>
            <w:tcW w:w="1514" w:type="dxa"/>
            <w:tcBorders>
              <w:top w:val="nil"/>
              <w:left w:val="nil"/>
              <w:bottom w:val="nil"/>
              <w:right w:val="nil"/>
            </w:tcBorders>
            <w:shd w:val="clear" w:color="auto" w:fill="auto"/>
            <w:noWrap/>
            <w:vAlign w:val="bottom"/>
            <w:hideMark/>
          </w:tcPr>
          <w:p w14:paraId="33580846" w14:textId="77777777" w:rsidR="00D20199" w:rsidRPr="00D20199" w:rsidRDefault="00D20199" w:rsidP="00D20199">
            <w:pPr>
              <w:widowControl/>
              <w:rPr>
                <w:rFonts w:ascii="Times New Roman" w:eastAsia="Times New Roman" w:hAnsi="Times New Roman" w:cs="Times New Roman"/>
                <w:sz w:val="20"/>
                <w:szCs w:val="20"/>
                <w:lang w:eastAsia="es-HN"/>
              </w:rPr>
            </w:pPr>
          </w:p>
        </w:tc>
        <w:tc>
          <w:tcPr>
            <w:tcW w:w="1514" w:type="dxa"/>
            <w:tcBorders>
              <w:top w:val="nil"/>
              <w:left w:val="nil"/>
              <w:bottom w:val="nil"/>
              <w:right w:val="nil"/>
            </w:tcBorders>
            <w:shd w:val="clear" w:color="auto" w:fill="auto"/>
            <w:noWrap/>
            <w:vAlign w:val="bottom"/>
            <w:hideMark/>
          </w:tcPr>
          <w:p w14:paraId="53422B69" w14:textId="77777777" w:rsidR="00D20199" w:rsidRPr="00D20199" w:rsidRDefault="00D20199" w:rsidP="00D20199">
            <w:pPr>
              <w:widowControl/>
              <w:rPr>
                <w:rFonts w:ascii="Times New Roman" w:eastAsia="Times New Roman" w:hAnsi="Times New Roman" w:cs="Times New Roman"/>
                <w:sz w:val="20"/>
                <w:szCs w:val="20"/>
                <w:lang w:eastAsia="es-HN"/>
              </w:rPr>
            </w:pPr>
          </w:p>
        </w:tc>
        <w:tc>
          <w:tcPr>
            <w:tcW w:w="1514" w:type="dxa"/>
            <w:tcBorders>
              <w:top w:val="nil"/>
              <w:left w:val="nil"/>
              <w:bottom w:val="nil"/>
              <w:right w:val="nil"/>
            </w:tcBorders>
            <w:shd w:val="clear" w:color="auto" w:fill="auto"/>
            <w:noWrap/>
            <w:vAlign w:val="bottom"/>
            <w:hideMark/>
          </w:tcPr>
          <w:p w14:paraId="2C884E03" w14:textId="77777777" w:rsidR="00D20199" w:rsidRPr="00D20199" w:rsidRDefault="00D20199" w:rsidP="00D20199">
            <w:pPr>
              <w:widowControl/>
              <w:rPr>
                <w:rFonts w:ascii="Times New Roman" w:eastAsia="Times New Roman" w:hAnsi="Times New Roman" w:cs="Times New Roman"/>
                <w:sz w:val="20"/>
                <w:szCs w:val="20"/>
                <w:lang w:eastAsia="es-HN"/>
              </w:rPr>
            </w:pPr>
          </w:p>
        </w:tc>
      </w:tr>
      <w:tr w:rsidR="00D20199" w:rsidRPr="00D20199" w14:paraId="34AE9A83" w14:textId="77777777" w:rsidTr="00B149BE">
        <w:trPr>
          <w:trHeight w:val="362"/>
        </w:trPr>
        <w:tc>
          <w:tcPr>
            <w:tcW w:w="2159" w:type="dxa"/>
            <w:vMerge w:val="restart"/>
            <w:tcBorders>
              <w:top w:val="nil"/>
              <w:left w:val="nil"/>
              <w:bottom w:val="nil"/>
              <w:right w:val="nil"/>
            </w:tcBorders>
            <w:shd w:val="clear" w:color="auto" w:fill="auto"/>
            <w:vAlign w:val="center"/>
            <w:hideMark/>
          </w:tcPr>
          <w:p w14:paraId="2FC65A37" w14:textId="77777777" w:rsidR="00D20199" w:rsidRPr="00D20199" w:rsidRDefault="00D20199" w:rsidP="00D20199">
            <w:pPr>
              <w:widowControl/>
              <w:jc w:val="center"/>
              <w:rPr>
                <w:rFonts w:ascii="Times New Roman" w:eastAsia="Times New Roman" w:hAnsi="Times New Roman" w:cs="Times New Roman"/>
                <w:b/>
                <w:bCs/>
                <w:color w:val="000000"/>
                <w:lang w:eastAsia="es-HN"/>
              </w:rPr>
            </w:pPr>
            <w:r w:rsidRPr="00D20199">
              <w:rPr>
                <w:rFonts w:ascii="Times New Roman" w:eastAsia="Times New Roman" w:hAnsi="Times New Roman" w:cs="Times New Roman"/>
                <w:b/>
                <w:bCs/>
                <w:color w:val="000000"/>
                <w:lang w:eastAsia="es-HN"/>
              </w:rPr>
              <w:t>Margen de Utilidad</w:t>
            </w:r>
          </w:p>
        </w:tc>
        <w:tc>
          <w:tcPr>
            <w:tcW w:w="349" w:type="dxa"/>
            <w:vMerge w:val="restart"/>
            <w:tcBorders>
              <w:top w:val="nil"/>
              <w:left w:val="nil"/>
              <w:bottom w:val="nil"/>
              <w:right w:val="nil"/>
            </w:tcBorders>
            <w:shd w:val="clear" w:color="auto" w:fill="auto"/>
            <w:noWrap/>
            <w:vAlign w:val="center"/>
            <w:hideMark/>
          </w:tcPr>
          <w:p w14:paraId="677FC83E" w14:textId="77777777" w:rsidR="00D20199" w:rsidRPr="00D20199" w:rsidRDefault="00D20199" w:rsidP="00D20199">
            <w:pPr>
              <w:widowControl/>
              <w:jc w:val="center"/>
              <w:rPr>
                <w:rFonts w:ascii="Times New Roman" w:eastAsia="Times New Roman" w:hAnsi="Times New Roman" w:cs="Times New Roman"/>
                <w:b/>
                <w:bCs/>
                <w:color w:val="000000"/>
                <w:lang w:eastAsia="es-HN"/>
              </w:rPr>
            </w:pPr>
            <w:r w:rsidRPr="00D20199">
              <w:rPr>
                <w:rFonts w:ascii="Times New Roman" w:eastAsia="Times New Roman" w:hAnsi="Times New Roman" w:cs="Times New Roman"/>
                <w:b/>
                <w:bCs/>
                <w:color w:val="000000"/>
                <w:lang w:eastAsia="es-HN"/>
              </w:rPr>
              <w:t>=</w:t>
            </w:r>
          </w:p>
        </w:tc>
        <w:tc>
          <w:tcPr>
            <w:tcW w:w="1514" w:type="dxa"/>
            <w:tcBorders>
              <w:top w:val="nil"/>
              <w:left w:val="nil"/>
              <w:bottom w:val="single" w:sz="4" w:space="0" w:color="auto"/>
              <w:right w:val="nil"/>
            </w:tcBorders>
            <w:shd w:val="clear" w:color="auto" w:fill="auto"/>
            <w:noWrap/>
            <w:vAlign w:val="bottom"/>
            <w:hideMark/>
          </w:tcPr>
          <w:p w14:paraId="2C31F1AE" w14:textId="77777777" w:rsidR="00D20199" w:rsidRPr="00D20199" w:rsidRDefault="00D20199" w:rsidP="00D20199">
            <w:pPr>
              <w:widowControl/>
              <w:rPr>
                <w:rFonts w:ascii="Times New Roman" w:eastAsia="Times New Roman" w:hAnsi="Times New Roman" w:cs="Times New Roman"/>
                <w:color w:val="000000"/>
                <w:lang w:eastAsia="es-HN"/>
              </w:rPr>
            </w:pPr>
            <w:r w:rsidRPr="00D20199">
              <w:rPr>
                <w:rFonts w:ascii="Times New Roman" w:eastAsia="Times New Roman" w:hAnsi="Times New Roman" w:cs="Times New Roman"/>
                <w:color w:val="000000"/>
                <w:lang w:eastAsia="es-HN"/>
              </w:rPr>
              <w:t xml:space="preserve">-     18,676,026 </w:t>
            </w:r>
          </w:p>
        </w:tc>
        <w:tc>
          <w:tcPr>
            <w:tcW w:w="1514" w:type="dxa"/>
            <w:tcBorders>
              <w:top w:val="nil"/>
              <w:left w:val="nil"/>
              <w:bottom w:val="single" w:sz="4" w:space="0" w:color="auto"/>
              <w:right w:val="nil"/>
            </w:tcBorders>
            <w:shd w:val="clear" w:color="auto" w:fill="auto"/>
            <w:noWrap/>
            <w:vAlign w:val="bottom"/>
            <w:hideMark/>
          </w:tcPr>
          <w:p w14:paraId="13115D0E" w14:textId="77777777" w:rsidR="00D20199" w:rsidRPr="00D20199" w:rsidRDefault="00D20199" w:rsidP="00D20199">
            <w:pPr>
              <w:widowControl/>
              <w:rPr>
                <w:rFonts w:ascii="Times New Roman" w:eastAsia="Times New Roman" w:hAnsi="Times New Roman" w:cs="Times New Roman"/>
                <w:color w:val="000000"/>
                <w:lang w:eastAsia="es-HN"/>
              </w:rPr>
            </w:pPr>
            <w:r w:rsidRPr="00D20199">
              <w:rPr>
                <w:rFonts w:ascii="Times New Roman" w:eastAsia="Times New Roman" w:hAnsi="Times New Roman" w:cs="Times New Roman"/>
                <w:color w:val="000000"/>
                <w:lang w:eastAsia="es-HN"/>
              </w:rPr>
              <w:t xml:space="preserve">-   104,993,473 </w:t>
            </w:r>
          </w:p>
        </w:tc>
        <w:tc>
          <w:tcPr>
            <w:tcW w:w="1514" w:type="dxa"/>
            <w:tcBorders>
              <w:top w:val="nil"/>
              <w:left w:val="nil"/>
              <w:bottom w:val="single" w:sz="4" w:space="0" w:color="auto"/>
              <w:right w:val="nil"/>
            </w:tcBorders>
            <w:shd w:val="clear" w:color="auto" w:fill="auto"/>
            <w:noWrap/>
            <w:vAlign w:val="bottom"/>
            <w:hideMark/>
          </w:tcPr>
          <w:p w14:paraId="1C2BA872" w14:textId="77777777" w:rsidR="00D20199" w:rsidRPr="00D20199" w:rsidRDefault="00D20199" w:rsidP="00D20199">
            <w:pPr>
              <w:widowControl/>
              <w:rPr>
                <w:rFonts w:ascii="Times New Roman" w:eastAsia="Times New Roman" w:hAnsi="Times New Roman" w:cs="Times New Roman"/>
                <w:color w:val="000000"/>
                <w:lang w:eastAsia="es-HN"/>
              </w:rPr>
            </w:pPr>
            <w:r w:rsidRPr="00D20199">
              <w:rPr>
                <w:rFonts w:ascii="Times New Roman" w:eastAsia="Times New Roman" w:hAnsi="Times New Roman" w:cs="Times New Roman"/>
                <w:color w:val="000000"/>
                <w:lang w:eastAsia="es-HN"/>
              </w:rPr>
              <w:t xml:space="preserve">-     99,771,938 </w:t>
            </w:r>
          </w:p>
        </w:tc>
        <w:tc>
          <w:tcPr>
            <w:tcW w:w="1514" w:type="dxa"/>
            <w:tcBorders>
              <w:top w:val="nil"/>
              <w:left w:val="nil"/>
              <w:bottom w:val="single" w:sz="4" w:space="0" w:color="auto"/>
              <w:right w:val="nil"/>
            </w:tcBorders>
            <w:shd w:val="clear" w:color="auto" w:fill="auto"/>
            <w:noWrap/>
            <w:vAlign w:val="bottom"/>
            <w:hideMark/>
          </w:tcPr>
          <w:p w14:paraId="51E9E665" w14:textId="77777777" w:rsidR="00D20199" w:rsidRPr="00D20199" w:rsidRDefault="00D20199" w:rsidP="00D20199">
            <w:pPr>
              <w:widowControl/>
              <w:rPr>
                <w:rFonts w:ascii="Times New Roman" w:eastAsia="Times New Roman" w:hAnsi="Times New Roman" w:cs="Times New Roman"/>
                <w:color w:val="000000"/>
                <w:lang w:eastAsia="es-HN"/>
              </w:rPr>
            </w:pPr>
            <w:r w:rsidRPr="00D20199">
              <w:rPr>
                <w:rFonts w:ascii="Times New Roman" w:eastAsia="Times New Roman" w:hAnsi="Times New Roman" w:cs="Times New Roman"/>
                <w:color w:val="000000"/>
                <w:lang w:eastAsia="es-HN"/>
              </w:rPr>
              <w:t xml:space="preserve">-     34,857,569 </w:t>
            </w:r>
          </w:p>
        </w:tc>
        <w:tc>
          <w:tcPr>
            <w:tcW w:w="1514" w:type="dxa"/>
            <w:tcBorders>
              <w:top w:val="nil"/>
              <w:left w:val="nil"/>
              <w:bottom w:val="single" w:sz="4" w:space="0" w:color="auto"/>
              <w:right w:val="nil"/>
            </w:tcBorders>
            <w:shd w:val="clear" w:color="auto" w:fill="auto"/>
            <w:noWrap/>
            <w:vAlign w:val="bottom"/>
            <w:hideMark/>
          </w:tcPr>
          <w:p w14:paraId="15388763" w14:textId="77777777" w:rsidR="00D20199" w:rsidRPr="00D20199" w:rsidRDefault="00D20199" w:rsidP="00D20199">
            <w:pPr>
              <w:widowControl/>
              <w:rPr>
                <w:rFonts w:ascii="Times New Roman" w:eastAsia="Times New Roman" w:hAnsi="Times New Roman" w:cs="Times New Roman"/>
                <w:color w:val="000000"/>
                <w:lang w:eastAsia="es-HN"/>
              </w:rPr>
            </w:pPr>
            <w:r w:rsidRPr="00D20199">
              <w:rPr>
                <w:rFonts w:ascii="Times New Roman" w:eastAsia="Times New Roman" w:hAnsi="Times New Roman" w:cs="Times New Roman"/>
                <w:color w:val="000000"/>
                <w:lang w:eastAsia="es-HN"/>
              </w:rPr>
              <w:t xml:space="preserve">-     13,590,489 </w:t>
            </w:r>
          </w:p>
        </w:tc>
      </w:tr>
      <w:tr w:rsidR="00D20199" w:rsidRPr="00D20199" w14:paraId="66B054AF" w14:textId="77777777" w:rsidTr="00B149BE">
        <w:trPr>
          <w:trHeight w:val="362"/>
        </w:trPr>
        <w:tc>
          <w:tcPr>
            <w:tcW w:w="2159" w:type="dxa"/>
            <w:vMerge/>
            <w:tcBorders>
              <w:top w:val="nil"/>
              <w:left w:val="nil"/>
              <w:bottom w:val="nil"/>
              <w:right w:val="nil"/>
            </w:tcBorders>
            <w:vAlign w:val="center"/>
            <w:hideMark/>
          </w:tcPr>
          <w:p w14:paraId="296A5A40" w14:textId="77777777" w:rsidR="00D20199" w:rsidRPr="00D20199" w:rsidRDefault="00D20199" w:rsidP="00D20199">
            <w:pPr>
              <w:widowControl/>
              <w:rPr>
                <w:rFonts w:ascii="Times New Roman" w:eastAsia="Times New Roman" w:hAnsi="Times New Roman" w:cs="Times New Roman"/>
                <w:b/>
                <w:bCs/>
                <w:color w:val="000000"/>
                <w:lang w:eastAsia="es-HN"/>
              </w:rPr>
            </w:pPr>
          </w:p>
        </w:tc>
        <w:tc>
          <w:tcPr>
            <w:tcW w:w="349" w:type="dxa"/>
            <w:vMerge/>
            <w:tcBorders>
              <w:top w:val="nil"/>
              <w:left w:val="nil"/>
              <w:bottom w:val="nil"/>
              <w:right w:val="nil"/>
            </w:tcBorders>
            <w:vAlign w:val="center"/>
            <w:hideMark/>
          </w:tcPr>
          <w:p w14:paraId="701507BD" w14:textId="77777777" w:rsidR="00D20199" w:rsidRPr="00D20199" w:rsidRDefault="00D20199" w:rsidP="00D20199">
            <w:pPr>
              <w:widowControl/>
              <w:rPr>
                <w:rFonts w:ascii="Times New Roman" w:eastAsia="Times New Roman" w:hAnsi="Times New Roman" w:cs="Times New Roman"/>
                <w:b/>
                <w:bCs/>
                <w:color w:val="000000"/>
                <w:lang w:eastAsia="es-HN"/>
              </w:rPr>
            </w:pPr>
          </w:p>
        </w:tc>
        <w:tc>
          <w:tcPr>
            <w:tcW w:w="1514" w:type="dxa"/>
            <w:tcBorders>
              <w:top w:val="nil"/>
              <w:left w:val="nil"/>
              <w:bottom w:val="nil"/>
              <w:right w:val="nil"/>
            </w:tcBorders>
            <w:shd w:val="clear" w:color="auto" w:fill="auto"/>
            <w:noWrap/>
            <w:vAlign w:val="bottom"/>
            <w:hideMark/>
          </w:tcPr>
          <w:p w14:paraId="71D6CA3B" w14:textId="77777777" w:rsidR="00D20199" w:rsidRPr="00D20199" w:rsidRDefault="00D20199" w:rsidP="00D20199">
            <w:pPr>
              <w:widowControl/>
              <w:rPr>
                <w:rFonts w:ascii="Times New Roman" w:eastAsia="Times New Roman" w:hAnsi="Times New Roman" w:cs="Times New Roman"/>
                <w:color w:val="000000"/>
                <w:lang w:eastAsia="es-HN"/>
              </w:rPr>
            </w:pPr>
            <w:r w:rsidRPr="00D20199">
              <w:rPr>
                <w:rFonts w:ascii="Times New Roman" w:eastAsia="Times New Roman" w:hAnsi="Times New Roman" w:cs="Times New Roman"/>
                <w:color w:val="000000"/>
                <w:lang w:eastAsia="es-HN"/>
              </w:rPr>
              <w:t xml:space="preserve">    167,308,216 </w:t>
            </w:r>
          </w:p>
        </w:tc>
        <w:tc>
          <w:tcPr>
            <w:tcW w:w="1514" w:type="dxa"/>
            <w:tcBorders>
              <w:top w:val="nil"/>
              <w:left w:val="nil"/>
              <w:bottom w:val="nil"/>
              <w:right w:val="nil"/>
            </w:tcBorders>
            <w:shd w:val="clear" w:color="auto" w:fill="auto"/>
            <w:noWrap/>
            <w:vAlign w:val="bottom"/>
            <w:hideMark/>
          </w:tcPr>
          <w:p w14:paraId="58191AEA" w14:textId="77777777" w:rsidR="00D20199" w:rsidRPr="00D20199" w:rsidRDefault="00D20199" w:rsidP="00D20199">
            <w:pPr>
              <w:widowControl/>
              <w:rPr>
                <w:rFonts w:ascii="Times New Roman" w:eastAsia="Times New Roman" w:hAnsi="Times New Roman" w:cs="Times New Roman"/>
                <w:color w:val="000000"/>
                <w:lang w:eastAsia="es-HN"/>
              </w:rPr>
            </w:pPr>
            <w:r w:rsidRPr="00D20199">
              <w:rPr>
                <w:rFonts w:ascii="Times New Roman" w:eastAsia="Times New Roman" w:hAnsi="Times New Roman" w:cs="Times New Roman"/>
                <w:color w:val="000000"/>
                <w:lang w:eastAsia="es-HN"/>
              </w:rPr>
              <w:t xml:space="preserve">    107,626,872 </w:t>
            </w:r>
          </w:p>
        </w:tc>
        <w:tc>
          <w:tcPr>
            <w:tcW w:w="1514" w:type="dxa"/>
            <w:tcBorders>
              <w:top w:val="nil"/>
              <w:left w:val="nil"/>
              <w:bottom w:val="nil"/>
              <w:right w:val="nil"/>
            </w:tcBorders>
            <w:shd w:val="clear" w:color="auto" w:fill="auto"/>
            <w:noWrap/>
            <w:vAlign w:val="bottom"/>
            <w:hideMark/>
          </w:tcPr>
          <w:p w14:paraId="562A68FC" w14:textId="77777777" w:rsidR="00D20199" w:rsidRPr="00D20199" w:rsidRDefault="00D20199" w:rsidP="00D20199">
            <w:pPr>
              <w:widowControl/>
              <w:rPr>
                <w:rFonts w:ascii="Times New Roman" w:eastAsia="Times New Roman" w:hAnsi="Times New Roman" w:cs="Times New Roman"/>
                <w:color w:val="000000"/>
                <w:lang w:eastAsia="es-HN"/>
              </w:rPr>
            </w:pPr>
            <w:r w:rsidRPr="00D20199">
              <w:rPr>
                <w:rFonts w:ascii="Times New Roman" w:eastAsia="Times New Roman" w:hAnsi="Times New Roman" w:cs="Times New Roman"/>
                <w:color w:val="000000"/>
                <w:lang w:eastAsia="es-HN"/>
              </w:rPr>
              <w:t xml:space="preserve">      73,038,240 </w:t>
            </w:r>
          </w:p>
        </w:tc>
        <w:tc>
          <w:tcPr>
            <w:tcW w:w="1514" w:type="dxa"/>
            <w:tcBorders>
              <w:top w:val="nil"/>
              <w:left w:val="nil"/>
              <w:bottom w:val="nil"/>
              <w:right w:val="nil"/>
            </w:tcBorders>
            <w:shd w:val="clear" w:color="auto" w:fill="auto"/>
            <w:noWrap/>
            <w:vAlign w:val="bottom"/>
            <w:hideMark/>
          </w:tcPr>
          <w:p w14:paraId="340A6D8E" w14:textId="77777777" w:rsidR="00D20199" w:rsidRPr="00D20199" w:rsidRDefault="00D20199" w:rsidP="00D20199">
            <w:pPr>
              <w:widowControl/>
              <w:rPr>
                <w:rFonts w:ascii="Times New Roman" w:eastAsia="Times New Roman" w:hAnsi="Times New Roman" w:cs="Times New Roman"/>
                <w:color w:val="000000"/>
                <w:lang w:eastAsia="es-HN"/>
              </w:rPr>
            </w:pPr>
            <w:r w:rsidRPr="00D20199">
              <w:rPr>
                <w:rFonts w:ascii="Times New Roman" w:eastAsia="Times New Roman" w:hAnsi="Times New Roman" w:cs="Times New Roman"/>
                <w:color w:val="000000"/>
                <w:lang w:eastAsia="es-HN"/>
              </w:rPr>
              <w:t xml:space="preserve">      98,898,833 </w:t>
            </w:r>
          </w:p>
        </w:tc>
        <w:tc>
          <w:tcPr>
            <w:tcW w:w="1514" w:type="dxa"/>
            <w:tcBorders>
              <w:top w:val="nil"/>
              <w:left w:val="nil"/>
              <w:bottom w:val="nil"/>
              <w:right w:val="nil"/>
            </w:tcBorders>
            <w:shd w:val="clear" w:color="auto" w:fill="auto"/>
            <w:noWrap/>
            <w:vAlign w:val="bottom"/>
            <w:hideMark/>
          </w:tcPr>
          <w:p w14:paraId="0F19AA8B" w14:textId="77777777" w:rsidR="00D20199" w:rsidRPr="00D20199" w:rsidRDefault="00D20199" w:rsidP="00D20199">
            <w:pPr>
              <w:widowControl/>
              <w:rPr>
                <w:rFonts w:ascii="Times New Roman" w:eastAsia="Times New Roman" w:hAnsi="Times New Roman" w:cs="Times New Roman"/>
                <w:color w:val="000000"/>
                <w:lang w:eastAsia="es-HN"/>
              </w:rPr>
            </w:pPr>
            <w:r w:rsidRPr="00D20199">
              <w:rPr>
                <w:rFonts w:ascii="Times New Roman" w:eastAsia="Times New Roman" w:hAnsi="Times New Roman" w:cs="Times New Roman"/>
                <w:color w:val="000000"/>
                <w:lang w:eastAsia="es-HN"/>
              </w:rPr>
              <w:t xml:space="preserve">    103,362,188 </w:t>
            </w:r>
          </w:p>
        </w:tc>
      </w:tr>
      <w:tr w:rsidR="00D20199" w:rsidRPr="00D20199" w14:paraId="3BC8BF1D" w14:textId="77777777" w:rsidTr="00B149BE">
        <w:trPr>
          <w:trHeight w:val="172"/>
        </w:trPr>
        <w:tc>
          <w:tcPr>
            <w:tcW w:w="2159" w:type="dxa"/>
            <w:tcBorders>
              <w:top w:val="nil"/>
              <w:left w:val="nil"/>
              <w:bottom w:val="nil"/>
              <w:right w:val="nil"/>
            </w:tcBorders>
            <w:shd w:val="clear" w:color="auto" w:fill="auto"/>
            <w:vAlign w:val="bottom"/>
            <w:hideMark/>
          </w:tcPr>
          <w:p w14:paraId="15ADB4A3" w14:textId="77777777" w:rsidR="00D20199" w:rsidRPr="00D20199" w:rsidRDefault="00D20199" w:rsidP="00D20199">
            <w:pPr>
              <w:widowControl/>
              <w:rPr>
                <w:rFonts w:ascii="Times New Roman" w:eastAsia="Times New Roman" w:hAnsi="Times New Roman" w:cs="Times New Roman"/>
                <w:color w:val="000000"/>
                <w:lang w:eastAsia="es-HN"/>
              </w:rPr>
            </w:pPr>
          </w:p>
        </w:tc>
        <w:tc>
          <w:tcPr>
            <w:tcW w:w="349" w:type="dxa"/>
            <w:tcBorders>
              <w:top w:val="nil"/>
              <w:left w:val="nil"/>
              <w:bottom w:val="nil"/>
              <w:right w:val="nil"/>
            </w:tcBorders>
            <w:shd w:val="clear" w:color="auto" w:fill="auto"/>
            <w:noWrap/>
            <w:vAlign w:val="bottom"/>
            <w:hideMark/>
          </w:tcPr>
          <w:p w14:paraId="43F79CBE" w14:textId="77777777" w:rsidR="00D20199" w:rsidRPr="00D20199" w:rsidRDefault="00D20199" w:rsidP="00D20199">
            <w:pPr>
              <w:widowControl/>
              <w:rPr>
                <w:rFonts w:ascii="Times New Roman" w:eastAsia="Times New Roman" w:hAnsi="Times New Roman" w:cs="Times New Roman"/>
                <w:sz w:val="20"/>
                <w:szCs w:val="20"/>
                <w:lang w:eastAsia="es-HN"/>
              </w:rPr>
            </w:pPr>
          </w:p>
        </w:tc>
        <w:tc>
          <w:tcPr>
            <w:tcW w:w="1514" w:type="dxa"/>
            <w:tcBorders>
              <w:top w:val="nil"/>
              <w:left w:val="nil"/>
              <w:bottom w:val="nil"/>
              <w:right w:val="nil"/>
            </w:tcBorders>
            <w:shd w:val="clear" w:color="auto" w:fill="auto"/>
            <w:noWrap/>
            <w:vAlign w:val="bottom"/>
            <w:hideMark/>
          </w:tcPr>
          <w:p w14:paraId="0D450276" w14:textId="77777777" w:rsidR="00D20199" w:rsidRPr="00D20199" w:rsidRDefault="00D20199" w:rsidP="00D20199">
            <w:pPr>
              <w:widowControl/>
              <w:rPr>
                <w:rFonts w:ascii="Times New Roman" w:eastAsia="Times New Roman" w:hAnsi="Times New Roman" w:cs="Times New Roman"/>
                <w:sz w:val="20"/>
                <w:szCs w:val="20"/>
                <w:lang w:eastAsia="es-HN"/>
              </w:rPr>
            </w:pPr>
          </w:p>
        </w:tc>
        <w:tc>
          <w:tcPr>
            <w:tcW w:w="1514" w:type="dxa"/>
            <w:tcBorders>
              <w:top w:val="nil"/>
              <w:left w:val="nil"/>
              <w:bottom w:val="nil"/>
              <w:right w:val="nil"/>
            </w:tcBorders>
            <w:shd w:val="clear" w:color="auto" w:fill="auto"/>
            <w:noWrap/>
            <w:vAlign w:val="bottom"/>
            <w:hideMark/>
          </w:tcPr>
          <w:p w14:paraId="2B7C2FC0" w14:textId="77777777" w:rsidR="00D20199" w:rsidRPr="00D20199" w:rsidRDefault="00D20199" w:rsidP="00D20199">
            <w:pPr>
              <w:widowControl/>
              <w:rPr>
                <w:rFonts w:ascii="Times New Roman" w:eastAsia="Times New Roman" w:hAnsi="Times New Roman" w:cs="Times New Roman"/>
                <w:sz w:val="20"/>
                <w:szCs w:val="20"/>
                <w:lang w:eastAsia="es-HN"/>
              </w:rPr>
            </w:pPr>
          </w:p>
        </w:tc>
        <w:tc>
          <w:tcPr>
            <w:tcW w:w="1514" w:type="dxa"/>
            <w:tcBorders>
              <w:top w:val="nil"/>
              <w:left w:val="nil"/>
              <w:bottom w:val="nil"/>
              <w:right w:val="nil"/>
            </w:tcBorders>
            <w:shd w:val="clear" w:color="auto" w:fill="auto"/>
            <w:noWrap/>
            <w:vAlign w:val="bottom"/>
            <w:hideMark/>
          </w:tcPr>
          <w:p w14:paraId="5640AC25" w14:textId="77777777" w:rsidR="00D20199" w:rsidRPr="00D20199" w:rsidRDefault="00D20199" w:rsidP="00D20199">
            <w:pPr>
              <w:widowControl/>
              <w:rPr>
                <w:rFonts w:ascii="Times New Roman" w:eastAsia="Times New Roman" w:hAnsi="Times New Roman" w:cs="Times New Roman"/>
                <w:sz w:val="20"/>
                <w:szCs w:val="20"/>
                <w:lang w:eastAsia="es-HN"/>
              </w:rPr>
            </w:pPr>
          </w:p>
        </w:tc>
        <w:tc>
          <w:tcPr>
            <w:tcW w:w="1514" w:type="dxa"/>
            <w:tcBorders>
              <w:top w:val="nil"/>
              <w:left w:val="nil"/>
              <w:bottom w:val="nil"/>
              <w:right w:val="nil"/>
            </w:tcBorders>
            <w:shd w:val="clear" w:color="auto" w:fill="auto"/>
            <w:noWrap/>
            <w:vAlign w:val="bottom"/>
            <w:hideMark/>
          </w:tcPr>
          <w:p w14:paraId="0A18E7A7" w14:textId="77777777" w:rsidR="00D20199" w:rsidRPr="00D20199" w:rsidRDefault="00D20199" w:rsidP="00D20199">
            <w:pPr>
              <w:widowControl/>
              <w:rPr>
                <w:rFonts w:ascii="Times New Roman" w:eastAsia="Times New Roman" w:hAnsi="Times New Roman" w:cs="Times New Roman"/>
                <w:sz w:val="20"/>
                <w:szCs w:val="20"/>
                <w:lang w:eastAsia="es-HN"/>
              </w:rPr>
            </w:pPr>
          </w:p>
        </w:tc>
        <w:tc>
          <w:tcPr>
            <w:tcW w:w="1514" w:type="dxa"/>
            <w:tcBorders>
              <w:top w:val="nil"/>
              <w:left w:val="nil"/>
              <w:bottom w:val="nil"/>
              <w:right w:val="nil"/>
            </w:tcBorders>
            <w:shd w:val="clear" w:color="auto" w:fill="auto"/>
            <w:noWrap/>
            <w:vAlign w:val="bottom"/>
            <w:hideMark/>
          </w:tcPr>
          <w:p w14:paraId="787BADD5" w14:textId="77777777" w:rsidR="00D20199" w:rsidRPr="00D20199" w:rsidRDefault="00D20199" w:rsidP="00D20199">
            <w:pPr>
              <w:widowControl/>
              <w:rPr>
                <w:rFonts w:ascii="Times New Roman" w:eastAsia="Times New Roman" w:hAnsi="Times New Roman" w:cs="Times New Roman"/>
                <w:sz w:val="20"/>
                <w:szCs w:val="20"/>
                <w:lang w:eastAsia="es-HN"/>
              </w:rPr>
            </w:pPr>
          </w:p>
        </w:tc>
      </w:tr>
      <w:tr w:rsidR="00D20199" w:rsidRPr="00D20199" w14:paraId="739AFC59" w14:textId="77777777" w:rsidTr="00B149BE">
        <w:trPr>
          <w:trHeight w:val="345"/>
        </w:trPr>
        <w:tc>
          <w:tcPr>
            <w:tcW w:w="2159" w:type="dxa"/>
            <w:tcBorders>
              <w:top w:val="nil"/>
              <w:left w:val="nil"/>
              <w:bottom w:val="nil"/>
              <w:right w:val="nil"/>
            </w:tcBorders>
            <w:shd w:val="clear" w:color="auto" w:fill="auto"/>
            <w:vAlign w:val="bottom"/>
            <w:hideMark/>
          </w:tcPr>
          <w:p w14:paraId="1F588365" w14:textId="77777777" w:rsidR="00D20199" w:rsidRPr="00D20199" w:rsidRDefault="00D20199" w:rsidP="00D20199">
            <w:pPr>
              <w:widowControl/>
              <w:rPr>
                <w:rFonts w:ascii="Times New Roman" w:eastAsia="Times New Roman" w:hAnsi="Times New Roman" w:cs="Times New Roman"/>
                <w:sz w:val="20"/>
                <w:szCs w:val="20"/>
                <w:lang w:eastAsia="es-HN"/>
              </w:rPr>
            </w:pPr>
          </w:p>
        </w:tc>
        <w:tc>
          <w:tcPr>
            <w:tcW w:w="349" w:type="dxa"/>
            <w:tcBorders>
              <w:top w:val="nil"/>
              <w:left w:val="nil"/>
              <w:bottom w:val="nil"/>
              <w:right w:val="nil"/>
            </w:tcBorders>
            <w:shd w:val="clear" w:color="auto" w:fill="auto"/>
            <w:noWrap/>
            <w:vAlign w:val="bottom"/>
            <w:hideMark/>
          </w:tcPr>
          <w:p w14:paraId="21B57496" w14:textId="77777777" w:rsidR="00D20199" w:rsidRPr="00D20199" w:rsidRDefault="00D20199" w:rsidP="00D20199">
            <w:pPr>
              <w:widowControl/>
              <w:rPr>
                <w:rFonts w:ascii="Times New Roman" w:eastAsia="Times New Roman" w:hAnsi="Times New Roman" w:cs="Times New Roman"/>
                <w:sz w:val="20"/>
                <w:szCs w:val="20"/>
                <w:lang w:eastAsia="es-HN"/>
              </w:rPr>
            </w:pPr>
          </w:p>
        </w:tc>
        <w:tc>
          <w:tcPr>
            <w:tcW w:w="1514" w:type="dxa"/>
            <w:tcBorders>
              <w:top w:val="nil"/>
              <w:left w:val="nil"/>
              <w:bottom w:val="nil"/>
              <w:right w:val="nil"/>
            </w:tcBorders>
            <w:shd w:val="clear" w:color="000000" w:fill="CAEDFB"/>
            <w:noWrap/>
            <w:vAlign w:val="bottom"/>
            <w:hideMark/>
          </w:tcPr>
          <w:p w14:paraId="49466F7D" w14:textId="43EA0862" w:rsidR="00D20199" w:rsidRPr="00D20199" w:rsidRDefault="00D20199" w:rsidP="006A11A8">
            <w:pPr>
              <w:widowControl/>
              <w:jc w:val="center"/>
              <w:rPr>
                <w:rFonts w:ascii="Times New Roman" w:eastAsia="Times New Roman" w:hAnsi="Times New Roman" w:cs="Times New Roman"/>
                <w:b/>
                <w:bCs/>
                <w:color w:val="FF0000"/>
                <w:lang w:eastAsia="es-HN"/>
              </w:rPr>
            </w:pPr>
            <w:r w:rsidRPr="00D20199">
              <w:rPr>
                <w:rFonts w:ascii="Times New Roman" w:eastAsia="Times New Roman" w:hAnsi="Times New Roman" w:cs="Times New Roman"/>
                <w:b/>
                <w:bCs/>
                <w:color w:val="FF0000"/>
                <w:lang w:eastAsia="es-HN"/>
              </w:rPr>
              <w:t>-             11.2</w:t>
            </w:r>
          </w:p>
        </w:tc>
        <w:tc>
          <w:tcPr>
            <w:tcW w:w="1514" w:type="dxa"/>
            <w:tcBorders>
              <w:top w:val="nil"/>
              <w:left w:val="nil"/>
              <w:bottom w:val="nil"/>
              <w:right w:val="nil"/>
            </w:tcBorders>
            <w:shd w:val="clear" w:color="000000" w:fill="CAEDFB"/>
            <w:noWrap/>
            <w:vAlign w:val="bottom"/>
            <w:hideMark/>
          </w:tcPr>
          <w:p w14:paraId="2E2FF5D0" w14:textId="0450653B" w:rsidR="00D20199" w:rsidRPr="00D20199" w:rsidRDefault="00D20199" w:rsidP="006A11A8">
            <w:pPr>
              <w:widowControl/>
              <w:jc w:val="center"/>
              <w:rPr>
                <w:rFonts w:ascii="Times New Roman" w:eastAsia="Times New Roman" w:hAnsi="Times New Roman" w:cs="Times New Roman"/>
                <w:b/>
                <w:bCs/>
                <w:color w:val="FF0000"/>
                <w:lang w:eastAsia="es-HN"/>
              </w:rPr>
            </w:pPr>
            <w:r w:rsidRPr="00D20199">
              <w:rPr>
                <w:rFonts w:ascii="Times New Roman" w:eastAsia="Times New Roman" w:hAnsi="Times New Roman" w:cs="Times New Roman"/>
                <w:b/>
                <w:bCs/>
                <w:color w:val="FF0000"/>
                <w:lang w:eastAsia="es-HN"/>
              </w:rPr>
              <w:t>-             97.6</w:t>
            </w:r>
          </w:p>
        </w:tc>
        <w:tc>
          <w:tcPr>
            <w:tcW w:w="1514" w:type="dxa"/>
            <w:tcBorders>
              <w:top w:val="nil"/>
              <w:left w:val="nil"/>
              <w:bottom w:val="nil"/>
              <w:right w:val="nil"/>
            </w:tcBorders>
            <w:shd w:val="clear" w:color="000000" w:fill="CAEDFB"/>
            <w:noWrap/>
            <w:vAlign w:val="bottom"/>
            <w:hideMark/>
          </w:tcPr>
          <w:p w14:paraId="00F5F985" w14:textId="1B4842CE" w:rsidR="00D20199" w:rsidRPr="00D20199" w:rsidRDefault="00D20199" w:rsidP="006A11A8">
            <w:pPr>
              <w:widowControl/>
              <w:jc w:val="center"/>
              <w:rPr>
                <w:rFonts w:ascii="Times New Roman" w:eastAsia="Times New Roman" w:hAnsi="Times New Roman" w:cs="Times New Roman"/>
                <w:b/>
                <w:bCs/>
                <w:color w:val="FF0000"/>
                <w:lang w:eastAsia="es-HN"/>
              </w:rPr>
            </w:pPr>
            <w:r w:rsidRPr="00D20199">
              <w:rPr>
                <w:rFonts w:ascii="Times New Roman" w:eastAsia="Times New Roman" w:hAnsi="Times New Roman" w:cs="Times New Roman"/>
                <w:b/>
                <w:bCs/>
                <w:color w:val="FF0000"/>
                <w:lang w:eastAsia="es-HN"/>
              </w:rPr>
              <w:t>-           136.6</w:t>
            </w:r>
          </w:p>
        </w:tc>
        <w:tc>
          <w:tcPr>
            <w:tcW w:w="1514" w:type="dxa"/>
            <w:tcBorders>
              <w:top w:val="nil"/>
              <w:left w:val="nil"/>
              <w:bottom w:val="nil"/>
              <w:right w:val="nil"/>
            </w:tcBorders>
            <w:shd w:val="clear" w:color="000000" w:fill="CAEDFB"/>
            <w:noWrap/>
            <w:vAlign w:val="bottom"/>
            <w:hideMark/>
          </w:tcPr>
          <w:p w14:paraId="77720555" w14:textId="3E379F6B" w:rsidR="00D20199" w:rsidRPr="00D20199" w:rsidRDefault="00D20199" w:rsidP="006A11A8">
            <w:pPr>
              <w:widowControl/>
              <w:jc w:val="center"/>
              <w:rPr>
                <w:rFonts w:ascii="Times New Roman" w:eastAsia="Times New Roman" w:hAnsi="Times New Roman" w:cs="Times New Roman"/>
                <w:b/>
                <w:bCs/>
                <w:color w:val="FF0000"/>
                <w:lang w:eastAsia="es-HN"/>
              </w:rPr>
            </w:pPr>
            <w:r w:rsidRPr="00D20199">
              <w:rPr>
                <w:rFonts w:ascii="Times New Roman" w:eastAsia="Times New Roman" w:hAnsi="Times New Roman" w:cs="Times New Roman"/>
                <w:b/>
                <w:bCs/>
                <w:color w:val="FF0000"/>
                <w:lang w:eastAsia="es-HN"/>
              </w:rPr>
              <w:t>-             35.2</w:t>
            </w:r>
          </w:p>
        </w:tc>
        <w:tc>
          <w:tcPr>
            <w:tcW w:w="1514" w:type="dxa"/>
            <w:tcBorders>
              <w:top w:val="nil"/>
              <w:left w:val="nil"/>
              <w:bottom w:val="nil"/>
              <w:right w:val="nil"/>
            </w:tcBorders>
            <w:shd w:val="clear" w:color="000000" w:fill="CAEDFB"/>
            <w:noWrap/>
            <w:vAlign w:val="bottom"/>
            <w:hideMark/>
          </w:tcPr>
          <w:p w14:paraId="6C43798D" w14:textId="76EBA9C1" w:rsidR="00D20199" w:rsidRPr="00D20199" w:rsidRDefault="00D20199" w:rsidP="006A11A8">
            <w:pPr>
              <w:widowControl/>
              <w:jc w:val="center"/>
              <w:rPr>
                <w:rFonts w:ascii="Times New Roman" w:eastAsia="Times New Roman" w:hAnsi="Times New Roman" w:cs="Times New Roman"/>
                <w:b/>
                <w:bCs/>
                <w:color w:val="FF0000"/>
                <w:lang w:eastAsia="es-HN"/>
              </w:rPr>
            </w:pPr>
            <w:r w:rsidRPr="00D20199">
              <w:rPr>
                <w:rFonts w:ascii="Times New Roman" w:eastAsia="Times New Roman" w:hAnsi="Times New Roman" w:cs="Times New Roman"/>
                <w:b/>
                <w:bCs/>
                <w:color w:val="FF0000"/>
                <w:lang w:eastAsia="es-HN"/>
              </w:rPr>
              <w:t>-             13.1</w:t>
            </w:r>
          </w:p>
        </w:tc>
      </w:tr>
    </w:tbl>
    <w:p w14:paraId="718E3700" w14:textId="77777777" w:rsidR="00F3758C" w:rsidRDefault="00F3758C" w:rsidP="00F3758C">
      <w:pPr>
        <w:pStyle w:val="TextoPrincipal"/>
        <w:spacing w:after="0" w:line="240" w:lineRule="auto"/>
        <w:jc w:val="left"/>
      </w:pPr>
    </w:p>
    <w:p w14:paraId="44A77F68" w14:textId="09A6BC48" w:rsidR="00F3758C" w:rsidRDefault="00F3758C" w:rsidP="0037253C">
      <w:pPr>
        <w:pStyle w:val="Fuentes"/>
        <w:rPr>
          <w:sz w:val="24"/>
          <w:szCs w:val="24"/>
          <w:lang w:val="es-HN"/>
        </w:rPr>
      </w:pPr>
      <w:r w:rsidRPr="0081027F">
        <w:rPr>
          <w:sz w:val="24"/>
          <w:szCs w:val="24"/>
          <w:lang w:val="es-HN"/>
        </w:rPr>
        <w:t xml:space="preserve">Fuente: Elaboración propia con datos de microfinanciera </w:t>
      </w:r>
      <w:r w:rsidR="00E5074B">
        <w:rPr>
          <w:sz w:val="24"/>
          <w:szCs w:val="24"/>
          <w:lang w:val="es-HN"/>
        </w:rPr>
        <w:t>“XYZ”</w:t>
      </w:r>
      <w:r>
        <w:rPr>
          <w:sz w:val="24"/>
          <w:szCs w:val="24"/>
          <w:lang w:val="es-HN"/>
        </w:rPr>
        <w:t>.</w:t>
      </w:r>
    </w:p>
    <w:p w14:paraId="3777F435" w14:textId="4FE8D75D" w:rsidR="00E72667" w:rsidRDefault="000A571F" w:rsidP="00715A50">
      <w:pPr>
        <w:pStyle w:val="Fuentes"/>
        <w:jc w:val="both"/>
      </w:pPr>
      <w:r w:rsidRPr="000A571F">
        <w:rPr>
          <w:sz w:val="24"/>
          <w:szCs w:val="24"/>
          <w:lang w:val="es-HN"/>
        </w:rPr>
        <w:t>Este indicador muestra la proporción de ingresos que, en el periodo evaluado, han sido convertidos en pérdidas para la institución. Esto evidencia una vez más que la IMF no está generando los ingresos suficientes para cubrir todos sus costos operativo</w:t>
      </w:r>
      <w:r w:rsidR="00644AA1">
        <w:rPr>
          <w:sz w:val="24"/>
          <w:szCs w:val="24"/>
          <w:lang w:val="es-HN"/>
        </w:rPr>
        <w:t>s.</w:t>
      </w:r>
    </w:p>
    <w:p w14:paraId="14568698" w14:textId="34067625" w:rsidR="00E72667" w:rsidRDefault="00E72667" w:rsidP="00272B2F">
      <w:pPr>
        <w:pStyle w:val="TextoPrincipal"/>
        <w:spacing w:line="360" w:lineRule="auto"/>
        <w:ind w:firstLine="0"/>
        <w:jc w:val="center"/>
      </w:pPr>
      <w:r>
        <w:rPr>
          <w:noProof/>
        </w:rPr>
        <w:lastRenderedPageBreak/>
        <w:drawing>
          <wp:inline distT="0" distB="0" distL="0" distR="0" wp14:anchorId="76EF459A" wp14:editId="544E0ED1">
            <wp:extent cx="4415790" cy="2979420"/>
            <wp:effectExtent l="0" t="0" r="3810" b="11430"/>
            <wp:docPr id="648553725" name="Gráfico 1">
              <a:extLst xmlns:a="http://schemas.openxmlformats.org/drawingml/2006/main">
                <a:ext uri="{FF2B5EF4-FFF2-40B4-BE49-F238E27FC236}">
                  <a16:creationId xmlns:a16="http://schemas.microsoft.com/office/drawing/2014/main" id="{26CC22B4-205D-1170-627B-A4ECD73AC057}"/>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14:paraId="48583E73" w14:textId="77777777" w:rsidR="008018E0" w:rsidRDefault="00F3758C" w:rsidP="008018E0">
      <w:pPr>
        <w:pStyle w:val="TextoPrincipal"/>
        <w:spacing w:after="0" w:line="360" w:lineRule="auto"/>
        <w:jc w:val="left"/>
      </w:pPr>
      <w:r w:rsidRPr="00E1470D">
        <w:t xml:space="preserve">Figura </w:t>
      </w:r>
      <w:r>
        <w:t>6</w:t>
      </w:r>
      <w:r w:rsidRPr="00E1470D">
        <w:t>.</w:t>
      </w:r>
      <w:r>
        <w:t xml:space="preserve"> Margen de Utilidad. </w:t>
      </w:r>
    </w:p>
    <w:p w14:paraId="516C2774" w14:textId="666C950F" w:rsidR="00F3758C" w:rsidRDefault="008018E0" w:rsidP="008018E0">
      <w:pPr>
        <w:pStyle w:val="TextoPrincipal"/>
        <w:spacing w:after="0" w:line="360" w:lineRule="auto"/>
        <w:jc w:val="left"/>
      </w:pPr>
      <w:r>
        <w:t xml:space="preserve">Fuente: </w:t>
      </w:r>
      <w:r w:rsidR="00F3758C" w:rsidRPr="00E1470D">
        <w:t xml:space="preserve">Elaboración propia con datos de microfinanciera </w:t>
      </w:r>
      <w:r w:rsidR="00E5074B">
        <w:t>“XYZ”</w:t>
      </w:r>
      <w:r w:rsidR="00F3758C" w:rsidRPr="00E1470D">
        <w:t>.</w:t>
      </w:r>
    </w:p>
    <w:p w14:paraId="5D60460C" w14:textId="395ED65A" w:rsidR="00F3758C" w:rsidRDefault="00743E04" w:rsidP="008018E0">
      <w:pPr>
        <w:pStyle w:val="TextoPrincipal"/>
        <w:spacing w:before="240" w:line="360" w:lineRule="auto"/>
      </w:pPr>
      <w:r w:rsidRPr="00743E04">
        <w:t xml:space="preserve">En la figura 6, se muestra que el peor margen obtenido fue en el año 2021, representado por un -136.6%. Esto significa que, por cada unidad monetaria de ingresos, la empresa perdió 1.36 unidades, reflejando el impacto de las situaciones externas previamente mencionadas que tuvo que enfrentar la IMF. A pesar de una mejora significativa en el nivel de ingresos y la reducción de pérdidas en los años 2022 y 2023, la institución no logra alcanzar un punto de equilibrio en el que no se generen </w:t>
      </w:r>
      <w:r w:rsidR="00644AA1">
        <w:t xml:space="preserve">más </w:t>
      </w:r>
      <w:r w:rsidRPr="00743E04">
        <w:t xml:space="preserve">pérdidas. Por lo tanto, es crucial que la IMF mejore los niveles de ingresos por intereses de la cartera crediticia, considerando que esta es su principal y única fuente de ingresos. Además, la IMF </w:t>
      </w:r>
      <w:r>
        <w:t xml:space="preserve">podría </w:t>
      </w:r>
      <w:r w:rsidRPr="00743E04">
        <w:t>considerar la reestructuración de sus operaciones, la reducción de costos y, posiblemente, la venta de activos no esenciales para mejorar su situación financiera.</w:t>
      </w:r>
    </w:p>
    <w:p w14:paraId="6B531B8D" w14:textId="77777777" w:rsidR="0037253C" w:rsidRPr="00715A50" w:rsidRDefault="0037253C" w:rsidP="00743E04">
      <w:pPr>
        <w:pStyle w:val="TextoPrincipal"/>
        <w:spacing w:before="240" w:line="360" w:lineRule="auto"/>
        <w:rPr>
          <w:lang w:val="pt-PT"/>
        </w:rPr>
      </w:pPr>
    </w:p>
    <w:p w14:paraId="57E9602D" w14:textId="77777777" w:rsidR="00B77490" w:rsidRPr="00B77490" w:rsidRDefault="00B77490" w:rsidP="00195CA2">
      <w:pPr>
        <w:pStyle w:val="Ttulo3"/>
        <w:spacing w:line="360" w:lineRule="auto"/>
        <w:ind w:left="0" w:firstLine="720"/>
      </w:pPr>
      <w:bookmarkStart w:id="280" w:name="_Toc166705827"/>
      <w:bookmarkStart w:id="281" w:name="_Toc175171432"/>
      <w:r w:rsidRPr="00B77490">
        <w:t>4.2.2. LIQUIDEZ</w:t>
      </w:r>
      <w:bookmarkEnd w:id="280"/>
      <w:bookmarkEnd w:id="281"/>
    </w:p>
    <w:p w14:paraId="2F1B7A23" w14:textId="77777777" w:rsidR="00B77490" w:rsidRPr="00B77490" w:rsidRDefault="00B77490" w:rsidP="00195CA2">
      <w:pPr>
        <w:spacing w:line="360" w:lineRule="auto"/>
        <w:ind w:firstLine="720"/>
        <w:jc w:val="both"/>
        <w:rPr>
          <w:rFonts w:ascii="Times New Roman" w:hAnsi="Times New Roman" w:cs="Times New Roman"/>
          <w:sz w:val="24"/>
          <w:szCs w:val="24"/>
        </w:rPr>
      </w:pPr>
      <w:r w:rsidRPr="00B77490">
        <w:rPr>
          <w:rFonts w:ascii="Times New Roman" w:hAnsi="Times New Roman" w:cs="Times New Roman"/>
          <w:sz w:val="24"/>
          <w:szCs w:val="24"/>
        </w:rPr>
        <w:t xml:space="preserve">La variable de liquidez, esencialmente, se trata de la facilidad con la que la empresa puede cumplir con sus obligaciones financieras a corto plazo, este indicador es fundamental para la salud financiera de la empresa, ya que le permite hacer frente a sus obligaciones financieras de corto plazo, así como el pago a sus proveedores, pagos de salarios y otras deudas a corto plazo. Un nivel </w:t>
      </w:r>
      <w:r w:rsidRPr="00B77490">
        <w:rPr>
          <w:rFonts w:ascii="Times New Roman" w:hAnsi="Times New Roman" w:cs="Times New Roman"/>
          <w:sz w:val="24"/>
          <w:szCs w:val="24"/>
        </w:rPr>
        <w:lastRenderedPageBreak/>
        <w:t xml:space="preserve">adecuado de liquidez también puede ser una señal de estabilidad financiera y capacidad para enfrentar imprevistos. </w:t>
      </w:r>
    </w:p>
    <w:p w14:paraId="4C2957BF" w14:textId="77777777" w:rsidR="00B77490" w:rsidRPr="00B77490" w:rsidRDefault="00B77490" w:rsidP="00195CA2">
      <w:pPr>
        <w:spacing w:line="360" w:lineRule="auto"/>
        <w:jc w:val="both"/>
        <w:rPr>
          <w:rFonts w:ascii="Times New Roman" w:hAnsi="Times New Roman" w:cs="Times New Roman"/>
          <w:sz w:val="24"/>
          <w:szCs w:val="24"/>
        </w:rPr>
      </w:pPr>
    </w:p>
    <w:p w14:paraId="69181BB7" w14:textId="77777777" w:rsidR="00B77490" w:rsidRPr="00B77490" w:rsidRDefault="00B77490" w:rsidP="00195CA2">
      <w:pPr>
        <w:pStyle w:val="Ttulo4"/>
        <w:spacing w:line="360" w:lineRule="auto"/>
        <w:ind w:left="0" w:firstLine="1440"/>
      </w:pPr>
      <w:bookmarkStart w:id="282" w:name="_Toc166705828"/>
      <w:bookmarkStart w:id="283" w:name="_Toc175171433"/>
      <w:r w:rsidRPr="00B77490">
        <w:t>4.2.2.1 DIMENSION DISPONIBILIDAD INMEDIATA</w:t>
      </w:r>
      <w:bookmarkEnd w:id="282"/>
      <w:bookmarkEnd w:id="283"/>
      <w:r w:rsidRPr="00B77490">
        <w:tab/>
      </w:r>
    </w:p>
    <w:p w14:paraId="5CEC39CF" w14:textId="77777777" w:rsidR="00B77490" w:rsidRPr="00B77490" w:rsidRDefault="00B77490" w:rsidP="00195CA2">
      <w:pPr>
        <w:spacing w:line="360" w:lineRule="auto"/>
        <w:ind w:firstLine="720"/>
        <w:jc w:val="both"/>
        <w:rPr>
          <w:rFonts w:ascii="Times New Roman" w:hAnsi="Times New Roman" w:cs="Times New Roman"/>
          <w:sz w:val="24"/>
          <w:szCs w:val="24"/>
        </w:rPr>
      </w:pPr>
      <w:r w:rsidRPr="00B77490">
        <w:rPr>
          <w:rFonts w:ascii="Times New Roman" w:hAnsi="Times New Roman" w:cs="Times New Roman"/>
          <w:sz w:val="24"/>
          <w:szCs w:val="24"/>
        </w:rPr>
        <w:t xml:space="preserve">La dimensión de disponibilidad inmediata se refiere a la capacidad de la empresa para convertir sus activos en efectivo de manera rápida y sin pérdida significativa de valor. Evaluar la disponibilidad inmediata es crucial para la gestión financiera de la empresa, ya que permite asegurar que esta pueda cubrir sus gastos operativos, pagar a proveedores y cumplir con otras obligaciones financieras sin incurrir en dificultades de liquidez, por lo que, se analizaran </w:t>
      </w:r>
      <w:proofErr w:type="gramStart"/>
      <w:r w:rsidRPr="00B77490">
        <w:rPr>
          <w:rFonts w:ascii="Times New Roman" w:hAnsi="Times New Roman" w:cs="Times New Roman"/>
          <w:sz w:val="24"/>
          <w:szCs w:val="24"/>
        </w:rPr>
        <w:t>el ratio</w:t>
      </w:r>
      <w:proofErr w:type="gramEnd"/>
      <w:r w:rsidRPr="00B77490">
        <w:rPr>
          <w:rFonts w:ascii="Times New Roman" w:hAnsi="Times New Roman" w:cs="Times New Roman"/>
          <w:sz w:val="24"/>
          <w:szCs w:val="24"/>
        </w:rPr>
        <w:t xml:space="preserve"> de liquidez, la prueba defensiva y el capital de trabajo.</w:t>
      </w:r>
    </w:p>
    <w:p w14:paraId="6D729D7A" w14:textId="77777777" w:rsidR="00B77490" w:rsidRPr="00B77490" w:rsidRDefault="00B77490" w:rsidP="00195CA2">
      <w:pPr>
        <w:spacing w:line="360" w:lineRule="auto"/>
        <w:jc w:val="both"/>
        <w:rPr>
          <w:rFonts w:ascii="Times New Roman" w:hAnsi="Times New Roman" w:cs="Times New Roman"/>
          <w:sz w:val="24"/>
          <w:szCs w:val="24"/>
        </w:rPr>
      </w:pPr>
    </w:p>
    <w:p w14:paraId="61104502" w14:textId="77777777" w:rsidR="00B77490" w:rsidRPr="00B77490" w:rsidRDefault="00B77490" w:rsidP="00195CA2">
      <w:pPr>
        <w:pStyle w:val="Ttulo5"/>
        <w:spacing w:line="360" w:lineRule="auto"/>
        <w:ind w:firstLine="1440"/>
        <w:rPr>
          <w:rFonts w:ascii="Times New Roman" w:hAnsi="Times New Roman" w:cs="Times New Roman"/>
          <w:b/>
          <w:bCs/>
          <w:color w:val="000000" w:themeColor="text1"/>
          <w:sz w:val="24"/>
          <w:szCs w:val="24"/>
        </w:rPr>
      </w:pPr>
      <w:bookmarkStart w:id="284" w:name="_Toc175171434"/>
      <w:r w:rsidRPr="00B77490">
        <w:rPr>
          <w:rFonts w:ascii="Times New Roman" w:hAnsi="Times New Roman" w:cs="Times New Roman"/>
          <w:b/>
          <w:bCs/>
          <w:color w:val="000000" w:themeColor="text1"/>
          <w:sz w:val="24"/>
          <w:szCs w:val="24"/>
        </w:rPr>
        <w:t>4.2.2.1.1. RATIO DE LIQUIDEZ</w:t>
      </w:r>
      <w:bookmarkEnd w:id="284"/>
      <w:r w:rsidRPr="00B77490">
        <w:rPr>
          <w:rFonts w:ascii="Times New Roman" w:hAnsi="Times New Roman" w:cs="Times New Roman"/>
          <w:b/>
          <w:bCs/>
          <w:color w:val="000000" w:themeColor="text1"/>
          <w:sz w:val="24"/>
          <w:szCs w:val="24"/>
        </w:rPr>
        <w:t xml:space="preserve"> </w:t>
      </w:r>
    </w:p>
    <w:p w14:paraId="483448F3" w14:textId="77777777" w:rsidR="00B77490" w:rsidRDefault="00B77490" w:rsidP="00195CA2">
      <w:pPr>
        <w:spacing w:line="360" w:lineRule="auto"/>
        <w:ind w:firstLine="720"/>
        <w:jc w:val="both"/>
        <w:rPr>
          <w:rFonts w:ascii="Times New Roman" w:hAnsi="Times New Roman" w:cs="Times New Roman"/>
          <w:sz w:val="24"/>
          <w:szCs w:val="24"/>
          <w:lang w:val="es-ES"/>
        </w:rPr>
      </w:pPr>
      <w:r w:rsidRPr="00B77490">
        <w:rPr>
          <w:rFonts w:ascii="Times New Roman" w:hAnsi="Times New Roman" w:cs="Times New Roman"/>
          <w:sz w:val="24"/>
          <w:szCs w:val="24"/>
          <w:lang w:val="es-ES"/>
        </w:rPr>
        <w:t xml:space="preserve">Este indicador financiero nos permite conocer la capacidad que tiene la empresa para cumplir con sus obligaciones financieras a corto plazo, haciendo uso de sus activos corrientes. </w:t>
      </w:r>
      <w:r w:rsidRPr="00B77490">
        <w:rPr>
          <w:rFonts w:ascii="Times New Roman" w:hAnsi="Times New Roman" w:cs="Times New Roman"/>
          <w:sz w:val="24"/>
          <w:szCs w:val="24"/>
        </w:rPr>
        <w:t xml:space="preserve">Los activos corrientes incluyen aquellos que se pueden convertir en efectivo en un año o menos, como efectivo y/o las cuentas por cobrar. Los pasivos corrientes son las obligaciones financieras que la empresa debe pagar en el mismo período de tiempo, como cuentas por pagar, deudas a corto plazo y otras obligaciones a corto plazo, </w:t>
      </w:r>
      <w:r w:rsidRPr="00B77490">
        <w:rPr>
          <w:rFonts w:ascii="Times New Roman" w:hAnsi="Times New Roman" w:cs="Times New Roman"/>
          <w:sz w:val="24"/>
          <w:szCs w:val="24"/>
          <w:lang w:val="es-ES"/>
        </w:rPr>
        <w:t>entre más alejado de uno (1) se encuentre más solvente es la empresa.</w:t>
      </w:r>
    </w:p>
    <w:p w14:paraId="173D81E5" w14:textId="31EC6113" w:rsidR="00A90B85" w:rsidRPr="00A90B85" w:rsidRDefault="00A90B85" w:rsidP="00A90B85">
      <w:pPr>
        <w:spacing w:line="360" w:lineRule="auto"/>
        <w:ind w:firstLine="720"/>
        <w:jc w:val="both"/>
        <w:rPr>
          <w:rFonts w:ascii="Times New Roman" w:hAnsi="Times New Roman" w:cs="Times New Roman"/>
          <w:sz w:val="24"/>
          <w:szCs w:val="24"/>
          <w:lang w:val="es-ES"/>
        </w:rPr>
      </w:pPr>
      <w:r w:rsidRPr="00A90B85">
        <w:rPr>
          <w:rFonts w:ascii="Times New Roman" w:hAnsi="Times New Roman" w:cs="Times New Roman"/>
          <w:sz w:val="24"/>
          <w:szCs w:val="24"/>
          <w:lang w:val="es-ES"/>
        </w:rPr>
        <w:t xml:space="preserve">Para determinar indicador de liquidez de la IMF </w:t>
      </w:r>
      <w:r w:rsidR="00E5074B">
        <w:rPr>
          <w:rFonts w:ascii="Times New Roman" w:hAnsi="Times New Roman" w:cs="Times New Roman"/>
          <w:sz w:val="24"/>
          <w:szCs w:val="24"/>
          <w:lang w:val="es-ES"/>
        </w:rPr>
        <w:t>“XYZ”</w:t>
      </w:r>
      <w:r w:rsidRPr="00A90B85">
        <w:rPr>
          <w:rFonts w:ascii="Times New Roman" w:hAnsi="Times New Roman" w:cs="Times New Roman"/>
          <w:sz w:val="24"/>
          <w:szCs w:val="24"/>
          <w:lang w:val="es-ES"/>
        </w:rPr>
        <w:t xml:space="preserve"> se utilizó la siguiente formula:</w:t>
      </w:r>
    </w:p>
    <w:p w14:paraId="6B7D585F" w14:textId="50CE6E8C" w:rsidR="009912A4" w:rsidRDefault="00A90B85" w:rsidP="00A90B85">
      <w:pPr>
        <w:spacing w:line="360" w:lineRule="auto"/>
        <w:ind w:firstLine="720"/>
        <w:jc w:val="both"/>
        <w:rPr>
          <w:rFonts w:ascii="Times New Roman" w:hAnsi="Times New Roman" w:cs="Times New Roman"/>
          <w:b/>
          <w:bCs/>
          <w:i/>
          <w:iCs/>
          <w:sz w:val="24"/>
          <w:szCs w:val="24"/>
          <w:lang w:val="es-ES"/>
        </w:rPr>
      </w:pPr>
      <w:r w:rsidRPr="00BA4F50">
        <w:rPr>
          <w:rFonts w:ascii="Times New Roman" w:hAnsi="Times New Roman" w:cs="Times New Roman"/>
          <w:b/>
          <w:bCs/>
          <w:i/>
          <w:iCs/>
          <w:sz w:val="24"/>
          <w:szCs w:val="24"/>
          <w:lang w:val="es-ES"/>
        </w:rPr>
        <w:t>Razón Corriente = Activo corriente / Pasivo corriente</w:t>
      </w:r>
    </w:p>
    <w:p w14:paraId="30CECA8F" w14:textId="77777777" w:rsidR="009A7F75" w:rsidRDefault="009A7F75" w:rsidP="00D13387">
      <w:pPr>
        <w:spacing w:line="360" w:lineRule="auto"/>
        <w:jc w:val="both"/>
        <w:rPr>
          <w:rFonts w:ascii="Times New Roman" w:hAnsi="Times New Roman" w:cs="Times New Roman"/>
          <w:sz w:val="24"/>
          <w:szCs w:val="24"/>
        </w:rPr>
      </w:pPr>
    </w:p>
    <w:p w14:paraId="568608E9" w14:textId="5802C5C5" w:rsidR="00D13387" w:rsidRDefault="009912A4" w:rsidP="0037253C">
      <w:pPr>
        <w:spacing w:line="360" w:lineRule="auto"/>
        <w:ind w:firstLine="720"/>
        <w:jc w:val="both"/>
        <w:rPr>
          <w:rFonts w:ascii="Times New Roman" w:hAnsi="Times New Roman" w:cs="Times New Roman"/>
          <w:sz w:val="24"/>
          <w:szCs w:val="24"/>
        </w:rPr>
      </w:pPr>
      <w:r w:rsidRPr="00B149BE">
        <w:rPr>
          <w:rFonts w:ascii="Times New Roman" w:hAnsi="Times New Roman" w:cs="Times New Roman"/>
          <w:sz w:val="24"/>
          <w:szCs w:val="24"/>
        </w:rPr>
        <w:t>Tabla</w:t>
      </w:r>
      <w:r w:rsidR="006255AA">
        <w:rPr>
          <w:rFonts w:ascii="Times New Roman" w:hAnsi="Times New Roman" w:cs="Times New Roman"/>
          <w:sz w:val="24"/>
          <w:szCs w:val="24"/>
        </w:rPr>
        <w:t xml:space="preserve"> </w:t>
      </w:r>
      <w:r w:rsidR="00957314">
        <w:rPr>
          <w:rFonts w:ascii="Times New Roman" w:hAnsi="Times New Roman" w:cs="Times New Roman"/>
          <w:sz w:val="24"/>
          <w:szCs w:val="24"/>
        </w:rPr>
        <w:t>7</w:t>
      </w:r>
      <w:r w:rsidRPr="00B149BE">
        <w:rPr>
          <w:rFonts w:ascii="Times New Roman" w:hAnsi="Times New Roman" w:cs="Times New Roman"/>
          <w:sz w:val="24"/>
          <w:szCs w:val="24"/>
        </w:rPr>
        <w:t xml:space="preserve">. </w:t>
      </w:r>
      <w:r w:rsidR="00957314">
        <w:rPr>
          <w:rFonts w:ascii="Times New Roman" w:hAnsi="Times New Roman" w:cs="Times New Roman"/>
          <w:sz w:val="24"/>
          <w:szCs w:val="24"/>
        </w:rPr>
        <w:t xml:space="preserve"> Ratio de Liquidez</w:t>
      </w:r>
      <w:r w:rsidRPr="00B149BE">
        <w:rPr>
          <w:rFonts w:ascii="Times New Roman" w:hAnsi="Times New Roman" w:cs="Times New Roman"/>
          <w:sz w:val="24"/>
          <w:szCs w:val="24"/>
        </w:rPr>
        <w:t xml:space="preserve"> </w:t>
      </w:r>
      <w:r w:rsidR="00B838D6">
        <w:rPr>
          <w:rFonts w:ascii="Times New Roman" w:hAnsi="Times New Roman" w:cs="Times New Roman"/>
          <w:sz w:val="24"/>
          <w:szCs w:val="24"/>
        </w:rPr>
        <w:t xml:space="preserve">en </w:t>
      </w:r>
      <w:r w:rsidRPr="00B149BE">
        <w:rPr>
          <w:rFonts w:ascii="Times New Roman" w:hAnsi="Times New Roman" w:cs="Times New Roman"/>
          <w:sz w:val="24"/>
          <w:szCs w:val="24"/>
        </w:rPr>
        <w:t xml:space="preserve">microfinanciera </w:t>
      </w:r>
      <w:r w:rsidR="00E5074B">
        <w:rPr>
          <w:rFonts w:ascii="Times New Roman" w:hAnsi="Times New Roman" w:cs="Times New Roman"/>
          <w:sz w:val="24"/>
          <w:szCs w:val="24"/>
        </w:rPr>
        <w:t>“XYZ”</w:t>
      </w:r>
      <w:r w:rsidRPr="00B149BE">
        <w:rPr>
          <w:rFonts w:ascii="Times New Roman" w:hAnsi="Times New Roman" w:cs="Times New Roman"/>
          <w:sz w:val="24"/>
          <w:szCs w:val="24"/>
        </w:rPr>
        <w:t xml:space="preserve"> periodo 2019-2023</w:t>
      </w:r>
    </w:p>
    <w:p w14:paraId="4804236E" w14:textId="77777777" w:rsidR="00B838D6" w:rsidRDefault="00B838D6" w:rsidP="00D13387">
      <w:pPr>
        <w:spacing w:line="360" w:lineRule="auto"/>
        <w:jc w:val="both"/>
        <w:rPr>
          <w:rFonts w:ascii="Times New Roman" w:hAnsi="Times New Roman" w:cs="Times New Roman"/>
          <w:sz w:val="24"/>
          <w:szCs w:val="24"/>
          <w:lang w:val="es-ES"/>
        </w:rPr>
      </w:pPr>
    </w:p>
    <w:tbl>
      <w:tblPr>
        <w:tblW w:w="9481" w:type="dxa"/>
        <w:tblCellMar>
          <w:left w:w="70" w:type="dxa"/>
          <w:right w:w="70" w:type="dxa"/>
        </w:tblCellMar>
        <w:tblLook w:val="04A0" w:firstRow="1" w:lastRow="0" w:firstColumn="1" w:lastColumn="0" w:noHBand="0" w:noVBand="1"/>
      </w:tblPr>
      <w:tblGrid>
        <w:gridCol w:w="1787"/>
        <w:gridCol w:w="284"/>
        <w:gridCol w:w="1482"/>
        <w:gridCol w:w="1482"/>
        <w:gridCol w:w="1482"/>
        <w:gridCol w:w="1482"/>
        <w:gridCol w:w="1482"/>
      </w:tblGrid>
      <w:tr w:rsidR="00D13387" w:rsidRPr="00D13387" w14:paraId="43E8B3B5" w14:textId="77777777" w:rsidTr="00957314">
        <w:trPr>
          <w:trHeight w:val="257"/>
        </w:trPr>
        <w:tc>
          <w:tcPr>
            <w:tcW w:w="1787" w:type="dxa"/>
            <w:tcBorders>
              <w:top w:val="nil"/>
              <w:left w:val="nil"/>
              <w:bottom w:val="nil"/>
              <w:right w:val="nil"/>
            </w:tcBorders>
            <w:shd w:val="clear" w:color="auto" w:fill="auto"/>
            <w:noWrap/>
            <w:vAlign w:val="bottom"/>
            <w:hideMark/>
          </w:tcPr>
          <w:p w14:paraId="79873A4B" w14:textId="77777777" w:rsidR="00D13387" w:rsidRPr="00D13387" w:rsidRDefault="00D13387" w:rsidP="00D13387">
            <w:pPr>
              <w:widowControl/>
              <w:rPr>
                <w:rFonts w:ascii="Times New Roman" w:eastAsia="Times New Roman" w:hAnsi="Times New Roman" w:cs="Times New Roman"/>
                <w:sz w:val="24"/>
                <w:szCs w:val="24"/>
                <w:lang w:eastAsia="es-HN"/>
              </w:rPr>
            </w:pPr>
          </w:p>
        </w:tc>
        <w:tc>
          <w:tcPr>
            <w:tcW w:w="284" w:type="dxa"/>
            <w:tcBorders>
              <w:top w:val="nil"/>
              <w:left w:val="nil"/>
              <w:bottom w:val="nil"/>
              <w:right w:val="nil"/>
            </w:tcBorders>
            <w:shd w:val="clear" w:color="auto" w:fill="auto"/>
            <w:noWrap/>
            <w:vAlign w:val="bottom"/>
            <w:hideMark/>
          </w:tcPr>
          <w:p w14:paraId="53D44AF4" w14:textId="77777777" w:rsidR="00D13387" w:rsidRPr="00D13387" w:rsidRDefault="00D13387" w:rsidP="00D13387">
            <w:pPr>
              <w:widowControl/>
              <w:rPr>
                <w:rFonts w:ascii="Times New Roman" w:eastAsia="Times New Roman" w:hAnsi="Times New Roman" w:cs="Times New Roman"/>
                <w:sz w:val="20"/>
                <w:szCs w:val="20"/>
                <w:lang w:eastAsia="es-HN"/>
              </w:rPr>
            </w:pPr>
          </w:p>
        </w:tc>
        <w:tc>
          <w:tcPr>
            <w:tcW w:w="1482" w:type="dxa"/>
            <w:tcBorders>
              <w:top w:val="nil"/>
              <w:left w:val="nil"/>
              <w:bottom w:val="nil"/>
              <w:right w:val="nil"/>
            </w:tcBorders>
            <w:shd w:val="clear" w:color="auto" w:fill="auto"/>
            <w:noWrap/>
            <w:vAlign w:val="bottom"/>
            <w:hideMark/>
          </w:tcPr>
          <w:p w14:paraId="124C53D3" w14:textId="77777777" w:rsidR="00D13387" w:rsidRPr="00D13387" w:rsidRDefault="00D13387" w:rsidP="00D13387">
            <w:pPr>
              <w:widowControl/>
              <w:jc w:val="center"/>
              <w:rPr>
                <w:rFonts w:ascii="Times New Roman" w:eastAsia="Times New Roman" w:hAnsi="Times New Roman" w:cs="Times New Roman"/>
                <w:b/>
                <w:bCs/>
                <w:color w:val="000000"/>
                <w:lang w:eastAsia="es-HN"/>
              </w:rPr>
            </w:pPr>
            <w:r w:rsidRPr="00D13387">
              <w:rPr>
                <w:rFonts w:ascii="Times New Roman" w:eastAsia="Times New Roman" w:hAnsi="Times New Roman" w:cs="Times New Roman"/>
                <w:b/>
                <w:bCs/>
                <w:color w:val="000000"/>
                <w:lang w:eastAsia="es-HN"/>
              </w:rPr>
              <w:t>2019</w:t>
            </w:r>
          </w:p>
        </w:tc>
        <w:tc>
          <w:tcPr>
            <w:tcW w:w="1482" w:type="dxa"/>
            <w:tcBorders>
              <w:top w:val="nil"/>
              <w:left w:val="nil"/>
              <w:bottom w:val="nil"/>
              <w:right w:val="nil"/>
            </w:tcBorders>
            <w:shd w:val="clear" w:color="auto" w:fill="auto"/>
            <w:noWrap/>
            <w:vAlign w:val="bottom"/>
            <w:hideMark/>
          </w:tcPr>
          <w:p w14:paraId="15388FAF" w14:textId="77777777" w:rsidR="00D13387" w:rsidRPr="00D13387" w:rsidRDefault="00D13387" w:rsidP="00D13387">
            <w:pPr>
              <w:widowControl/>
              <w:jc w:val="center"/>
              <w:rPr>
                <w:rFonts w:ascii="Times New Roman" w:eastAsia="Times New Roman" w:hAnsi="Times New Roman" w:cs="Times New Roman"/>
                <w:b/>
                <w:bCs/>
                <w:color w:val="000000"/>
                <w:lang w:eastAsia="es-HN"/>
              </w:rPr>
            </w:pPr>
            <w:r w:rsidRPr="00D13387">
              <w:rPr>
                <w:rFonts w:ascii="Times New Roman" w:eastAsia="Times New Roman" w:hAnsi="Times New Roman" w:cs="Times New Roman"/>
                <w:b/>
                <w:bCs/>
                <w:color w:val="000000"/>
                <w:lang w:eastAsia="es-HN"/>
              </w:rPr>
              <w:t>2020</w:t>
            </w:r>
          </w:p>
        </w:tc>
        <w:tc>
          <w:tcPr>
            <w:tcW w:w="1482" w:type="dxa"/>
            <w:tcBorders>
              <w:top w:val="nil"/>
              <w:left w:val="nil"/>
              <w:bottom w:val="nil"/>
              <w:right w:val="nil"/>
            </w:tcBorders>
            <w:shd w:val="clear" w:color="auto" w:fill="auto"/>
            <w:noWrap/>
            <w:vAlign w:val="bottom"/>
            <w:hideMark/>
          </w:tcPr>
          <w:p w14:paraId="35ECF1BC" w14:textId="77777777" w:rsidR="00D13387" w:rsidRPr="00D13387" w:rsidRDefault="00D13387" w:rsidP="00D13387">
            <w:pPr>
              <w:widowControl/>
              <w:jc w:val="center"/>
              <w:rPr>
                <w:rFonts w:ascii="Times New Roman" w:eastAsia="Times New Roman" w:hAnsi="Times New Roman" w:cs="Times New Roman"/>
                <w:b/>
                <w:bCs/>
                <w:color w:val="000000"/>
                <w:lang w:eastAsia="es-HN"/>
              </w:rPr>
            </w:pPr>
            <w:r w:rsidRPr="00D13387">
              <w:rPr>
                <w:rFonts w:ascii="Times New Roman" w:eastAsia="Times New Roman" w:hAnsi="Times New Roman" w:cs="Times New Roman"/>
                <w:b/>
                <w:bCs/>
                <w:color w:val="000000"/>
                <w:lang w:eastAsia="es-HN"/>
              </w:rPr>
              <w:t>2021</w:t>
            </w:r>
          </w:p>
        </w:tc>
        <w:tc>
          <w:tcPr>
            <w:tcW w:w="1482" w:type="dxa"/>
            <w:tcBorders>
              <w:top w:val="nil"/>
              <w:left w:val="nil"/>
              <w:bottom w:val="nil"/>
              <w:right w:val="nil"/>
            </w:tcBorders>
            <w:shd w:val="clear" w:color="auto" w:fill="auto"/>
            <w:noWrap/>
            <w:vAlign w:val="bottom"/>
            <w:hideMark/>
          </w:tcPr>
          <w:p w14:paraId="5E0285DF" w14:textId="77777777" w:rsidR="00D13387" w:rsidRPr="00D13387" w:rsidRDefault="00D13387" w:rsidP="00D13387">
            <w:pPr>
              <w:widowControl/>
              <w:jc w:val="center"/>
              <w:rPr>
                <w:rFonts w:ascii="Times New Roman" w:eastAsia="Times New Roman" w:hAnsi="Times New Roman" w:cs="Times New Roman"/>
                <w:b/>
                <w:bCs/>
                <w:color w:val="000000"/>
                <w:lang w:eastAsia="es-HN"/>
              </w:rPr>
            </w:pPr>
            <w:r w:rsidRPr="00D13387">
              <w:rPr>
                <w:rFonts w:ascii="Times New Roman" w:eastAsia="Times New Roman" w:hAnsi="Times New Roman" w:cs="Times New Roman"/>
                <w:b/>
                <w:bCs/>
                <w:color w:val="000000"/>
                <w:lang w:eastAsia="es-HN"/>
              </w:rPr>
              <w:t>2022</w:t>
            </w:r>
          </w:p>
        </w:tc>
        <w:tc>
          <w:tcPr>
            <w:tcW w:w="1482" w:type="dxa"/>
            <w:tcBorders>
              <w:top w:val="nil"/>
              <w:left w:val="nil"/>
              <w:bottom w:val="nil"/>
              <w:right w:val="nil"/>
            </w:tcBorders>
            <w:shd w:val="clear" w:color="auto" w:fill="auto"/>
            <w:noWrap/>
            <w:vAlign w:val="bottom"/>
            <w:hideMark/>
          </w:tcPr>
          <w:p w14:paraId="21D6AE48" w14:textId="77777777" w:rsidR="00D13387" w:rsidRPr="00D13387" w:rsidRDefault="00D13387" w:rsidP="00D13387">
            <w:pPr>
              <w:widowControl/>
              <w:jc w:val="center"/>
              <w:rPr>
                <w:rFonts w:ascii="Times New Roman" w:eastAsia="Times New Roman" w:hAnsi="Times New Roman" w:cs="Times New Roman"/>
                <w:b/>
                <w:bCs/>
                <w:color w:val="000000"/>
                <w:lang w:eastAsia="es-HN"/>
              </w:rPr>
            </w:pPr>
            <w:r w:rsidRPr="00D13387">
              <w:rPr>
                <w:rFonts w:ascii="Times New Roman" w:eastAsia="Times New Roman" w:hAnsi="Times New Roman" w:cs="Times New Roman"/>
                <w:b/>
                <w:bCs/>
                <w:color w:val="000000"/>
                <w:lang w:eastAsia="es-HN"/>
              </w:rPr>
              <w:t>2023</w:t>
            </w:r>
          </w:p>
        </w:tc>
      </w:tr>
      <w:tr w:rsidR="00D13387" w:rsidRPr="00D13387" w14:paraId="24A3531B" w14:textId="77777777" w:rsidTr="00957314">
        <w:trPr>
          <w:trHeight w:val="257"/>
        </w:trPr>
        <w:tc>
          <w:tcPr>
            <w:tcW w:w="1787" w:type="dxa"/>
            <w:vMerge w:val="restart"/>
            <w:tcBorders>
              <w:top w:val="nil"/>
              <w:left w:val="nil"/>
              <w:bottom w:val="nil"/>
              <w:right w:val="nil"/>
            </w:tcBorders>
            <w:shd w:val="clear" w:color="auto" w:fill="auto"/>
            <w:noWrap/>
            <w:vAlign w:val="center"/>
            <w:hideMark/>
          </w:tcPr>
          <w:p w14:paraId="5142FF65" w14:textId="77777777" w:rsidR="00D13387" w:rsidRPr="00D13387" w:rsidRDefault="00D13387" w:rsidP="00D13387">
            <w:pPr>
              <w:widowControl/>
              <w:jc w:val="center"/>
              <w:rPr>
                <w:rFonts w:ascii="Times New Roman" w:eastAsia="Times New Roman" w:hAnsi="Times New Roman" w:cs="Times New Roman"/>
                <w:b/>
                <w:bCs/>
                <w:color w:val="000000"/>
                <w:lang w:eastAsia="es-HN"/>
              </w:rPr>
            </w:pPr>
            <w:r w:rsidRPr="00D13387">
              <w:rPr>
                <w:rFonts w:ascii="Times New Roman" w:eastAsia="Times New Roman" w:hAnsi="Times New Roman" w:cs="Times New Roman"/>
                <w:b/>
                <w:bCs/>
                <w:color w:val="000000"/>
                <w:lang w:eastAsia="es-HN"/>
              </w:rPr>
              <w:t>Ratio de Liquidez</w:t>
            </w:r>
          </w:p>
        </w:tc>
        <w:tc>
          <w:tcPr>
            <w:tcW w:w="284" w:type="dxa"/>
            <w:vMerge w:val="restart"/>
            <w:tcBorders>
              <w:top w:val="nil"/>
              <w:left w:val="nil"/>
              <w:bottom w:val="nil"/>
              <w:right w:val="nil"/>
            </w:tcBorders>
            <w:shd w:val="clear" w:color="auto" w:fill="auto"/>
            <w:noWrap/>
            <w:vAlign w:val="center"/>
            <w:hideMark/>
          </w:tcPr>
          <w:p w14:paraId="124C9AF7" w14:textId="77777777" w:rsidR="00D13387" w:rsidRPr="00D13387" w:rsidRDefault="00D13387" w:rsidP="00D13387">
            <w:pPr>
              <w:widowControl/>
              <w:jc w:val="center"/>
              <w:rPr>
                <w:rFonts w:ascii="Times New Roman" w:eastAsia="Times New Roman" w:hAnsi="Times New Roman" w:cs="Times New Roman"/>
                <w:color w:val="000000"/>
                <w:lang w:eastAsia="es-HN"/>
              </w:rPr>
            </w:pPr>
            <w:r w:rsidRPr="00D13387">
              <w:rPr>
                <w:rFonts w:ascii="Times New Roman" w:eastAsia="Times New Roman" w:hAnsi="Times New Roman" w:cs="Times New Roman"/>
                <w:color w:val="000000"/>
                <w:lang w:eastAsia="es-HN"/>
              </w:rPr>
              <w:t>=</w:t>
            </w:r>
          </w:p>
        </w:tc>
        <w:tc>
          <w:tcPr>
            <w:tcW w:w="1482" w:type="dxa"/>
            <w:tcBorders>
              <w:top w:val="nil"/>
              <w:left w:val="nil"/>
              <w:bottom w:val="single" w:sz="4" w:space="0" w:color="auto"/>
              <w:right w:val="nil"/>
            </w:tcBorders>
            <w:shd w:val="clear" w:color="auto" w:fill="auto"/>
            <w:noWrap/>
            <w:vAlign w:val="bottom"/>
            <w:hideMark/>
          </w:tcPr>
          <w:p w14:paraId="1FE19DF8" w14:textId="77777777" w:rsidR="00D13387" w:rsidRPr="00D13387" w:rsidRDefault="00D13387" w:rsidP="00D13387">
            <w:pPr>
              <w:widowControl/>
              <w:rPr>
                <w:rFonts w:ascii="Times New Roman" w:eastAsia="Times New Roman" w:hAnsi="Times New Roman" w:cs="Times New Roman"/>
                <w:color w:val="000000"/>
                <w:lang w:eastAsia="es-HN"/>
              </w:rPr>
            </w:pPr>
            <w:r w:rsidRPr="00D13387">
              <w:rPr>
                <w:rFonts w:ascii="Times New Roman" w:eastAsia="Times New Roman" w:hAnsi="Times New Roman" w:cs="Times New Roman"/>
                <w:color w:val="000000"/>
                <w:lang w:eastAsia="es-HN"/>
              </w:rPr>
              <w:t xml:space="preserve">        710,085,975 </w:t>
            </w:r>
          </w:p>
        </w:tc>
        <w:tc>
          <w:tcPr>
            <w:tcW w:w="1482" w:type="dxa"/>
            <w:tcBorders>
              <w:top w:val="nil"/>
              <w:left w:val="nil"/>
              <w:bottom w:val="single" w:sz="4" w:space="0" w:color="auto"/>
              <w:right w:val="nil"/>
            </w:tcBorders>
            <w:shd w:val="clear" w:color="auto" w:fill="auto"/>
            <w:noWrap/>
            <w:vAlign w:val="bottom"/>
            <w:hideMark/>
          </w:tcPr>
          <w:p w14:paraId="2D75FB53" w14:textId="77777777" w:rsidR="00D13387" w:rsidRPr="00D13387" w:rsidRDefault="00D13387" w:rsidP="00D13387">
            <w:pPr>
              <w:widowControl/>
              <w:rPr>
                <w:rFonts w:ascii="Times New Roman" w:eastAsia="Times New Roman" w:hAnsi="Times New Roman" w:cs="Times New Roman"/>
                <w:color w:val="000000"/>
                <w:lang w:eastAsia="es-HN"/>
              </w:rPr>
            </w:pPr>
            <w:r w:rsidRPr="00D13387">
              <w:rPr>
                <w:rFonts w:ascii="Times New Roman" w:eastAsia="Times New Roman" w:hAnsi="Times New Roman" w:cs="Times New Roman"/>
                <w:color w:val="000000"/>
                <w:lang w:eastAsia="es-HN"/>
              </w:rPr>
              <w:t xml:space="preserve">        498,786,870 </w:t>
            </w:r>
          </w:p>
        </w:tc>
        <w:tc>
          <w:tcPr>
            <w:tcW w:w="1482" w:type="dxa"/>
            <w:tcBorders>
              <w:top w:val="nil"/>
              <w:left w:val="nil"/>
              <w:bottom w:val="single" w:sz="4" w:space="0" w:color="auto"/>
              <w:right w:val="nil"/>
            </w:tcBorders>
            <w:shd w:val="clear" w:color="auto" w:fill="auto"/>
            <w:noWrap/>
            <w:vAlign w:val="bottom"/>
            <w:hideMark/>
          </w:tcPr>
          <w:p w14:paraId="22377CE4" w14:textId="77777777" w:rsidR="00D13387" w:rsidRPr="00D13387" w:rsidRDefault="00D13387" w:rsidP="00D13387">
            <w:pPr>
              <w:widowControl/>
              <w:rPr>
                <w:rFonts w:ascii="Times New Roman" w:eastAsia="Times New Roman" w:hAnsi="Times New Roman" w:cs="Times New Roman"/>
                <w:color w:val="000000"/>
                <w:lang w:eastAsia="es-HN"/>
              </w:rPr>
            </w:pPr>
            <w:r w:rsidRPr="00D13387">
              <w:rPr>
                <w:rFonts w:ascii="Times New Roman" w:eastAsia="Times New Roman" w:hAnsi="Times New Roman" w:cs="Times New Roman"/>
                <w:color w:val="000000"/>
                <w:lang w:eastAsia="es-HN"/>
              </w:rPr>
              <w:t xml:space="preserve">        343,455,300 </w:t>
            </w:r>
          </w:p>
        </w:tc>
        <w:tc>
          <w:tcPr>
            <w:tcW w:w="1482" w:type="dxa"/>
            <w:tcBorders>
              <w:top w:val="nil"/>
              <w:left w:val="nil"/>
              <w:bottom w:val="single" w:sz="4" w:space="0" w:color="auto"/>
              <w:right w:val="nil"/>
            </w:tcBorders>
            <w:shd w:val="clear" w:color="auto" w:fill="auto"/>
            <w:noWrap/>
            <w:vAlign w:val="bottom"/>
            <w:hideMark/>
          </w:tcPr>
          <w:p w14:paraId="45BEF338" w14:textId="77777777" w:rsidR="00D13387" w:rsidRPr="00D13387" w:rsidRDefault="00D13387" w:rsidP="00D13387">
            <w:pPr>
              <w:widowControl/>
              <w:rPr>
                <w:rFonts w:ascii="Times New Roman" w:eastAsia="Times New Roman" w:hAnsi="Times New Roman" w:cs="Times New Roman"/>
                <w:color w:val="000000"/>
                <w:lang w:eastAsia="es-HN"/>
              </w:rPr>
            </w:pPr>
            <w:r w:rsidRPr="00D13387">
              <w:rPr>
                <w:rFonts w:ascii="Times New Roman" w:eastAsia="Times New Roman" w:hAnsi="Times New Roman" w:cs="Times New Roman"/>
                <w:color w:val="000000"/>
                <w:lang w:eastAsia="es-HN"/>
              </w:rPr>
              <w:t xml:space="preserve">        347,622,338 </w:t>
            </w:r>
          </w:p>
        </w:tc>
        <w:tc>
          <w:tcPr>
            <w:tcW w:w="1482" w:type="dxa"/>
            <w:tcBorders>
              <w:top w:val="nil"/>
              <w:left w:val="nil"/>
              <w:bottom w:val="single" w:sz="4" w:space="0" w:color="auto"/>
              <w:right w:val="nil"/>
            </w:tcBorders>
            <w:shd w:val="clear" w:color="auto" w:fill="auto"/>
            <w:noWrap/>
            <w:vAlign w:val="bottom"/>
            <w:hideMark/>
          </w:tcPr>
          <w:p w14:paraId="4985949E" w14:textId="77777777" w:rsidR="00D13387" w:rsidRPr="00D13387" w:rsidRDefault="00D13387" w:rsidP="00D13387">
            <w:pPr>
              <w:widowControl/>
              <w:rPr>
                <w:rFonts w:ascii="Times New Roman" w:eastAsia="Times New Roman" w:hAnsi="Times New Roman" w:cs="Times New Roman"/>
                <w:color w:val="000000"/>
                <w:lang w:eastAsia="es-HN"/>
              </w:rPr>
            </w:pPr>
            <w:r w:rsidRPr="00D13387">
              <w:rPr>
                <w:rFonts w:ascii="Times New Roman" w:eastAsia="Times New Roman" w:hAnsi="Times New Roman" w:cs="Times New Roman"/>
                <w:color w:val="000000"/>
                <w:lang w:eastAsia="es-HN"/>
              </w:rPr>
              <w:t xml:space="preserve">        342,387,687 </w:t>
            </w:r>
          </w:p>
        </w:tc>
      </w:tr>
      <w:tr w:rsidR="00D13387" w:rsidRPr="00D13387" w14:paraId="4987CE8F" w14:textId="77777777" w:rsidTr="00957314">
        <w:trPr>
          <w:trHeight w:val="257"/>
        </w:trPr>
        <w:tc>
          <w:tcPr>
            <w:tcW w:w="1787" w:type="dxa"/>
            <w:vMerge/>
            <w:tcBorders>
              <w:top w:val="nil"/>
              <w:left w:val="nil"/>
              <w:bottom w:val="nil"/>
              <w:right w:val="nil"/>
            </w:tcBorders>
            <w:vAlign w:val="center"/>
            <w:hideMark/>
          </w:tcPr>
          <w:p w14:paraId="28B80741" w14:textId="77777777" w:rsidR="00D13387" w:rsidRPr="00D13387" w:rsidRDefault="00D13387" w:rsidP="00D13387">
            <w:pPr>
              <w:widowControl/>
              <w:rPr>
                <w:rFonts w:ascii="Times New Roman" w:eastAsia="Times New Roman" w:hAnsi="Times New Roman" w:cs="Times New Roman"/>
                <w:b/>
                <w:bCs/>
                <w:color w:val="000000"/>
                <w:lang w:eastAsia="es-HN"/>
              </w:rPr>
            </w:pPr>
          </w:p>
        </w:tc>
        <w:tc>
          <w:tcPr>
            <w:tcW w:w="284" w:type="dxa"/>
            <w:vMerge/>
            <w:tcBorders>
              <w:top w:val="nil"/>
              <w:left w:val="nil"/>
              <w:bottom w:val="nil"/>
              <w:right w:val="nil"/>
            </w:tcBorders>
            <w:vAlign w:val="center"/>
            <w:hideMark/>
          </w:tcPr>
          <w:p w14:paraId="36FB174A" w14:textId="77777777" w:rsidR="00D13387" w:rsidRPr="00D13387" w:rsidRDefault="00D13387" w:rsidP="00D13387">
            <w:pPr>
              <w:widowControl/>
              <w:rPr>
                <w:rFonts w:ascii="Times New Roman" w:eastAsia="Times New Roman" w:hAnsi="Times New Roman" w:cs="Times New Roman"/>
                <w:color w:val="000000"/>
                <w:lang w:eastAsia="es-HN"/>
              </w:rPr>
            </w:pPr>
          </w:p>
        </w:tc>
        <w:tc>
          <w:tcPr>
            <w:tcW w:w="1482" w:type="dxa"/>
            <w:tcBorders>
              <w:top w:val="nil"/>
              <w:left w:val="nil"/>
              <w:bottom w:val="nil"/>
              <w:right w:val="nil"/>
            </w:tcBorders>
            <w:shd w:val="clear" w:color="auto" w:fill="auto"/>
            <w:noWrap/>
            <w:vAlign w:val="bottom"/>
            <w:hideMark/>
          </w:tcPr>
          <w:p w14:paraId="59B94115" w14:textId="77777777" w:rsidR="00D13387" w:rsidRPr="00D13387" w:rsidRDefault="00D13387" w:rsidP="00D13387">
            <w:pPr>
              <w:widowControl/>
              <w:rPr>
                <w:rFonts w:ascii="Times New Roman" w:eastAsia="Times New Roman" w:hAnsi="Times New Roman" w:cs="Times New Roman"/>
                <w:color w:val="000000"/>
                <w:lang w:eastAsia="es-HN"/>
              </w:rPr>
            </w:pPr>
            <w:r w:rsidRPr="00D13387">
              <w:rPr>
                <w:rFonts w:ascii="Times New Roman" w:eastAsia="Times New Roman" w:hAnsi="Times New Roman" w:cs="Times New Roman"/>
                <w:color w:val="000000"/>
                <w:lang w:eastAsia="es-HN"/>
              </w:rPr>
              <w:t xml:space="preserve">        235,880,121 </w:t>
            </w:r>
          </w:p>
        </w:tc>
        <w:tc>
          <w:tcPr>
            <w:tcW w:w="1482" w:type="dxa"/>
            <w:tcBorders>
              <w:top w:val="nil"/>
              <w:left w:val="nil"/>
              <w:bottom w:val="nil"/>
              <w:right w:val="nil"/>
            </w:tcBorders>
            <w:shd w:val="clear" w:color="auto" w:fill="auto"/>
            <w:noWrap/>
            <w:vAlign w:val="bottom"/>
            <w:hideMark/>
          </w:tcPr>
          <w:p w14:paraId="33029C3F" w14:textId="77777777" w:rsidR="00D13387" w:rsidRPr="00D13387" w:rsidRDefault="00D13387" w:rsidP="00D13387">
            <w:pPr>
              <w:widowControl/>
              <w:rPr>
                <w:rFonts w:ascii="Times New Roman" w:eastAsia="Times New Roman" w:hAnsi="Times New Roman" w:cs="Times New Roman"/>
                <w:color w:val="000000"/>
                <w:lang w:eastAsia="es-HN"/>
              </w:rPr>
            </w:pPr>
            <w:r w:rsidRPr="00D13387">
              <w:rPr>
                <w:rFonts w:ascii="Times New Roman" w:eastAsia="Times New Roman" w:hAnsi="Times New Roman" w:cs="Times New Roman"/>
                <w:color w:val="000000"/>
                <w:lang w:eastAsia="es-HN"/>
              </w:rPr>
              <w:t xml:space="preserve">        303,917,383 </w:t>
            </w:r>
          </w:p>
        </w:tc>
        <w:tc>
          <w:tcPr>
            <w:tcW w:w="1482" w:type="dxa"/>
            <w:tcBorders>
              <w:top w:val="nil"/>
              <w:left w:val="nil"/>
              <w:bottom w:val="nil"/>
              <w:right w:val="nil"/>
            </w:tcBorders>
            <w:shd w:val="clear" w:color="auto" w:fill="auto"/>
            <w:noWrap/>
            <w:vAlign w:val="bottom"/>
            <w:hideMark/>
          </w:tcPr>
          <w:p w14:paraId="0630D9A8" w14:textId="77777777" w:rsidR="00D13387" w:rsidRPr="00D13387" w:rsidRDefault="00D13387" w:rsidP="00D13387">
            <w:pPr>
              <w:widowControl/>
              <w:rPr>
                <w:rFonts w:ascii="Times New Roman" w:eastAsia="Times New Roman" w:hAnsi="Times New Roman" w:cs="Times New Roman"/>
                <w:color w:val="000000"/>
                <w:lang w:eastAsia="es-HN"/>
              </w:rPr>
            </w:pPr>
            <w:r w:rsidRPr="00D13387">
              <w:rPr>
                <w:rFonts w:ascii="Times New Roman" w:eastAsia="Times New Roman" w:hAnsi="Times New Roman" w:cs="Times New Roman"/>
                <w:color w:val="000000"/>
                <w:lang w:eastAsia="es-HN"/>
              </w:rPr>
              <w:t xml:space="preserve">        272,775,460 </w:t>
            </w:r>
          </w:p>
        </w:tc>
        <w:tc>
          <w:tcPr>
            <w:tcW w:w="1482" w:type="dxa"/>
            <w:tcBorders>
              <w:top w:val="nil"/>
              <w:left w:val="nil"/>
              <w:bottom w:val="nil"/>
              <w:right w:val="nil"/>
            </w:tcBorders>
            <w:shd w:val="clear" w:color="auto" w:fill="auto"/>
            <w:noWrap/>
            <w:vAlign w:val="bottom"/>
            <w:hideMark/>
          </w:tcPr>
          <w:p w14:paraId="1B1AC16C" w14:textId="77777777" w:rsidR="00D13387" w:rsidRPr="00D13387" w:rsidRDefault="00D13387" w:rsidP="00D13387">
            <w:pPr>
              <w:widowControl/>
              <w:rPr>
                <w:rFonts w:ascii="Times New Roman" w:eastAsia="Times New Roman" w:hAnsi="Times New Roman" w:cs="Times New Roman"/>
                <w:color w:val="000000"/>
                <w:lang w:eastAsia="es-HN"/>
              </w:rPr>
            </w:pPr>
            <w:r w:rsidRPr="00D13387">
              <w:rPr>
                <w:rFonts w:ascii="Times New Roman" w:eastAsia="Times New Roman" w:hAnsi="Times New Roman" w:cs="Times New Roman"/>
                <w:color w:val="000000"/>
                <w:lang w:eastAsia="es-HN"/>
              </w:rPr>
              <w:t xml:space="preserve">        190,816,861 </w:t>
            </w:r>
          </w:p>
        </w:tc>
        <w:tc>
          <w:tcPr>
            <w:tcW w:w="1482" w:type="dxa"/>
            <w:tcBorders>
              <w:top w:val="nil"/>
              <w:left w:val="nil"/>
              <w:bottom w:val="nil"/>
              <w:right w:val="nil"/>
            </w:tcBorders>
            <w:shd w:val="clear" w:color="auto" w:fill="auto"/>
            <w:noWrap/>
            <w:vAlign w:val="bottom"/>
            <w:hideMark/>
          </w:tcPr>
          <w:p w14:paraId="6C7B1955" w14:textId="77777777" w:rsidR="00D13387" w:rsidRPr="00D13387" w:rsidRDefault="00D13387" w:rsidP="00D13387">
            <w:pPr>
              <w:widowControl/>
              <w:rPr>
                <w:rFonts w:ascii="Times New Roman" w:eastAsia="Times New Roman" w:hAnsi="Times New Roman" w:cs="Times New Roman"/>
                <w:color w:val="000000"/>
                <w:lang w:eastAsia="es-HN"/>
              </w:rPr>
            </w:pPr>
            <w:r w:rsidRPr="00D13387">
              <w:rPr>
                <w:rFonts w:ascii="Times New Roman" w:eastAsia="Times New Roman" w:hAnsi="Times New Roman" w:cs="Times New Roman"/>
                <w:color w:val="000000"/>
                <w:lang w:eastAsia="es-HN"/>
              </w:rPr>
              <w:t xml:space="preserve">        212,685,537 </w:t>
            </w:r>
          </w:p>
        </w:tc>
      </w:tr>
      <w:tr w:rsidR="00D13387" w:rsidRPr="00D13387" w14:paraId="71C2F0F2" w14:textId="77777777" w:rsidTr="00957314">
        <w:trPr>
          <w:trHeight w:val="164"/>
        </w:trPr>
        <w:tc>
          <w:tcPr>
            <w:tcW w:w="1787" w:type="dxa"/>
            <w:tcBorders>
              <w:top w:val="nil"/>
              <w:left w:val="nil"/>
              <w:bottom w:val="nil"/>
              <w:right w:val="nil"/>
            </w:tcBorders>
            <w:shd w:val="clear" w:color="auto" w:fill="auto"/>
            <w:noWrap/>
            <w:vAlign w:val="center"/>
            <w:hideMark/>
          </w:tcPr>
          <w:p w14:paraId="7A0C2760" w14:textId="77777777" w:rsidR="00D13387" w:rsidRPr="00D13387" w:rsidRDefault="00D13387" w:rsidP="00D13387">
            <w:pPr>
              <w:widowControl/>
              <w:rPr>
                <w:rFonts w:ascii="Times New Roman" w:eastAsia="Times New Roman" w:hAnsi="Times New Roman" w:cs="Times New Roman"/>
                <w:color w:val="000000"/>
                <w:lang w:eastAsia="es-HN"/>
              </w:rPr>
            </w:pPr>
          </w:p>
        </w:tc>
        <w:tc>
          <w:tcPr>
            <w:tcW w:w="284" w:type="dxa"/>
            <w:tcBorders>
              <w:top w:val="nil"/>
              <w:left w:val="nil"/>
              <w:bottom w:val="nil"/>
              <w:right w:val="nil"/>
            </w:tcBorders>
            <w:shd w:val="clear" w:color="auto" w:fill="auto"/>
            <w:noWrap/>
            <w:vAlign w:val="center"/>
            <w:hideMark/>
          </w:tcPr>
          <w:p w14:paraId="3F4F8F80" w14:textId="77777777" w:rsidR="00D13387" w:rsidRPr="00D13387" w:rsidRDefault="00D13387" w:rsidP="00D13387">
            <w:pPr>
              <w:widowControl/>
              <w:jc w:val="center"/>
              <w:rPr>
                <w:rFonts w:ascii="Times New Roman" w:eastAsia="Times New Roman" w:hAnsi="Times New Roman" w:cs="Times New Roman"/>
                <w:sz w:val="20"/>
                <w:szCs w:val="20"/>
                <w:lang w:eastAsia="es-HN"/>
              </w:rPr>
            </w:pPr>
          </w:p>
        </w:tc>
        <w:tc>
          <w:tcPr>
            <w:tcW w:w="1482" w:type="dxa"/>
            <w:tcBorders>
              <w:top w:val="nil"/>
              <w:left w:val="nil"/>
              <w:bottom w:val="nil"/>
              <w:right w:val="nil"/>
            </w:tcBorders>
            <w:shd w:val="clear" w:color="auto" w:fill="auto"/>
            <w:noWrap/>
            <w:vAlign w:val="bottom"/>
            <w:hideMark/>
          </w:tcPr>
          <w:p w14:paraId="6A4104A1" w14:textId="77777777" w:rsidR="00D13387" w:rsidRPr="00D13387" w:rsidRDefault="00D13387" w:rsidP="00D13387">
            <w:pPr>
              <w:widowControl/>
              <w:jc w:val="center"/>
              <w:rPr>
                <w:rFonts w:ascii="Times New Roman" w:eastAsia="Times New Roman" w:hAnsi="Times New Roman" w:cs="Times New Roman"/>
                <w:sz w:val="20"/>
                <w:szCs w:val="20"/>
                <w:lang w:eastAsia="es-HN"/>
              </w:rPr>
            </w:pPr>
          </w:p>
        </w:tc>
        <w:tc>
          <w:tcPr>
            <w:tcW w:w="1482" w:type="dxa"/>
            <w:tcBorders>
              <w:top w:val="nil"/>
              <w:left w:val="nil"/>
              <w:bottom w:val="nil"/>
              <w:right w:val="nil"/>
            </w:tcBorders>
            <w:shd w:val="clear" w:color="auto" w:fill="auto"/>
            <w:noWrap/>
            <w:vAlign w:val="bottom"/>
            <w:hideMark/>
          </w:tcPr>
          <w:p w14:paraId="5B5B7A3D" w14:textId="77777777" w:rsidR="00D13387" w:rsidRPr="00D13387" w:rsidRDefault="00D13387" w:rsidP="00D13387">
            <w:pPr>
              <w:widowControl/>
              <w:rPr>
                <w:rFonts w:ascii="Times New Roman" w:eastAsia="Times New Roman" w:hAnsi="Times New Roman" w:cs="Times New Roman"/>
                <w:sz w:val="20"/>
                <w:szCs w:val="20"/>
                <w:lang w:eastAsia="es-HN"/>
              </w:rPr>
            </w:pPr>
          </w:p>
        </w:tc>
        <w:tc>
          <w:tcPr>
            <w:tcW w:w="1482" w:type="dxa"/>
            <w:tcBorders>
              <w:top w:val="nil"/>
              <w:left w:val="nil"/>
              <w:bottom w:val="nil"/>
              <w:right w:val="nil"/>
            </w:tcBorders>
            <w:shd w:val="clear" w:color="auto" w:fill="auto"/>
            <w:noWrap/>
            <w:vAlign w:val="bottom"/>
            <w:hideMark/>
          </w:tcPr>
          <w:p w14:paraId="5F6D69A0" w14:textId="77777777" w:rsidR="00D13387" w:rsidRPr="00D13387" w:rsidRDefault="00D13387" w:rsidP="00D13387">
            <w:pPr>
              <w:widowControl/>
              <w:rPr>
                <w:rFonts w:ascii="Times New Roman" w:eastAsia="Times New Roman" w:hAnsi="Times New Roman" w:cs="Times New Roman"/>
                <w:sz w:val="20"/>
                <w:szCs w:val="20"/>
                <w:lang w:eastAsia="es-HN"/>
              </w:rPr>
            </w:pPr>
          </w:p>
        </w:tc>
        <w:tc>
          <w:tcPr>
            <w:tcW w:w="1482" w:type="dxa"/>
            <w:tcBorders>
              <w:top w:val="nil"/>
              <w:left w:val="nil"/>
              <w:bottom w:val="nil"/>
              <w:right w:val="nil"/>
            </w:tcBorders>
            <w:shd w:val="clear" w:color="auto" w:fill="auto"/>
            <w:noWrap/>
            <w:vAlign w:val="bottom"/>
            <w:hideMark/>
          </w:tcPr>
          <w:p w14:paraId="0379F572" w14:textId="77777777" w:rsidR="00D13387" w:rsidRPr="00D13387" w:rsidRDefault="00D13387" w:rsidP="00D13387">
            <w:pPr>
              <w:widowControl/>
              <w:rPr>
                <w:rFonts w:ascii="Times New Roman" w:eastAsia="Times New Roman" w:hAnsi="Times New Roman" w:cs="Times New Roman"/>
                <w:sz w:val="20"/>
                <w:szCs w:val="20"/>
                <w:lang w:eastAsia="es-HN"/>
              </w:rPr>
            </w:pPr>
          </w:p>
        </w:tc>
        <w:tc>
          <w:tcPr>
            <w:tcW w:w="1482" w:type="dxa"/>
            <w:tcBorders>
              <w:top w:val="nil"/>
              <w:left w:val="nil"/>
              <w:bottom w:val="nil"/>
              <w:right w:val="nil"/>
            </w:tcBorders>
            <w:shd w:val="clear" w:color="auto" w:fill="auto"/>
            <w:noWrap/>
            <w:vAlign w:val="bottom"/>
            <w:hideMark/>
          </w:tcPr>
          <w:p w14:paraId="78C9D37A" w14:textId="77777777" w:rsidR="00D13387" w:rsidRPr="00D13387" w:rsidRDefault="00D13387" w:rsidP="00D13387">
            <w:pPr>
              <w:widowControl/>
              <w:rPr>
                <w:rFonts w:ascii="Times New Roman" w:eastAsia="Times New Roman" w:hAnsi="Times New Roman" w:cs="Times New Roman"/>
                <w:sz w:val="20"/>
                <w:szCs w:val="20"/>
                <w:lang w:eastAsia="es-HN"/>
              </w:rPr>
            </w:pPr>
          </w:p>
        </w:tc>
      </w:tr>
      <w:tr w:rsidR="00D13387" w:rsidRPr="00D13387" w14:paraId="536B9FDB" w14:textId="77777777" w:rsidTr="00957314">
        <w:trPr>
          <w:trHeight w:val="257"/>
        </w:trPr>
        <w:tc>
          <w:tcPr>
            <w:tcW w:w="1787" w:type="dxa"/>
            <w:tcBorders>
              <w:top w:val="nil"/>
              <w:left w:val="nil"/>
              <w:bottom w:val="nil"/>
              <w:right w:val="nil"/>
            </w:tcBorders>
            <w:shd w:val="clear" w:color="auto" w:fill="auto"/>
            <w:noWrap/>
            <w:vAlign w:val="bottom"/>
            <w:hideMark/>
          </w:tcPr>
          <w:p w14:paraId="5EA2570B" w14:textId="0CE63420" w:rsidR="00D13387" w:rsidRPr="00D13387" w:rsidRDefault="009912A4" w:rsidP="00D13387">
            <w:pPr>
              <w:widowControl/>
              <w:jc w:val="center"/>
              <w:rPr>
                <w:rFonts w:ascii="Times New Roman" w:eastAsia="Times New Roman" w:hAnsi="Times New Roman" w:cs="Times New Roman"/>
                <w:b/>
                <w:bCs/>
                <w:color w:val="000000"/>
                <w:lang w:eastAsia="es-HN"/>
              </w:rPr>
            </w:pPr>
            <w:r w:rsidRPr="00D13387">
              <w:rPr>
                <w:rFonts w:ascii="Times New Roman" w:eastAsia="Times New Roman" w:hAnsi="Times New Roman" w:cs="Times New Roman"/>
                <w:b/>
                <w:bCs/>
                <w:color w:val="000000"/>
                <w:lang w:eastAsia="es-HN"/>
              </w:rPr>
              <w:t>% Liquidez</w:t>
            </w:r>
          </w:p>
        </w:tc>
        <w:tc>
          <w:tcPr>
            <w:tcW w:w="284" w:type="dxa"/>
            <w:tcBorders>
              <w:top w:val="nil"/>
              <w:left w:val="nil"/>
              <w:bottom w:val="nil"/>
              <w:right w:val="nil"/>
            </w:tcBorders>
            <w:shd w:val="clear" w:color="auto" w:fill="auto"/>
            <w:noWrap/>
            <w:vAlign w:val="bottom"/>
            <w:hideMark/>
          </w:tcPr>
          <w:p w14:paraId="14F226D4" w14:textId="77777777" w:rsidR="00D13387" w:rsidRPr="00D13387" w:rsidRDefault="00D13387" w:rsidP="00D13387">
            <w:pPr>
              <w:widowControl/>
              <w:jc w:val="center"/>
              <w:rPr>
                <w:rFonts w:ascii="Times New Roman" w:eastAsia="Times New Roman" w:hAnsi="Times New Roman" w:cs="Times New Roman"/>
                <w:b/>
                <w:bCs/>
                <w:color w:val="000000"/>
                <w:lang w:eastAsia="es-HN"/>
              </w:rPr>
            </w:pPr>
          </w:p>
        </w:tc>
        <w:tc>
          <w:tcPr>
            <w:tcW w:w="1482" w:type="dxa"/>
            <w:tcBorders>
              <w:top w:val="nil"/>
              <w:left w:val="nil"/>
              <w:bottom w:val="nil"/>
              <w:right w:val="nil"/>
            </w:tcBorders>
            <w:shd w:val="clear" w:color="000000" w:fill="CAEDFB"/>
            <w:noWrap/>
            <w:vAlign w:val="bottom"/>
            <w:hideMark/>
          </w:tcPr>
          <w:p w14:paraId="28C840B9" w14:textId="5968FFB6" w:rsidR="00D13387" w:rsidRPr="00D13387" w:rsidRDefault="00D13387" w:rsidP="009912A4">
            <w:pPr>
              <w:widowControl/>
              <w:jc w:val="center"/>
              <w:rPr>
                <w:rFonts w:ascii="Times New Roman" w:eastAsia="Times New Roman" w:hAnsi="Times New Roman" w:cs="Times New Roman"/>
                <w:b/>
                <w:bCs/>
                <w:color w:val="000000"/>
                <w:lang w:eastAsia="es-HN"/>
              </w:rPr>
            </w:pPr>
            <w:r w:rsidRPr="00D13387">
              <w:rPr>
                <w:rFonts w:ascii="Times New Roman" w:eastAsia="Times New Roman" w:hAnsi="Times New Roman" w:cs="Times New Roman"/>
                <w:b/>
                <w:bCs/>
                <w:color w:val="000000"/>
                <w:lang w:eastAsia="es-HN"/>
              </w:rPr>
              <w:t>3.0</w:t>
            </w:r>
          </w:p>
        </w:tc>
        <w:tc>
          <w:tcPr>
            <w:tcW w:w="1482" w:type="dxa"/>
            <w:tcBorders>
              <w:top w:val="nil"/>
              <w:left w:val="nil"/>
              <w:bottom w:val="nil"/>
              <w:right w:val="nil"/>
            </w:tcBorders>
            <w:shd w:val="clear" w:color="000000" w:fill="CAEDFB"/>
            <w:noWrap/>
            <w:vAlign w:val="bottom"/>
            <w:hideMark/>
          </w:tcPr>
          <w:p w14:paraId="2567CB68" w14:textId="68D522DC" w:rsidR="00D13387" w:rsidRPr="00D13387" w:rsidRDefault="00D13387" w:rsidP="009912A4">
            <w:pPr>
              <w:widowControl/>
              <w:jc w:val="center"/>
              <w:rPr>
                <w:rFonts w:ascii="Times New Roman" w:eastAsia="Times New Roman" w:hAnsi="Times New Roman" w:cs="Times New Roman"/>
                <w:b/>
                <w:bCs/>
                <w:color w:val="000000"/>
                <w:lang w:eastAsia="es-HN"/>
              </w:rPr>
            </w:pPr>
            <w:r w:rsidRPr="00D13387">
              <w:rPr>
                <w:rFonts w:ascii="Times New Roman" w:eastAsia="Times New Roman" w:hAnsi="Times New Roman" w:cs="Times New Roman"/>
                <w:b/>
                <w:bCs/>
                <w:color w:val="000000"/>
                <w:lang w:eastAsia="es-HN"/>
              </w:rPr>
              <w:t>1.6</w:t>
            </w:r>
          </w:p>
        </w:tc>
        <w:tc>
          <w:tcPr>
            <w:tcW w:w="1482" w:type="dxa"/>
            <w:tcBorders>
              <w:top w:val="nil"/>
              <w:left w:val="nil"/>
              <w:bottom w:val="nil"/>
              <w:right w:val="nil"/>
            </w:tcBorders>
            <w:shd w:val="clear" w:color="000000" w:fill="CAEDFB"/>
            <w:noWrap/>
            <w:vAlign w:val="bottom"/>
            <w:hideMark/>
          </w:tcPr>
          <w:p w14:paraId="19F3123A" w14:textId="52828444" w:rsidR="00D13387" w:rsidRPr="00D13387" w:rsidRDefault="00D13387" w:rsidP="009912A4">
            <w:pPr>
              <w:widowControl/>
              <w:jc w:val="center"/>
              <w:rPr>
                <w:rFonts w:ascii="Times New Roman" w:eastAsia="Times New Roman" w:hAnsi="Times New Roman" w:cs="Times New Roman"/>
                <w:b/>
                <w:bCs/>
                <w:color w:val="000000"/>
                <w:lang w:eastAsia="es-HN"/>
              </w:rPr>
            </w:pPr>
            <w:r w:rsidRPr="00D13387">
              <w:rPr>
                <w:rFonts w:ascii="Times New Roman" w:eastAsia="Times New Roman" w:hAnsi="Times New Roman" w:cs="Times New Roman"/>
                <w:b/>
                <w:bCs/>
                <w:color w:val="000000"/>
                <w:lang w:eastAsia="es-HN"/>
              </w:rPr>
              <w:t>1.3</w:t>
            </w:r>
          </w:p>
        </w:tc>
        <w:tc>
          <w:tcPr>
            <w:tcW w:w="1482" w:type="dxa"/>
            <w:tcBorders>
              <w:top w:val="nil"/>
              <w:left w:val="nil"/>
              <w:bottom w:val="nil"/>
              <w:right w:val="nil"/>
            </w:tcBorders>
            <w:shd w:val="clear" w:color="000000" w:fill="CAEDFB"/>
            <w:noWrap/>
            <w:vAlign w:val="bottom"/>
            <w:hideMark/>
          </w:tcPr>
          <w:p w14:paraId="1D0EEC73" w14:textId="7E34A8CD" w:rsidR="00D13387" w:rsidRPr="00D13387" w:rsidRDefault="00D13387" w:rsidP="009912A4">
            <w:pPr>
              <w:widowControl/>
              <w:jc w:val="center"/>
              <w:rPr>
                <w:rFonts w:ascii="Times New Roman" w:eastAsia="Times New Roman" w:hAnsi="Times New Roman" w:cs="Times New Roman"/>
                <w:b/>
                <w:bCs/>
                <w:color w:val="000000"/>
                <w:lang w:eastAsia="es-HN"/>
              </w:rPr>
            </w:pPr>
            <w:r w:rsidRPr="00D13387">
              <w:rPr>
                <w:rFonts w:ascii="Times New Roman" w:eastAsia="Times New Roman" w:hAnsi="Times New Roman" w:cs="Times New Roman"/>
                <w:b/>
                <w:bCs/>
                <w:color w:val="000000"/>
                <w:lang w:eastAsia="es-HN"/>
              </w:rPr>
              <w:t>1.8</w:t>
            </w:r>
          </w:p>
        </w:tc>
        <w:tc>
          <w:tcPr>
            <w:tcW w:w="1482" w:type="dxa"/>
            <w:tcBorders>
              <w:top w:val="nil"/>
              <w:left w:val="nil"/>
              <w:bottom w:val="nil"/>
              <w:right w:val="nil"/>
            </w:tcBorders>
            <w:shd w:val="clear" w:color="000000" w:fill="CAEDFB"/>
            <w:noWrap/>
            <w:vAlign w:val="bottom"/>
            <w:hideMark/>
          </w:tcPr>
          <w:p w14:paraId="6091C627" w14:textId="47D7F1A9" w:rsidR="00D13387" w:rsidRPr="00D13387" w:rsidRDefault="00D13387" w:rsidP="009912A4">
            <w:pPr>
              <w:widowControl/>
              <w:jc w:val="center"/>
              <w:rPr>
                <w:rFonts w:ascii="Times New Roman" w:eastAsia="Times New Roman" w:hAnsi="Times New Roman" w:cs="Times New Roman"/>
                <w:b/>
                <w:bCs/>
                <w:color w:val="000000"/>
                <w:lang w:eastAsia="es-HN"/>
              </w:rPr>
            </w:pPr>
            <w:r w:rsidRPr="00D13387">
              <w:rPr>
                <w:rFonts w:ascii="Times New Roman" w:eastAsia="Times New Roman" w:hAnsi="Times New Roman" w:cs="Times New Roman"/>
                <w:b/>
                <w:bCs/>
                <w:color w:val="000000"/>
                <w:lang w:eastAsia="es-HN"/>
              </w:rPr>
              <w:t>1.6</w:t>
            </w:r>
          </w:p>
        </w:tc>
      </w:tr>
    </w:tbl>
    <w:p w14:paraId="64F59130" w14:textId="63D3FBFA" w:rsidR="00957314" w:rsidRDefault="00957314" w:rsidP="003E2058">
      <w:pPr>
        <w:spacing w:before="240" w:after="240" w:line="360" w:lineRule="auto"/>
        <w:ind w:firstLine="720"/>
        <w:rPr>
          <w:noProof/>
        </w:rPr>
      </w:pPr>
      <w:r w:rsidRPr="00957314">
        <w:rPr>
          <w:rFonts w:ascii="Times New Roman" w:hAnsi="Times New Roman" w:cs="Times New Roman"/>
          <w:sz w:val="24"/>
          <w:szCs w:val="24"/>
        </w:rPr>
        <w:t xml:space="preserve">Fuente: Elaboración propia con datos de microfinanciera </w:t>
      </w:r>
      <w:r w:rsidR="00E5074B">
        <w:rPr>
          <w:rFonts w:ascii="Times New Roman" w:hAnsi="Times New Roman" w:cs="Times New Roman"/>
          <w:sz w:val="24"/>
          <w:szCs w:val="24"/>
        </w:rPr>
        <w:t>“XYZ”</w:t>
      </w:r>
      <w:r>
        <w:rPr>
          <w:noProof/>
        </w:rPr>
        <w:t>.</w:t>
      </w:r>
    </w:p>
    <w:p w14:paraId="34E9FA9A" w14:textId="60132FE6" w:rsidR="009968F1" w:rsidRDefault="00A30EF1" w:rsidP="008E7456">
      <w:pPr>
        <w:spacing w:after="240" w:line="360" w:lineRule="auto"/>
        <w:ind w:firstLine="720"/>
        <w:rPr>
          <w:noProof/>
        </w:rPr>
      </w:pPr>
      <w:r>
        <w:rPr>
          <w:rFonts w:ascii="Times New Roman" w:hAnsi="Times New Roman" w:cs="Times New Roman"/>
          <w:noProof/>
          <w:sz w:val="24"/>
          <w:szCs w:val="24"/>
        </w:rPr>
        <w:lastRenderedPageBreak/>
        <w:t>A t</w:t>
      </w:r>
      <w:r w:rsidR="0039080D">
        <w:rPr>
          <w:rFonts w:ascii="Times New Roman" w:hAnsi="Times New Roman" w:cs="Times New Roman"/>
          <w:noProof/>
          <w:sz w:val="24"/>
          <w:szCs w:val="24"/>
        </w:rPr>
        <w:t>rav</w:t>
      </w:r>
      <w:r w:rsidR="009C2870">
        <w:rPr>
          <w:rFonts w:ascii="Times New Roman" w:hAnsi="Times New Roman" w:cs="Times New Roman"/>
          <w:noProof/>
          <w:sz w:val="24"/>
          <w:szCs w:val="24"/>
        </w:rPr>
        <w:t>é</w:t>
      </w:r>
      <w:r w:rsidR="0039080D">
        <w:rPr>
          <w:rFonts w:ascii="Times New Roman" w:hAnsi="Times New Roman" w:cs="Times New Roman"/>
          <w:noProof/>
          <w:sz w:val="24"/>
          <w:szCs w:val="24"/>
        </w:rPr>
        <w:t>s</w:t>
      </w:r>
      <w:r>
        <w:rPr>
          <w:rFonts w:ascii="Times New Roman" w:hAnsi="Times New Roman" w:cs="Times New Roman"/>
          <w:noProof/>
          <w:sz w:val="24"/>
          <w:szCs w:val="24"/>
        </w:rPr>
        <w:t xml:space="preserve"> de los calculos obtenidos se logro </w:t>
      </w:r>
      <w:r w:rsidR="00F14832" w:rsidRPr="00F14832">
        <w:rPr>
          <w:rFonts w:ascii="Times New Roman" w:hAnsi="Times New Roman" w:cs="Times New Roman"/>
          <w:noProof/>
          <w:sz w:val="24"/>
          <w:szCs w:val="24"/>
        </w:rPr>
        <w:t>det</w:t>
      </w:r>
      <w:r>
        <w:rPr>
          <w:rFonts w:ascii="Times New Roman" w:hAnsi="Times New Roman" w:cs="Times New Roman"/>
          <w:noProof/>
          <w:sz w:val="24"/>
          <w:szCs w:val="24"/>
        </w:rPr>
        <w:t>e</w:t>
      </w:r>
      <w:r w:rsidR="00F14832" w:rsidRPr="00F14832">
        <w:rPr>
          <w:rFonts w:ascii="Times New Roman" w:hAnsi="Times New Roman" w:cs="Times New Roman"/>
          <w:noProof/>
          <w:sz w:val="24"/>
          <w:szCs w:val="24"/>
        </w:rPr>
        <w:t xml:space="preserve">rminar que los niveles de liquidez de la IMF </w:t>
      </w:r>
      <w:r w:rsidR="00F14832">
        <w:rPr>
          <w:rFonts w:ascii="Times New Roman" w:hAnsi="Times New Roman" w:cs="Times New Roman"/>
          <w:noProof/>
          <w:sz w:val="24"/>
          <w:szCs w:val="24"/>
        </w:rPr>
        <w:t xml:space="preserve">para el periodo evaluado </w:t>
      </w:r>
      <w:r w:rsidR="00566149">
        <w:rPr>
          <w:rFonts w:ascii="Times New Roman" w:hAnsi="Times New Roman" w:cs="Times New Roman"/>
          <w:noProof/>
          <w:sz w:val="24"/>
          <w:szCs w:val="24"/>
        </w:rPr>
        <w:t xml:space="preserve">se encuentra dentro de </w:t>
      </w:r>
      <w:r w:rsidR="00FE35F9">
        <w:rPr>
          <w:rFonts w:ascii="Times New Roman" w:hAnsi="Times New Roman" w:cs="Times New Roman"/>
          <w:noProof/>
          <w:sz w:val="24"/>
          <w:szCs w:val="24"/>
        </w:rPr>
        <w:t xml:space="preserve">limites </w:t>
      </w:r>
      <w:r w:rsidR="00F14832" w:rsidRPr="00F14832">
        <w:rPr>
          <w:rFonts w:ascii="Times New Roman" w:hAnsi="Times New Roman" w:cs="Times New Roman"/>
          <w:noProof/>
          <w:sz w:val="24"/>
          <w:szCs w:val="24"/>
        </w:rPr>
        <w:t>aceptables</w:t>
      </w:r>
      <w:r w:rsidR="00FE35F9">
        <w:rPr>
          <w:rFonts w:ascii="Times New Roman" w:hAnsi="Times New Roman" w:cs="Times New Roman"/>
          <w:noProof/>
          <w:sz w:val="24"/>
          <w:szCs w:val="24"/>
        </w:rPr>
        <w:t>,</w:t>
      </w:r>
      <w:r w:rsidR="00F14832" w:rsidRPr="00F14832">
        <w:rPr>
          <w:rFonts w:ascii="Times New Roman" w:hAnsi="Times New Roman" w:cs="Times New Roman"/>
          <w:noProof/>
          <w:sz w:val="24"/>
          <w:szCs w:val="24"/>
        </w:rPr>
        <w:t xml:space="preserve"> </w:t>
      </w:r>
      <w:r w:rsidR="00F14832">
        <w:rPr>
          <w:rFonts w:ascii="Times New Roman" w:hAnsi="Times New Roman" w:cs="Times New Roman"/>
          <w:noProof/>
          <w:sz w:val="24"/>
          <w:szCs w:val="24"/>
        </w:rPr>
        <w:t>y que</w:t>
      </w:r>
      <w:r w:rsidR="00FE35F9">
        <w:rPr>
          <w:rFonts w:ascii="Times New Roman" w:hAnsi="Times New Roman" w:cs="Times New Roman"/>
          <w:noProof/>
          <w:sz w:val="24"/>
          <w:szCs w:val="24"/>
        </w:rPr>
        <w:t xml:space="preserve"> la empresa </w:t>
      </w:r>
      <w:r w:rsidR="00F14832">
        <w:rPr>
          <w:rFonts w:ascii="Times New Roman" w:hAnsi="Times New Roman" w:cs="Times New Roman"/>
          <w:noProof/>
          <w:sz w:val="24"/>
          <w:szCs w:val="24"/>
        </w:rPr>
        <w:t xml:space="preserve">por cada </w:t>
      </w:r>
      <w:r w:rsidR="008E7456">
        <w:rPr>
          <w:rFonts w:ascii="Times New Roman" w:hAnsi="Times New Roman" w:cs="Times New Roman"/>
          <w:noProof/>
          <w:sz w:val="24"/>
          <w:szCs w:val="24"/>
        </w:rPr>
        <w:t xml:space="preserve">unidad de pasivo a corto plazo </w:t>
      </w:r>
      <w:r w:rsidR="00F14832">
        <w:rPr>
          <w:rFonts w:ascii="Times New Roman" w:hAnsi="Times New Roman" w:cs="Times New Roman"/>
          <w:noProof/>
          <w:sz w:val="24"/>
          <w:szCs w:val="24"/>
        </w:rPr>
        <w:t xml:space="preserve">cuenta con mas de una unidad </w:t>
      </w:r>
      <w:r w:rsidR="008E7456">
        <w:rPr>
          <w:rFonts w:ascii="Times New Roman" w:hAnsi="Times New Roman" w:cs="Times New Roman"/>
          <w:noProof/>
          <w:sz w:val="24"/>
          <w:szCs w:val="24"/>
        </w:rPr>
        <w:t xml:space="preserve">de activo </w:t>
      </w:r>
      <w:r w:rsidR="00F14832">
        <w:rPr>
          <w:rFonts w:ascii="Times New Roman" w:hAnsi="Times New Roman" w:cs="Times New Roman"/>
          <w:noProof/>
          <w:sz w:val="24"/>
          <w:szCs w:val="24"/>
        </w:rPr>
        <w:t xml:space="preserve">para poder hacer frente a </w:t>
      </w:r>
      <w:r w:rsidR="008E7456">
        <w:rPr>
          <w:rFonts w:ascii="Times New Roman" w:hAnsi="Times New Roman" w:cs="Times New Roman"/>
          <w:noProof/>
          <w:sz w:val="24"/>
          <w:szCs w:val="24"/>
        </w:rPr>
        <w:t>estos.</w:t>
      </w:r>
    </w:p>
    <w:p w14:paraId="432B4E56" w14:textId="09CEFE11" w:rsidR="00D13387" w:rsidRDefault="007A2103" w:rsidP="009968F1">
      <w:pPr>
        <w:spacing w:line="360" w:lineRule="auto"/>
        <w:jc w:val="center"/>
        <w:rPr>
          <w:rFonts w:ascii="Times New Roman" w:hAnsi="Times New Roman" w:cs="Times New Roman"/>
          <w:sz w:val="24"/>
          <w:szCs w:val="24"/>
          <w:lang w:val="es-ES"/>
        </w:rPr>
      </w:pPr>
      <w:r>
        <w:rPr>
          <w:noProof/>
        </w:rPr>
        <w:drawing>
          <wp:inline distT="0" distB="0" distL="0" distR="0" wp14:anchorId="772B6A92" wp14:editId="6707277E">
            <wp:extent cx="4434840" cy="2964180"/>
            <wp:effectExtent l="0" t="0" r="3810" b="7620"/>
            <wp:docPr id="981897147" name="Gráfico 1">
              <a:extLst xmlns:a="http://schemas.openxmlformats.org/drawingml/2006/main">
                <a:ext uri="{FF2B5EF4-FFF2-40B4-BE49-F238E27FC236}">
                  <a16:creationId xmlns:a16="http://schemas.microsoft.com/office/drawing/2014/main" id="{8FBA3BBD-3E34-8791-C296-038F213496D5}"/>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14:paraId="3689F393" w14:textId="77777777" w:rsidR="008018E0" w:rsidRDefault="009968F1" w:rsidP="008018E0">
      <w:pPr>
        <w:spacing w:line="360" w:lineRule="auto"/>
        <w:ind w:firstLine="720"/>
        <w:jc w:val="both"/>
        <w:rPr>
          <w:rFonts w:ascii="Times New Roman" w:hAnsi="Times New Roman" w:cs="Times New Roman"/>
          <w:sz w:val="24"/>
          <w:szCs w:val="24"/>
          <w:lang w:val="es-ES"/>
        </w:rPr>
      </w:pPr>
      <w:r>
        <w:rPr>
          <w:rFonts w:ascii="Times New Roman" w:hAnsi="Times New Roman" w:cs="Times New Roman"/>
          <w:sz w:val="24"/>
          <w:szCs w:val="24"/>
          <w:lang w:val="es-ES"/>
        </w:rPr>
        <w:t>Figura 7. Ratio de Liquidez.</w:t>
      </w:r>
    </w:p>
    <w:p w14:paraId="2DDCD4FE" w14:textId="31FB9527" w:rsidR="00D13387" w:rsidRDefault="008018E0" w:rsidP="008018E0">
      <w:pPr>
        <w:spacing w:line="360" w:lineRule="auto"/>
        <w:ind w:firstLine="720"/>
        <w:jc w:val="both"/>
        <w:rPr>
          <w:rFonts w:ascii="Times New Roman" w:hAnsi="Times New Roman" w:cs="Times New Roman"/>
          <w:sz w:val="24"/>
          <w:szCs w:val="24"/>
          <w:lang w:val="es-ES"/>
        </w:rPr>
      </w:pPr>
      <w:r>
        <w:rPr>
          <w:rFonts w:ascii="Times New Roman" w:hAnsi="Times New Roman" w:cs="Times New Roman"/>
          <w:sz w:val="24"/>
          <w:szCs w:val="24"/>
          <w:lang w:val="es-ES"/>
        </w:rPr>
        <w:t xml:space="preserve">Fuente: </w:t>
      </w:r>
      <w:r w:rsidR="009968F1" w:rsidRPr="009968F1">
        <w:rPr>
          <w:rFonts w:ascii="Times New Roman" w:hAnsi="Times New Roman" w:cs="Times New Roman"/>
          <w:sz w:val="24"/>
          <w:szCs w:val="24"/>
        </w:rPr>
        <w:t xml:space="preserve">Elaboración propia con datos de microfinanciera </w:t>
      </w:r>
      <w:r w:rsidR="00E5074B">
        <w:rPr>
          <w:rFonts w:ascii="Times New Roman" w:hAnsi="Times New Roman" w:cs="Times New Roman"/>
          <w:sz w:val="24"/>
          <w:szCs w:val="24"/>
        </w:rPr>
        <w:t>“XYZ”</w:t>
      </w:r>
      <w:r w:rsidR="0010433A">
        <w:rPr>
          <w:rFonts w:ascii="Times New Roman" w:hAnsi="Times New Roman" w:cs="Times New Roman"/>
          <w:sz w:val="24"/>
          <w:szCs w:val="24"/>
        </w:rPr>
        <w:t>.</w:t>
      </w:r>
    </w:p>
    <w:p w14:paraId="3DEE515A" w14:textId="77777777" w:rsidR="00D13387" w:rsidRDefault="00D13387" w:rsidP="00D13387">
      <w:pPr>
        <w:spacing w:line="360" w:lineRule="auto"/>
        <w:jc w:val="both"/>
        <w:rPr>
          <w:rFonts w:ascii="Times New Roman" w:hAnsi="Times New Roman" w:cs="Times New Roman"/>
          <w:sz w:val="24"/>
          <w:szCs w:val="24"/>
          <w:lang w:val="es-ES"/>
        </w:rPr>
      </w:pPr>
    </w:p>
    <w:p w14:paraId="18DF6959" w14:textId="5BFBB709" w:rsidR="00B77490" w:rsidRDefault="00654292" w:rsidP="000F6F4C">
      <w:pPr>
        <w:spacing w:line="360" w:lineRule="auto"/>
        <w:ind w:firstLine="720"/>
        <w:jc w:val="both"/>
        <w:rPr>
          <w:rFonts w:ascii="Times New Roman" w:hAnsi="Times New Roman" w:cs="Times New Roman"/>
          <w:sz w:val="24"/>
          <w:szCs w:val="24"/>
          <w:lang w:val="es-ES"/>
        </w:rPr>
      </w:pPr>
      <w:r>
        <w:rPr>
          <w:rFonts w:ascii="Times New Roman" w:hAnsi="Times New Roman" w:cs="Times New Roman"/>
          <w:sz w:val="24"/>
          <w:szCs w:val="24"/>
          <w:lang w:val="es-ES"/>
        </w:rPr>
        <w:t xml:space="preserve">La grafica 7, muestra que </w:t>
      </w:r>
      <w:r w:rsidR="000F6F4C" w:rsidRPr="000F6F4C">
        <w:rPr>
          <w:rFonts w:ascii="Times New Roman" w:hAnsi="Times New Roman" w:cs="Times New Roman"/>
          <w:sz w:val="24"/>
          <w:szCs w:val="24"/>
        </w:rPr>
        <w:t>la empresa ha mantenido un nivel de activos suficiente para hacer frente a los pasivos de corto plazo, a pesar de que dichos activos han sufrido una baja significativa desde el año 2020. Además, los niveles de deuda a corto plazo se han mantenido en un nivel óptimo. A pesar de los bajos rendimientos obtenidos en el año 2021, la empresa ha logrado reducir sus niveles de deuda, lo cual es un indicativo positivo</w:t>
      </w:r>
      <w:r w:rsidR="002A7A01">
        <w:rPr>
          <w:rFonts w:ascii="Times New Roman" w:hAnsi="Times New Roman" w:cs="Times New Roman"/>
          <w:sz w:val="24"/>
          <w:szCs w:val="24"/>
          <w:lang w:val="es-ES"/>
        </w:rPr>
        <w:t xml:space="preserve"> que permite a la IMF poder adquirir un potencial financiamiento y así </w:t>
      </w:r>
      <w:r w:rsidR="0047693E">
        <w:rPr>
          <w:rFonts w:ascii="Times New Roman" w:hAnsi="Times New Roman" w:cs="Times New Roman"/>
          <w:sz w:val="24"/>
          <w:szCs w:val="24"/>
          <w:lang w:val="es-ES"/>
        </w:rPr>
        <w:t>cubrir diferentes necesidades.</w:t>
      </w:r>
    </w:p>
    <w:p w14:paraId="08E2DD12" w14:textId="77777777" w:rsidR="000F6F4C" w:rsidRPr="000F6F4C" w:rsidRDefault="000F6F4C" w:rsidP="000F6F4C">
      <w:pPr>
        <w:spacing w:line="360" w:lineRule="auto"/>
        <w:ind w:firstLine="720"/>
        <w:jc w:val="both"/>
        <w:rPr>
          <w:rFonts w:ascii="Times New Roman" w:hAnsi="Times New Roman" w:cs="Times New Roman"/>
          <w:sz w:val="24"/>
          <w:szCs w:val="24"/>
          <w:lang w:val="es-ES"/>
        </w:rPr>
      </w:pPr>
    </w:p>
    <w:p w14:paraId="4DD9315B" w14:textId="77777777" w:rsidR="00B77490" w:rsidRPr="00B77490" w:rsidRDefault="00B77490" w:rsidP="00195CA2">
      <w:pPr>
        <w:pStyle w:val="Ttulo5"/>
        <w:spacing w:line="360" w:lineRule="auto"/>
        <w:ind w:firstLine="1440"/>
        <w:rPr>
          <w:rFonts w:ascii="Times New Roman" w:hAnsi="Times New Roman" w:cs="Times New Roman"/>
          <w:b/>
          <w:bCs/>
          <w:color w:val="000000" w:themeColor="text1"/>
          <w:sz w:val="24"/>
          <w:szCs w:val="24"/>
        </w:rPr>
      </w:pPr>
      <w:bookmarkStart w:id="285" w:name="_Toc175171435"/>
      <w:r w:rsidRPr="00B77490">
        <w:rPr>
          <w:rFonts w:ascii="Times New Roman" w:hAnsi="Times New Roman" w:cs="Times New Roman"/>
          <w:b/>
          <w:bCs/>
          <w:color w:val="000000" w:themeColor="text1"/>
          <w:sz w:val="24"/>
          <w:szCs w:val="24"/>
        </w:rPr>
        <w:t>4.2.2.1.2. PRUEBA DEFENSIVA/RAZON DE EFECTIVO</w:t>
      </w:r>
      <w:bookmarkEnd w:id="285"/>
    </w:p>
    <w:p w14:paraId="2047487A" w14:textId="77777777" w:rsidR="00B77490" w:rsidRDefault="00B77490" w:rsidP="00195CA2">
      <w:pPr>
        <w:spacing w:line="360" w:lineRule="auto"/>
        <w:ind w:firstLine="720"/>
        <w:jc w:val="both"/>
        <w:rPr>
          <w:rFonts w:ascii="Times New Roman" w:hAnsi="Times New Roman" w:cs="Times New Roman"/>
          <w:sz w:val="24"/>
          <w:szCs w:val="24"/>
          <w:lang w:val="es-ES"/>
        </w:rPr>
      </w:pPr>
      <w:r w:rsidRPr="00B77490">
        <w:rPr>
          <w:rFonts w:ascii="Times New Roman" w:hAnsi="Times New Roman" w:cs="Times New Roman"/>
          <w:sz w:val="24"/>
          <w:szCs w:val="24"/>
          <w:lang w:val="es-ES"/>
        </w:rPr>
        <w:t>Este indicador financiero ayuda a la empresa a medir o determinar la capacidad que tiene para hacer frente de manera rápida a sus obligaciones en el corto plazo, esto sin la necesidad de vender ningún activo, debido a que solamente se cuenta con la disponibilidad de efectivo.</w:t>
      </w:r>
    </w:p>
    <w:p w14:paraId="4B11FDFB" w14:textId="30FD0FC4" w:rsidR="00A90B85" w:rsidRPr="00A90B85" w:rsidRDefault="00A90B85" w:rsidP="00A90B85">
      <w:pPr>
        <w:spacing w:line="360" w:lineRule="auto"/>
        <w:ind w:firstLine="720"/>
        <w:jc w:val="both"/>
        <w:rPr>
          <w:rFonts w:ascii="Times New Roman" w:hAnsi="Times New Roman" w:cs="Times New Roman"/>
          <w:sz w:val="24"/>
          <w:szCs w:val="24"/>
          <w:lang w:val="es-ES"/>
        </w:rPr>
      </w:pPr>
      <w:r w:rsidRPr="00A90B85">
        <w:rPr>
          <w:rFonts w:ascii="Times New Roman" w:hAnsi="Times New Roman" w:cs="Times New Roman"/>
          <w:sz w:val="24"/>
          <w:szCs w:val="24"/>
          <w:lang w:val="es-ES"/>
        </w:rPr>
        <w:t xml:space="preserve">Para determinar la razón de efectivo de la IMF </w:t>
      </w:r>
      <w:r w:rsidR="00E5074B">
        <w:rPr>
          <w:rFonts w:ascii="Times New Roman" w:hAnsi="Times New Roman" w:cs="Times New Roman"/>
          <w:sz w:val="24"/>
          <w:szCs w:val="24"/>
          <w:lang w:val="es-ES"/>
        </w:rPr>
        <w:t>“XYZ”</w:t>
      </w:r>
      <w:r w:rsidRPr="00A90B85">
        <w:rPr>
          <w:rFonts w:ascii="Times New Roman" w:hAnsi="Times New Roman" w:cs="Times New Roman"/>
          <w:sz w:val="24"/>
          <w:szCs w:val="24"/>
          <w:lang w:val="es-ES"/>
        </w:rPr>
        <w:t xml:space="preserve"> se utilizó la siguiente formula:</w:t>
      </w:r>
    </w:p>
    <w:p w14:paraId="2F8079E3" w14:textId="0C4973F5" w:rsidR="00A90B85" w:rsidRDefault="00A90B85" w:rsidP="00A90B85">
      <w:pPr>
        <w:spacing w:line="360" w:lineRule="auto"/>
        <w:ind w:firstLine="720"/>
        <w:jc w:val="both"/>
        <w:rPr>
          <w:rFonts w:ascii="Times New Roman" w:hAnsi="Times New Roman" w:cs="Times New Roman"/>
          <w:b/>
          <w:bCs/>
          <w:i/>
          <w:iCs/>
          <w:sz w:val="24"/>
          <w:szCs w:val="24"/>
          <w:lang w:val="es-ES"/>
        </w:rPr>
      </w:pPr>
      <w:r w:rsidRPr="00BA4F50">
        <w:rPr>
          <w:rFonts w:ascii="Times New Roman" w:hAnsi="Times New Roman" w:cs="Times New Roman"/>
          <w:b/>
          <w:bCs/>
          <w:i/>
          <w:iCs/>
          <w:sz w:val="24"/>
          <w:szCs w:val="24"/>
          <w:lang w:val="es-ES"/>
        </w:rPr>
        <w:lastRenderedPageBreak/>
        <w:t>Prueba defensiva = Efectivo / Pasivo Corriente</w:t>
      </w:r>
    </w:p>
    <w:p w14:paraId="19A7C97A" w14:textId="77777777" w:rsidR="006255AA" w:rsidRPr="00BA4F50" w:rsidRDefault="006255AA" w:rsidP="00A90B85">
      <w:pPr>
        <w:spacing w:line="360" w:lineRule="auto"/>
        <w:ind w:firstLine="720"/>
        <w:jc w:val="both"/>
        <w:rPr>
          <w:rFonts w:ascii="Times New Roman" w:hAnsi="Times New Roman" w:cs="Times New Roman"/>
          <w:b/>
          <w:bCs/>
          <w:i/>
          <w:iCs/>
          <w:sz w:val="24"/>
          <w:szCs w:val="24"/>
          <w:lang w:val="es-ES"/>
        </w:rPr>
      </w:pPr>
    </w:p>
    <w:p w14:paraId="5920B7B6" w14:textId="397EDC7F" w:rsidR="006255AA" w:rsidRDefault="006255AA" w:rsidP="0037253C">
      <w:pPr>
        <w:spacing w:line="360" w:lineRule="auto"/>
        <w:ind w:firstLine="720"/>
        <w:jc w:val="both"/>
        <w:rPr>
          <w:rFonts w:ascii="Times New Roman" w:hAnsi="Times New Roman" w:cs="Times New Roman"/>
          <w:sz w:val="24"/>
          <w:szCs w:val="24"/>
          <w:lang w:val="es-ES"/>
        </w:rPr>
      </w:pPr>
      <w:r w:rsidRPr="00B149BE">
        <w:rPr>
          <w:rFonts w:ascii="Times New Roman" w:hAnsi="Times New Roman" w:cs="Times New Roman"/>
          <w:sz w:val="24"/>
          <w:szCs w:val="24"/>
        </w:rPr>
        <w:t>Tabla</w:t>
      </w:r>
      <w:r>
        <w:rPr>
          <w:rFonts w:ascii="Times New Roman" w:hAnsi="Times New Roman" w:cs="Times New Roman"/>
          <w:sz w:val="24"/>
          <w:szCs w:val="24"/>
        </w:rPr>
        <w:t xml:space="preserve"> 8</w:t>
      </w:r>
      <w:r w:rsidRPr="00B149BE">
        <w:rPr>
          <w:rFonts w:ascii="Times New Roman" w:hAnsi="Times New Roman" w:cs="Times New Roman"/>
          <w:sz w:val="24"/>
          <w:szCs w:val="24"/>
        </w:rPr>
        <w:t xml:space="preserve">. </w:t>
      </w:r>
      <w:r>
        <w:rPr>
          <w:rFonts w:ascii="Times New Roman" w:hAnsi="Times New Roman" w:cs="Times New Roman"/>
          <w:sz w:val="24"/>
          <w:szCs w:val="24"/>
        </w:rPr>
        <w:t xml:space="preserve"> Prueba defensiva</w:t>
      </w:r>
      <w:r w:rsidRPr="00B149BE">
        <w:rPr>
          <w:rFonts w:ascii="Times New Roman" w:hAnsi="Times New Roman" w:cs="Times New Roman"/>
          <w:sz w:val="24"/>
          <w:szCs w:val="24"/>
        </w:rPr>
        <w:t xml:space="preserve"> microfinanciera </w:t>
      </w:r>
      <w:r w:rsidR="00E5074B">
        <w:rPr>
          <w:rFonts w:ascii="Times New Roman" w:hAnsi="Times New Roman" w:cs="Times New Roman"/>
          <w:sz w:val="24"/>
          <w:szCs w:val="24"/>
        </w:rPr>
        <w:t>“XYZ”</w:t>
      </w:r>
      <w:r w:rsidRPr="00B149BE">
        <w:rPr>
          <w:rFonts w:ascii="Times New Roman" w:hAnsi="Times New Roman" w:cs="Times New Roman"/>
          <w:sz w:val="24"/>
          <w:szCs w:val="24"/>
        </w:rPr>
        <w:t xml:space="preserve"> periodo 2019-2023</w:t>
      </w:r>
      <w:r w:rsidR="0037253C">
        <w:rPr>
          <w:rFonts w:ascii="Times New Roman" w:hAnsi="Times New Roman" w:cs="Times New Roman"/>
          <w:sz w:val="24"/>
          <w:szCs w:val="24"/>
        </w:rPr>
        <w:t>.</w:t>
      </w:r>
    </w:p>
    <w:tbl>
      <w:tblPr>
        <w:tblW w:w="9396" w:type="dxa"/>
        <w:tblCellMar>
          <w:left w:w="70" w:type="dxa"/>
          <w:right w:w="70" w:type="dxa"/>
        </w:tblCellMar>
        <w:tblLook w:val="04A0" w:firstRow="1" w:lastRow="0" w:firstColumn="1" w:lastColumn="0" w:noHBand="0" w:noVBand="1"/>
      </w:tblPr>
      <w:tblGrid>
        <w:gridCol w:w="1769"/>
        <w:gridCol w:w="282"/>
        <w:gridCol w:w="1469"/>
        <w:gridCol w:w="1469"/>
        <w:gridCol w:w="1469"/>
        <w:gridCol w:w="1469"/>
        <w:gridCol w:w="1469"/>
      </w:tblGrid>
      <w:tr w:rsidR="00D13387" w:rsidRPr="00D13387" w14:paraId="19EFAE2B" w14:textId="77777777" w:rsidTr="00D13387">
        <w:trPr>
          <w:trHeight w:val="281"/>
        </w:trPr>
        <w:tc>
          <w:tcPr>
            <w:tcW w:w="1769" w:type="dxa"/>
            <w:tcBorders>
              <w:top w:val="nil"/>
              <w:left w:val="nil"/>
              <w:bottom w:val="nil"/>
              <w:right w:val="nil"/>
            </w:tcBorders>
            <w:shd w:val="clear" w:color="auto" w:fill="auto"/>
            <w:noWrap/>
            <w:vAlign w:val="bottom"/>
            <w:hideMark/>
          </w:tcPr>
          <w:p w14:paraId="02754B7C" w14:textId="77777777" w:rsidR="00D13387" w:rsidRPr="00D13387" w:rsidRDefault="00D13387" w:rsidP="00D13387">
            <w:pPr>
              <w:widowControl/>
              <w:rPr>
                <w:rFonts w:ascii="Times New Roman" w:eastAsia="Times New Roman" w:hAnsi="Times New Roman" w:cs="Times New Roman"/>
                <w:sz w:val="24"/>
                <w:szCs w:val="24"/>
                <w:lang w:eastAsia="es-HN"/>
              </w:rPr>
            </w:pPr>
          </w:p>
        </w:tc>
        <w:tc>
          <w:tcPr>
            <w:tcW w:w="282" w:type="dxa"/>
            <w:tcBorders>
              <w:top w:val="nil"/>
              <w:left w:val="nil"/>
              <w:bottom w:val="nil"/>
              <w:right w:val="nil"/>
            </w:tcBorders>
            <w:shd w:val="clear" w:color="auto" w:fill="auto"/>
            <w:noWrap/>
            <w:vAlign w:val="bottom"/>
            <w:hideMark/>
          </w:tcPr>
          <w:p w14:paraId="68DD893E" w14:textId="77777777" w:rsidR="00D13387" w:rsidRPr="00D13387" w:rsidRDefault="00D13387" w:rsidP="00D13387">
            <w:pPr>
              <w:widowControl/>
              <w:rPr>
                <w:rFonts w:ascii="Times New Roman" w:eastAsia="Times New Roman" w:hAnsi="Times New Roman" w:cs="Times New Roman"/>
                <w:sz w:val="20"/>
                <w:szCs w:val="20"/>
                <w:lang w:eastAsia="es-HN"/>
              </w:rPr>
            </w:pPr>
          </w:p>
        </w:tc>
        <w:tc>
          <w:tcPr>
            <w:tcW w:w="1469" w:type="dxa"/>
            <w:tcBorders>
              <w:top w:val="nil"/>
              <w:left w:val="nil"/>
              <w:bottom w:val="nil"/>
              <w:right w:val="nil"/>
            </w:tcBorders>
            <w:shd w:val="clear" w:color="auto" w:fill="auto"/>
            <w:noWrap/>
            <w:vAlign w:val="bottom"/>
            <w:hideMark/>
          </w:tcPr>
          <w:p w14:paraId="15E70E62" w14:textId="77777777" w:rsidR="00D13387" w:rsidRPr="00D13387" w:rsidRDefault="00D13387" w:rsidP="00D13387">
            <w:pPr>
              <w:widowControl/>
              <w:jc w:val="center"/>
              <w:rPr>
                <w:rFonts w:ascii="Times New Roman" w:eastAsia="Times New Roman" w:hAnsi="Times New Roman" w:cs="Times New Roman"/>
                <w:b/>
                <w:bCs/>
                <w:color w:val="000000"/>
                <w:lang w:eastAsia="es-HN"/>
              </w:rPr>
            </w:pPr>
            <w:r w:rsidRPr="00D13387">
              <w:rPr>
                <w:rFonts w:ascii="Times New Roman" w:eastAsia="Times New Roman" w:hAnsi="Times New Roman" w:cs="Times New Roman"/>
                <w:b/>
                <w:bCs/>
                <w:color w:val="000000"/>
                <w:lang w:eastAsia="es-HN"/>
              </w:rPr>
              <w:t>2019</w:t>
            </w:r>
          </w:p>
        </w:tc>
        <w:tc>
          <w:tcPr>
            <w:tcW w:w="1469" w:type="dxa"/>
            <w:tcBorders>
              <w:top w:val="nil"/>
              <w:left w:val="nil"/>
              <w:bottom w:val="nil"/>
              <w:right w:val="nil"/>
            </w:tcBorders>
            <w:shd w:val="clear" w:color="auto" w:fill="auto"/>
            <w:noWrap/>
            <w:vAlign w:val="bottom"/>
            <w:hideMark/>
          </w:tcPr>
          <w:p w14:paraId="5C1F7D92" w14:textId="77777777" w:rsidR="00D13387" w:rsidRPr="00D13387" w:rsidRDefault="00D13387" w:rsidP="00D13387">
            <w:pPr>
              <w:widowControl/>
              <w:jc w:val="center"/>
              <w:rPr>
                <w:rFonts w:ascii="Times New Roman" w:eastAsia="Times New Roman" w:hAnsi="Times New Roman" w:cs="Times New Roman"/>
                <w:b/>
                <w:bCs/>
                <w:color w:val="000000"/>
                <w:lang w:eastAsia="es-HN"/>
              </w:rPr>
            </w:pPr>
            <w:r w:rsidRPr="00D13387">
              <w:rPr>
                <w:rFonts w:ascii="Times New Roman" w:eastAsia="Times New Roman" w:hAnsi="Times New Roman" w:cs="Times New Roman"/>
                <w:b/>
                <w:bCs/>
                <w:color w:val="000000"/>
                <w:lang w:eastAsia="es-HN"/>
              </w:rPr>
              <w:t>2020</w:t>
            </w:r>
          </w:p>
        </w:tc>
        <w:tc>
          <w:tcPr>
            <w:tcW w:w="1469" w:type="dxa"/>
            <w:tcBorders>
              <w:top w:val="nil"/>
              <w:left w:val="nil"/>
              <w:bottom w:val="nil"/>
              <w:right w:val="nil"/>
            </w:tcBorders>
            <w:shd w:val="clear" w:color="auto" w:fill="auto"/>
            <w:noWrap/>
            <w:vAlign w:val="bottom"/>
            <w:hideMark/>
          </w:tcPr>
          <w:p w14:paraId="3F213E2E" w14:textId="77777777" w:rsidR="00D13387" w:rsidRPr="00D13387" w:rsidRDefault="00D13387" w:rsidP="00D13387">
            <w:pPr>
              <w:widowControl/>
              <w:jc w:val="center"/>
              <w:rPr>
                <w:rFonts w:ascii="Times New Roman" w:eastAsia="Times New Roman" w:hAnsi="Times New Roman" w:cs="Times New Roman"/>
                <w:b/>
                <w:bCs/>
                <w:color w:val="000000"/>
                <w:lang w:eastAsia="es-HN"/>
              </w:rPr>
            </w:pPr>
            <w:r w:rsidRPr="00D13387">
              <w:rPr>
                <w:rFonts w:ascii="Times New Roman" w:eastAsia="Times New Roman" w:hAnsi="Times New Roman" w:cs="Times New Roman"/>
                <w:b/>
                <w:bCs/>
                <w:color w:val="000000"/>
                <w:lang w:eastAsia="es-HN"/>
              </w:rPr>
              <w:t>2021</w:t>
            </w:r>
          </w:p>
        </w:tc>
        <w:tc>
          <w:tcPr>
            <w:tcW w:w="1469" w:type="dxa"/>
            <w:tcBorders>
              <w:top w:val="nil"/>
              <w:left w:val="nil"/>
              <w:bottom w:val="nil"/>
              <w:right w:val="nil"/>
            </w:tcBorders>
            <w:shd w:val="clear" w:color="auto" w:fill="auto"/>
            <w:noWrap/>
            <w:vAlign w:val="bottom"/>
            <w:hideMark/>
          </w:tcPr>
          <w:p w14:paraId="795B3303" w14:textId="77777777" w:rsidR="00D13387" w:rsidRPr="00D13387" w:rsidRDefault="00D13387" w:rsidP="00D13387">
            <w:pPr>
              <w:widowControl/>
              <w:jc w:val="center"/>
              <w:rPr>
                <w:rFonts w:ascii="Times New Roman" w:eastAsia="Times New Roman" w:hAnsi="Times New Roman" w:cs="Times New Roman"/>
                <w:b/>
                <w:bCs/>
                <w:color w:val="000000"/>
                <w:lang w:eastAsia="es-HN"/>
              </w:rPr>
            </w:pPr>
            <w:r w:rsidRPr="00D13387">
              <w:rPr>
                <w:rFonts w:ascii="Times New Roman" w:eastAsia="Times New Roman" w:hAnsi="Times New Roman" w:cs="Times New Roman"/>
                <w:b/>
                <w:bCs/>
                <w:color w:val="000000"/>
                <w:lang w:eastAsia="es-HN"/>
              </w:rPr>
              <w:t>2022</w:t>
            </w:r>
          </w:p>
        </w:tc>
        <w:tc>
          <w:tcPr>
            <w:tcW w:w="1469" w:type="dxa"/>
            <w:tcBorders>
              <w:top w:val="nil"/>
              <w:left w:val="nil"/>
              <w:bottom w:val="nil"/>
              <w:right w:val="nil"/>
            </w:tcBorders>
            <w:shd w:val="clear" w:color="auto" w:fill="auto"/>
            <w:noWrap/>
            <w:vAlign w:val="bottom"/>
            <w:hideMark/>
          </w:tcPr>
          <w:p w14:paraId="3AC10528" w14:textId="77777777" w:rsidR="00D13387" w:rsidRPr="00D13387" w:rsidRDefault="00D13387" w:rsidP="00D13387">
            <w:pPr>
              <w:widowControl/>
              <w:jc w:val="center"/>
              <w:rPr>
                <w:rFonts w:ascii="Times New Roman" w:eastAsia="Times New Roman" w:hAnsi="Times New Roman" w:cs="Times New Roman"/>
                <w:b/>
                <w:bCs/>
                <w:color w:val="000000"/>
                <w:lang w:eastAsia="es-HN"/>
              </w:rPr>
            </w:pPr>
            <w:r w:rsidRPr="00D13387">
              <w:rPr>
                <w:rFonts w:ascii="Times New Roman" w:eastAsia="Times New Roman" w:hAnsi="Times New Roman" w:cs="Times New Roman"/>
                <w:b/>
                <w:bCs/>
                <w:color w:val="000000"/>
                <w:lang w:eastAsia="es-HN"/>
              </w:rPr>
              <w:t>2023</w:t>
            </w:r>
          </w:p>
        </w:tc>
      </w:tr>
      <w:tr w:rsidR="00D13387" w:rsidRPr="00D13387" w14:paraId="7239346E" w14:textId="77777777" w:rsidTr="00D13387">
        <w:trPr>
          <w:trHeight w:val="281"/>
        </w:trPr>
        <w:tc>
          <w:tcPr>
            <w:tcW w:w="1769" w:type="dxa"/>
            <w:vMerge w:val="restart"/>
            <w:tcBorders>
              <w:top w:val="nil"/>
              <w:left w:val="nil"/>
              <w:bottom w:val="nil"/>
              <w:right w:val="nil"/>
            </w:tcBorders>
            <w:shd w:val="clear" w:color="auto" w:fill="auto"/>
            <w:noWrap/>
            <w:vAlign w:val="center"/>
            <w:hideMark/>
          </w:tcPr>
          <w:p w14:paraId="1AF96AE9" w14:textId="77777777" w:rsidR="00D13387" w:rsidRPr="00D13387" w:rsidRDefault="00D13387" w:rsidP="00D13387">
            <w:pPr>
              <w:widowControl/>
              <w:rPr>
                <w:rFonts w:ascii="Times New Roman" w:eastAsia="Times New Roman" w:hAnsi="Times New Roman" w:cs="Times New Roman"/>
                <w:b/>
                <w:bCs/>
                <w:color w:val="000000"/>
                <w:lang w:eastAsia="es-HN"/>
              </w:rPr>
            </w:pPr>
            <w:r w:rsidRPr="00D13387">
              <w:rPr>
                <w:rFonts w:ascii="Times New Roman" w:eastAsia="Times New Roman" w:hAnsi="Times New Roman" w:cs="Times New Roman"/>
                <w:b/>
                <w:bCs/>
                <w:color w:val="000000"/>
                <w:lang w:eastAsia="es-HN"/>
              </w:rPr>
              <w:t xml:space="preserve">Prueba Defensiva </w:t>
            </w:r>
          </w:p>
        </w:tc>
        <w:tc>
          <w:tcPr>
            <w:tcW w:w="282" w:type="dxa"/>
            <w:vMerge w:val="restart"/>
            <w:tcBorders>
              <w:top w:val="nil"/>
              <w:left w:val="nil"/>
              <w:bottom w:val="nil"/>
              <w:right w:val="nil"/>
            </w:tcBorders>
            <w:shd w:val="clear" w:color="auto" w:fill="auto"/>
            <w:noWrap/>
            <w:vAlign w:val="center"/>
            <w:hideMark/>
          </w:tcPr>
          <w:p w14:paraId="6D872477" w14:textId="77777777" w:rsidR="00D13387" w:rsidRPr="00D13387" w:rsidRDefault="00D13387" w:rsidP="00D13387">
            <w:pPr>
              <w:widowControl/>
              <w:jc w:val="center"/>
              <w:rPr>
                <w:rFonts w:ascii="Times New Roman" w:eastAsia="Times New Roman" w:hAnsi="Times New Roman" w:cs="Times New Roman"/>
                <w:color w:val="000000"/>
                <w:lang w:eastAsia="es-HN"/>
              </w:rPr>
            </w:pPr>
            <w:r w:rsidRPr="00D13387">
              <w:rPr>
                <w:rFonts w:ascii="Times New Roman" w:eastAsia="Times New Roman" w:hAnsi="Times New Roman" w:cs="Times New Roman"/>
                <w:color w:val="000000"/>
                <w:lang w:eastAsia="es-HN"/>
              </w:rPr>
              <w:t>=</w:t>
            </w:r>
          </w:p>
        </w:tc>
        <w:tc>
          <w:tcPr>
            <w:tcW w:w="1469" w:type="dxa"/>
            <w:tcBorders>
              <w:top w:val="nil"/>
              <w:left w:val="nil"/>
              <w:bottom w:val="single" w:sz="4" w:space="0" w:color="auto"/>
              <w:right w:val="nil"/>
            </w:tcBorders>
            <w:shd w:val="clear" w:color="auto" w:fill="auto"/>
            <w:noWrap/>
            <w:vAlign w:val="bottom"/>
            <w:hideMark/>
          </w:tcPr>
          <w:p w14:paraId="748ECF6E" w14:textId="77777777" w:rsidR="00D13387" w:rsidRPr="00D13387" w:rsidRDefault="00D13387" w:rsidP="00D13387">
            <w:pPr>
              <w:widowControl/>
              <w:rPr>
                <w:rFonts w:ascii="Times New Roman" w:eastAsia="Times New Roman" w:hAnsi="Times New Roman" w:cs="Times New Roman"/>
                <w:color w:val="000000"/>
                <w:lang w:eastAsia="es-HN"/>
              </w:rPr>
            </w:pPr>
            <w:r w:rsidRPr="00D13387">
              <w:rPr>
                <w:rFonts w:ascii="Times New Roman" w:eastAsia="Times New Roman" w:hAnsi="Times New Roman" w:cs="Times New Roman"/>
                <w:color w:val="000000"/>
                <w:lang w:eastAsia="es-HN"/>
              </w:rPr>
              <w:t xml:space="preserve">          42,126,936 </w:t>
            </w:r>
          </w:p>
        </w:tc>
        <w:tc>
          <w:tcPr>
            <w:tcW w:w="1469" w:type="dxa"/>
            <w:tcBorders>
              <w:top w:val="nil"/>
              <w:left w:val="nil"/>
              <w:bottom w:val="single" w:sz="4" w:space="0" w:color="auto"/>
              <w:right w:val="nil"/>
            </w:tcBorders>
            <w:shd w:val="clear" w:color="auto" w:fill="auto"/>
            <w:noWrap/>
            <w:vAlign w:val="bottom"/>
            <w:hideMark/>
          </w:tcPr>
          <w:p w14:paraId="25B8A5E0" w14:textId="77777777" w:rsidR="00D13387" w:rsidRPr="00D13387" w:rsidRDefault="00D13387" w:rsidP="00D13387">
            <w:pPr>
              <w:widowControl/>
              <w:rPr>
                <w:rFonts w:ascii="Times New Roman" w:eastAsia="Times New Roman" w:hAnsi="Times New Roman" w:cs="Times New Roman"/>
                <w:color w:val="000000"/>
                <w:lang w:eastAsia="es-HN"/>
              </w:rPr>
            </w:pPr>
            <w:r w:rsidRPr="00D13387">
              <w:rPr>
                <w:rFonts w:ascii="Times New Roman" w:eastAsia="Times New Roman" w:hAnsi="Times New Roman" w:cs="Times New Roman"/>
                <w:color w:val="000000"/>
                <w:lang w:eastAsia="es-HN"/>
              </w:rPr>
              <w:t xml:space="preserve">        100,188,296 </w:t>
            </w:r>
          </w:p>
        </w:tc>
        <w:tc>
          <w:tcPr>
            <w:tcW w:w="1469" w:type="dxa"/>
            <w:tcBorders>
              <w:top w:val="nil"/>
              <w:left w:val="nil"/>
              <w:bottom w:val="single" w:sz="4" w:space="0" w:color="auto"/>
              <w:right w:val="nil"/>
            </w:tcBorders>
            <w:shd w:val="clear" w:color="auto" w:fill="auto"/>
            <w:noWrap/>
            <w:vAlign w:val="bottom"/>
            <w:hideMark/>
          </w:tcPr>
          <w:p w14:paraId="37C0400B" w14:textId="77777777" w:rsidR="00D13387" w:rsidRPr="00D13387" w:rsidRDefault="00D13387" w:rsidP="00D13387">
            <w:pPr>
              <w:widowControl/>
              <w:rPr>
                <w:rFonts w:ascii="Times New Roman" w:eastAsia="Times New Roman" w:hAnsi="Times New Roman" w:cs="Times New Roman"/>
                <w:color w:val="000000"/>
                <w:lang w:eastAsia="es-HN"/>
              </w:rPr>
            </w:pPr>
            <w:r w:rsidRPr="00D13387">
              <w:rPr>
                <w:rFonts w:ascii="Times New Roman" w:eastAsia="Times New Roman" w:hAnsi="Times New Roman" w:cs="Times New Roman"/>
                <w:color w:val="000000"/>
                <w:lang w:eastAsia="es-HN"/>
              </w:rPr>
              <w:t xml:space="preserve">          30,632,841 </w:t>
            </w:r>
          </w:p>
        </w:tc>
        <w:tc>
          <w:tcPr>
            <w:tcW w:w="1469" w:type="dxa"/>
            <w:tcBorders>
              <w:top w:val="nil"/>
              <w:left w:val="nil"/>
              <w:bottom w:val="single" w:sz="4" w:space="0" w:color="auto"/>
              <w:right w:val="nil"/>
            </w:tcBorders>
            <w:shd w:val="clear" w:color="auto" w:fill="auto"/>
            <w:noWrap/>
            <w:vAlign w:val="bottom"/>
            <w:hideMark/>
          </w:tcPr>
          <w:p w14:paraId="6565AC47" w14:textId="77777777" w:rsidR="00D13387" w:rsidRPr="00D13387" w:rsidRDefault="00D13387" w:rsidP="00D13387">
            <w:pPr>
              <w:widowControl/>
              <w:rPr>
                <w:rFonts w:ascii="Times New Roman" w:eastAsia="Times New Roman" w:hAnsi="Times New Roman" w:cs="Times New Roman"/>
                <w:color w:val="000000"/>
                <w:lang w:eastAsia="es-HN"/>
              </w:rPr>
            </w:pPr>
            <w:r w:rsidRPr="00D13387">
              <w:rPr>
                <w:rFonts w:ascii="Times New Roman" w:eastAsia="Times New Roman" w:hAnsi="Times New Roman" w:cs="Times New Roman"/>
                <w:color w:val="000000"/>
                <w:lang w:eastAsia="es-HN"/>
              </w:rPr>
              <w:t xml:space="preserve">          48,410,814 </w:t>
            </w:r>
          </w:p>
        </w:tc>
        <w:tc>
          <w:tcPr>
            <w:tcW w:w="1469" w:type="dxa"/>
            <w:tcBorders>
              <w:top w:val="nil"/>
              <w:left w:val="nil"/>
              <w:bottom w:val="single" w:sz="4" w:space="0" w:color="auto"/>
              <w:right w:val="nil"/>
            </w:tcBorders>
            <w:shd w:val="clear" w:color="auto" w:fill="auto"/>
            <w:noWrap/>
            <w:vAlign w:val="bottom"/>
            <w:hideMark/>
          </w:tcPr>
          <w:p w14:paraId="088F082C" w14:textId="77777777" w:rsidR="00D13387" w:rsidRPr="00D13387" w:rsidRDefault="00D13387" w:rsidP="00D13387">
            <w:pPr>
              <w:widowControl/>
              <w:rPr>
                <w:rFonts w:ascii="Times New Roman" w:eastAsia="Times New Roman" w:hAnsi="Times New Roman" w:cs="Times New Roman"/>
                <w:color w:val="000000"/>
                <w:lang w:eastAsia="es-HN"/>
              </w:rPr>
            </w:pPr>
            <w:r w:rsidRPr="00D13387">
              <w:rPr>
                <w:rFonts w:ascii="Times New Roman" w:eastAsia="Times New Roman" w:hAnsi="Times New Roman" w:cs="Times New Roman"/>
                <w:color w:val="000000"/>
                <w:lang w:eastAsia="es-HN"/>
              </w:rPr>
              <w:t xml:space="preserve">          20,312,392 </w:t>
            </w:r>
          </w:p>
        </w:tc>
      </w:tr>
      <w:tr w:rsidR="00D13387" w:rsidRPr="00D13387" w14:paraId="6D421D29" w14:textId="77777777" w:rsidTr="00D13387">
        <w:trPr>
          <w:trHeight w:val="281"/>
        </w:trPr>
        <w:tc>
          <w:tcPr>
            <w:tcW w:w="1769" w:type="dxa"/>
            <w:vMerge/>
            <w:tcBorders>
              <w:top w:val="nil"/>
              <w:left w:val="nil"/>
              <w:bottom w:val="nil"/>
              <w:right w:val="nil"/>
            </w:tcBorders>
            <w:vAlign w:val="center"/>
            <w:hideMark/>
          </w:tcPr>
          <w:p w14:paraId="179D65DC" w14:textId="77777777" w:rsidR="00D13387" w:rsidRPr="00D13387" w:rsidRDefault="00D13387" w:rsidP="00D13387">
            <w:pPr>
              <w:widowControl/>
              <w:rPr>
                <w:rFonts w:ascii="Times New Roman" w:eastAsia="Times New Roman" w:hAnsi="Times New Roman" w:cs="Times New Roman"/>
                <w:b/>
                <w:bCs/>
                <w:color w:val="000000"/>
                <w:lang w:eastAsia="es-HN"/>
              </w:rPr>
            </w:pPr>
          </w:p>
        </w:tc>
        <w:tc>
          <w:tcPr>
            <w:tcW w:w="282" w:type="dxa"/>
            <w:vMerge/>
            <w:tcBorders>
              <w:top w:val="nil"/>
              <w:left w:val="nil"/>
              <w:bottom w:val="nil"/>
              <w:right w:val="nil"/>
            </w:tcBorders>
            <w:vAlign w:val="center"/>
            <w:hideMark/>
          </w:tcPr>
          <w:p w14:paraId="0C59732E" w14:textId="77777777" w:rsidR="00D13387" w:rsidRPr="00D13387" w:rsidRDefault="00D13387" w:rsidP="00D13387">
            <w:pPr>
              <w:widowControl/>
              <w:rPr>
                <w:rFonts w:ascii="Times New Roman" w:eastAsia="Times New Roman" w:hAnsi="Times New Roman" w:cs="Times New Roman"/>
                <w:color w:val="000000"/>
                <w:lang w:eastAsia="es-HN"/>
              </w:rPr>
            </w:pPr>
          </w:p>
        </w:tc>
        <w:tc>
          <w:tcPr>
            <w:tcW w:w="1469" w:type="dxa"/>
            <w:tcBorders>
              <w:top w:val="nil"/>
              <w:left w:val="nil"/>
              <w:bottom w:val="nil"/>
              <w:right w:val="nil"/>
            </w:tcBorders>
            <w:shd w:val="clear" w:color="auto" w:fill="auto"/>
            <w:noWrap/>
            <w:vAlign w:val="bottom"/>
            <w:hideMark/>
          </w:tcPr>
          <w:p w14:paraId="5EA45F69" w14:textId="77777777" w:rsidR="00D13387" w:rsidRPr="00D13387" w:rsidRDefault="00D13387" w:rsidP="00D13387">
            <w:pPr>
              <w:widowControl/>
              <w:rPr>
                <w:rFonts w:ascii="Times New Roman" w:eastAsia="Times New Roman" w:hAnsi="Times New Roman" w:cs="Times New Roman"/>
                <w:color w:val="000000"/>
                <w:lang w:eastAsia="es-HN"/>
              </w:rPr>
            </w:pPr>
            <w:r w:rsidRPr="00D13387">
              <w:rPr>
                <w:rFonts w:ascii="Times New Roman" w:eastAsia="Times New Roman" w:hAnsi="Times New Roman" w:cs="Times New Roman"/>
                <w:color w:val="000000"/>
                <w:lang w:eastAsia="es-HN"/>
              </w:rPr>
              <w:t xml:space="preserve">        235,880,121 </w:t>
            </w:r>
          </w:p>
        </w:tc>
        <w:tc>
          <w:tcPr>
            <w:tcW w:w="1469" w:type="dxa"/>
            <w:tcBorders>
              <w:top w:val="nil"/>
              <w:left w:val="nil"/>
              <w:bottom w:val="nil"/>
              <w:right w:val="nil"/>
            </w:tcBorders>
            <w:shd w:val="clear" w:color="auto" w:fill="auto"/>
            <w:noWrap/>
            <w:vAlign w:val="bottom"/>
            <w:hideMark/>
          </w:tcPr>
          <w:p w14:paraId="62ED25B8" w14:textId="77777777" w:rsidR="00D13387" w:rsidRPr="00D13387" w:rsidRDefault="00D13387" w:rsidP="00D13387">
            <w:pPr>
              <w:widowControl/>
              <w:rPr>
                <w:rFonts w:ascii="Times New Roman" w:eastAsia="Times New Roman" w:hAnsi="Times New Roman" w:cs="Times New Roman"/>
                <w:color w:val="000000"/>
                <w:lang w:eastAsia="es-HN"/>
              </w:rPr>
            </w:pPr>
            <w:r w:rsidRPr="00D13387">
              <w:rPr>
                <w:rFonts w:ascii="Times New Roman" w:eastAsia="Times New Roman" w:hAnsi="Times New Roman" w:cs="Times New Roman"/>
                <w:color w:val="000000"/>
                <w:lang w:eastAsia="es-HN"/>
              </w:rPr>
              <w:t xml:space="preserve">        303,917,383 </w:t>
            </w:r>
          </w:p>
        </w:tc>
        <w:tc>
          <w:tcPr>
            <w:tcW w:w="1469" w:type="dxa"/>
            <w:tcBorders>
              <w:top w:val="nil"/>
              <w:left w:val="nil"/>
              <w:bottom w:val="nil"/>
              <w:right w:val="nil"/>
            </w:tcBorders>
            <w:shd w:val="clear" w:color="auto" w:fill="auto"/>
            <w:noWrap/>
            <w:vAlign w:val="bottom"/>
            <w:hideMark/>
          </w:tcPr>
          <w:p w14:paraId="3ECCF73C" w14:textId="77777777" w:rsidR="00D13387" w:rsidRPr="00D13387" w:rsidRDefault="00D13387" w:rsidP="00D13387">
            <w:pPr>
              <w:widowControl/>
              <w:rPr>
                <w:rFonts w:ascii="Times New Roman" w:eastAsia="Times New Roman" w:hAnsi="Times New Roman" w:cs="Times New Roman"/>
                <w:color w:val="000000"/>
                <w:lang w:eastAsia="es-HN"/>
              </w:rPr>
            </w:pPr>
            <w:r w:rsidRPr="00D13387">
              <w:rPr>
                <w:rFonts w:ascii="Times New Roman" w:eastAsia="Times New Roman" w:hAnsi="Times New Roman" w:cs="Times New Roman"/>
                <w:color w:val="000000"/>
                <w:lang w:eastAsia="es-HN"/>
              </w:rPr>
              <w:t xml:space="preserve">        272,775,460 </w:t>
            </w:r>
          </w:p>
        </w:tc>
        <w:tc>
          <w:tcPr>
            <w:tcW w:w="1469" w:type="dxa"/>
            <w:tcBorders>
              <w:top w:val="nil"/>
              <w:left w:val="nil"/>
              <w:bottom w:val="nil"/>
              <w:right w:val="nil"/>
            </w:tcBorders>
            <w:shd w:val="clear" w:color="auto" w:fill="auto"/>
            <w:noWrap/>
            <w:vAlign w:val="bottom"/>
            <w:hideMark/>
          </w:tcPr>
          <w:p w14:paraId="58358825" w14:textId="77777777" w:rsidR="00D13387" w:rsidRPr="00D13387" w:rsidRDefault="00D13387" w:rsidP="00D13387">
            <w:pPr>
              <w:widowControl/>
              <w:rPr>
                <w:rFonts w:ascii="Times New Roman" w:eastAsia="Times New Roman" w:hAnsi="Times New Roman" w:cs="Times New Roman"/>
                <w:color w:val="000000"/>
                <w:lang w:eastAsia="es-HN"/>
              </w:rPr>
            </w:pPr>
            <w:r w:rsidRPr="00D13387">
              <w:rPr>
                <w:rFonts w:ascii="Times New Roman" w:eastAsia="Times New Roman" w:hAnsi="Times New Roman" w:cs="Times New Roman"/>
                <w:color w:val="000000"/>
                <w:lang w:eastAsia="es-HN"/>
              </w:rPr>
              <w:t xml:space="preserve">        190,816,861 </w:t>
            </w:r>
          </w:p>
        </w:tc>
        <w:tc>
          <w:tcPr>
            <w:tcW w:w="1469" w:type="dxa"/>
            <w:tcBorders>
              <w:top w:val="nil"/>
              <w:left w:val="nil"/>
              <w:bottom w:val="nil"/>
              <w:right w:val="nil"/>
            </w:tcBorders>
            <w:shd w:val="clear" w:color="auto" w:fill="auto"/>
            <w:noWrap/>
            <w:vAlign w:val="bottom"/>
            <w:hideMark/>
          </w:tcPr>
          <w:p w14:paraId="18B4DAFF" w14:textId="77777777" w:rsidR="00D13387" w:rsidRPr="00D13387" w:rsidRDefault="00D13387" w:rsidP="00D13387">
            <w:pPr>
              <w:widowControl/>
              <w:rPr>
                <w:rFonts w:ascii="Times New Roman" w:eastAsia="Times New Roman" w:hAnsi="Times New Roman" w:cs="Times New Roman"/>
                <w:color w:val="000000"/>
                <w:lang w:eastAsia="es-HN"/>
              </w:rPr>
            </w:pPr>
            <w:r w:rsidRPr="00D13387">
              <w:rPr>
                <w:rFonts w:ascii="Times New Roman" w:eastAsia="Times New Roman" w:hAnsi="Times New Roman" w:cs="Times New Roman"/>
                <w:color w:val="000000"/>
                <w:lang w:eastAsia="es-HN"/>
              </w:rPr>
              <w:t xml:space="preserve">        212,685,537 </w:t>
            </w:r>
          </w:p>
        </w:tc>
      </w:tr>
      <w:tr w:rsidR="00D13387" w:rsidRPr="00D13387" w14:paraId="17C50A72" w14:textId="77777777" w:rsidTr="00D13387">
        <w:trPr>
          <w:trHeight w:val="281"/>
        </w:trPr>
        <w:tc>
          <w:tcPr>
            <w:tcW w:w="1769" w:type="dxa"/>
            <w:tcBorders>
              <w:top w:val="nil"/>
              <w:left w:val="nil"/>
              <w:bottom w:val="nil"/>
              <w:right w:val="nil"/>
            </w:tcBorders>
            <w:shd w:val="clear" w:color="auto" w:fill="auto"/>
            <w:noWrap/>
            <w:vAlign w:val="center"/>
            <w:hideMark/>
          </w:tcPr>
          <w:p w14:paraId="1C659466" w14:textId="77777777" w:rsidR="00D13387" w:rsidRPr="00D13387" w:rsidRDefault="00D13387" w:rsidP="00D13387">
            <w:pPr>
              <w:widowControl/>
              <w:rPr>
                <w:rFonts w:ascii="Times New Roman" w:eastAsia="Times New Roman" w:hAnsi="Times New Roman" w:cs="Times New Roman"/>
                <w:color w:val="000000"/>
                <w:lang w:eastAsia="es-HN"/>
              </w:rPr>
            </w:pPr>
          </w:p>
        </w:tc>
        <w:tc>
          <w:tcPr>
            <w:tcW w:w="282" w:type="dxa"/>
            <w:tcBorders>
              <w:top w:val="nil"/>
              <w:left w:val="nil"/>
              <w:bottom w:val="nil"/>
              <w:right w:val="nil"/>
            </w:tcBorders>
            <w:shd w:val="clear" w:color="auto" w:fill="auto"/>
            <w:noWrap/>
            <w:vAlign w:val="center"/>
            <w:hideMark/>
          </w:tcPr>
          <w:p w14:paraId="7FFAD31C" w14:textId="77777777" w:rsidR="00D13387" w:rsidRPr="00D13387" w:rsidRDefault="00D13387" w:rsidP="00D13387">
            <w:pPr>
              <w:widowControl/>
              <w:rPr>
                <w:rFonts w:ascii="Times New Roman" w:eastAsia="Times New Roman" w:hAnsi="Times New Roman" w:cs="Times New Roman"/>
                <w:sz w:val="20"/>
                <w:szCs w:val="20"/>
                <w:lang w:eastAsia="es-HN"/>
              </w:rPr>
            </w:pPr>
          </w:p>
        </w:tc>
        <w:tc>
          <w:tcPr>
            <w:tcW w:w="1469" w:type="dxa"/>
            <w:tcBorders>
              <w:top w:val="nil"/>
              <w:left w:val="nil"/>
              <w:bottom w:val="nil"/>
              <w:right w:val="nil"/>
            </w:tcBorders>
            <w:shd w:val="clear" w:color="auto" w:fill="auto"/>
            <w:noWrap/>
            <w:vAlign w:val="bottom"/>
            <w:hideMark/>
          </w:tcPr>
          <w:p w14:paraId="5481D301" w14:textId="77777777" w:rsidR="00D13387" w:rsidRPr="00D13387" w:rsidRDefault="00D13387" w:rsidP="00D13387">
            <w:pPr>
              <w:widowControl/>
              <w:jc w:val="center"/>
              <w:rPr>
                <w:rFonts w:ascii="Times New Roman" w:eastAsia="Times New Roman" w:hAnsi="Times New Roman" w:cs="Times New Roman"/>
                <w:sz w:val="20"/>
                <w:szCs w:val="20"/>
                <w:lang w:eastAsia="es-HN"/>
              </w:rPr>
            </w:pPr>
          </w:p>
        </w:tc>
        <w:tc>
          <w:tcPr>
            <w:tcW w:w="1469" w:type="dxa"/>
            <w:tcBorders>
              <w:top w:val="nil"/>
              <w:left w:val="nil"/>
              <w:bottom w:val="nil"/>
              <w:right w:val="nil"/>
            </w:tcBorders>
            <w:shd w:val="clear" w:color="auto" w:fill="auto"/>
            <w:noWrap/>
            <w:vAlign w:val="bottom"/>
            <w:hideMark/>
          </w:tcPr>
          <w:p w14:paraId="1388B4B1" w14:textId="77777777" w:rsidR="00D13387" w:rsidRPr="00D13387" w:rsidRDefault="00D13387" w:rsidP="00D13387">
            <w:pPr>
              <w:widowControl/>
              <w:rPr>
                <w:rFonts w:ascii="Times New Roman" w:eastAsia="Times New Roman" w:hAnsi="Times New Roman" w:cs="Times New Roman"/>
                <w:sz w:val="20"/>
                <w:szCs w:val="20"/>
                <w:lang w:eastAsia="es-HN"/>
              </w:rPr>
            </w:pPr>
          </w:p>
        </w:tc>
        <w:tc>
          <w:tcPr>
            <w:tcW w:w="1469" w:type="dxa"/>
            <w:tcBorders>
              <w:top w:val="nil"/>
              <w:left w:val="nil"/>
              <w:bottom w:val="nil"/>
              <w:right w:val="nil"/>
            </w:tcBorders>
            <w:shd w:val="clear" w:color="auto" w:fill="auto"/>
            <w:noWrap/>
            <w:vAlign w:val="bottom"/>
            <w:hideMark/>
          </w:tcPr>
          <w:p w14:paraId="7E88B048" w14:textId="77777777" w:rsidR="00D13387" w:rsidRPr="00D13387" w:rsidRDefault="00D13387" w:rsidP="00D13387">
            <w:pPr>
              <w:widowControl/>
              <w:rPr>
                <w:rFonts w:ascii="Times New Roman" w:eastAsia="Times New Roman" w:hAnsi="Times New Roman" w:cs="Times New Roman"/>
                <w:sz w:val="20"/>
                <w:szCs w:val="20"/>
                <w:lang w:eastAsia="es-HN"/>
              </w:rPr>
            </w:pPr>
          </w:p>
        </w:tc>
        <w:tc>
          <w:tcPr>
            <w:tcW w:w="1469" w:type="dxa"/>
            <w:tcBorders>
              <w:top w:val="nil"/>
              <w:left w:val="nil"/>
              <w:bottom w:val="nil"/>
              <w:right w:val="nil"/>
            </w:tcBorders>
            <w:shd w:val="clear" w:color="auto" w:fill="auto"/>
            <w:noWrap/>
            <w:vAlign w:val="bottom"/>
            <w:hideMark/>
          </w:tcPr>
          <w:p w14:paraId="5CDFAD05" w14:textId="77777777" w:rsidR="00D13387" w:rsidRPr="00D13387" w:rsidRDefault="00D13387" w:rsidP="00D13387">
            <w:pPr>
              <w:widowControl/>
              <w:rPr>
                <w:rFonts w:ascii="Times New Roman" w:eastAsia="Times New Roman" w:hAnsi="Times New Roman" w:cs="Times New Roman"/>
                <w:sz w:val="20"/>
                <w:szCs w:val="20"/>
                <w:lang w:eastAsia="es-HN"/>
              </w:rPr>
            </w:pPr>
          </w:p>
        </w:tc>
        <w:tc>
          <w:tcPr>
            <w:tcW w:w="1469" w:type="dxa"/>
            <w:tcBorders>
              <w:top w:val="nil"/>
              <w:left w:val="nil"/>
              <w:bottom w:val="nil"/>
              <w:right w:val="nil"/>
            </w:tcBorders>
            <w:shd w:val="clear" w:color="auto" w:fill="auto"/>
            <w:noWrap/>
            <w:vAlign w:val="bottom"/>
            <w:hideMark/>
          </w:tcPr>
          <w:p w14:paraId="0BFD8431" w14:textId="77777777" w:rsidR="00D13387" w:rsidRPr="00D13387" w:rsidRDefault="00D13387" w:rsidP="00D13387">
            <w:pPr>
              <w:widowControl/>
              <w:rPr>
                <w:rFonts w:ascii="Times New Roman" w:eastAsia="Times New Roman" w:hAnsi="Times New Roman" w:cs="Times New Roman"/>
                <w:sz w:val="20"/>
                <w:szCs w:val="20"/>
                <w:lang w:eastAsia="es-HN"/>
              </w:rPr>
            </w:pPr>
          </w:p>
        </w:tc>
      </w:tr>
      <w:tr w:rsidR="00D13387" w:rsidRPr="00D13387" w14:paraId="36815523" w14:textId="77777777" w:rsidTr="00D13387">
        <w:trPr>
          <w:trHeight w:val="281"/>
        </w:trPr>
        <w:tc>
          <w:tcPr>
            <w:tcW w:w="1769" w:type="dxa"/>
            <w:tcBorders>
              <w:top w:val="nil"/>
              <w:left w:val="nil"/>
              <w:bottom w:val="nil"/>
              <w:right w:val="nil"/>
            </w:tcBorders>
            <w:shd w:val="clear" w:color="auto" w:fill="auto"/>
            <w:noWrap/>
            <w:vAlign w:val="bottom"/>
            <w:hideMark/>
          </w:tcPr>
          <w:p w14:paraId="7D2E6531" w14:textId="77777777" w:rsidR="00D13387" w:rsidRPr="00D13387" w:rsidRDefault="00D13387" w:rsidP="00D13387">
            <w:pPr>
              <w:widowControl/>
              <w:jc w:val="center"/>
              <w:rPr>
                <w:rFonts w:ascii="Times New Roman" w:eastAsia="Times New Roman" w:hAnsi="Times New Roman" w:cs="Times New Roman"/>
                <w:b/>
                <w:bCs/>
                <w:lang w:eastAsia="es-HN"/>
              </w:rPr>
            </w:pPr>
            <w:r w:rsidRPr="00D13387">
              <w:rPr>
                <w:rFonts w:ascii="Times New Roman" w:eastAsia="Times New Roman" w:hAnsi="Times New Roman" w:cs="Times New Roman"/>
                <w:b/>
                <w:bCs/>
                <w:lang w:eastAsia="es-HN"/>
              </w:rPr>
              <w:t>% Efectivo</w:t>
            </w:r>
          </w:p>
        </w:tc>
        <w:tc>
          <w:tcPr>
            <w:tcW w:w="282" w:type="dxa"/>
            <w:tcBorders>
              <w:top w:val="nil"/>
              <w:left w:val="nil"/>
              <w:bottom w:val="nil"/>
              <w:right w:val="nil"/>
            </w:tcBorders>
            <w:shd w:val="clear" w:color="auto" w:fill="auto"/>
            <w:noWrap/>
            <w:vAlign w:val="bottom"/>
            <w:hideMark/>
          </w:tcPr>
          <w:p w14:paraId="77ED0853" w14:textId="77777777" w:rsidR="00D13387" w:rsidRPr="00D13387" w:rsidRDefault="00D13387" w:rsidP="00D13387">
            <w:pPr>
              <w:widowControl/>
              <w:jc w:val="center"/>
              <w:rPr>
                <w:rFonts w:ascii="Times New Roman" w:eastAsia="Times New Roman" w:hAnsi="Times New Roman" w:cs="Times New Roman"/>
                <w:b/>
                <w:bCs/>
                <w:lang w:eastAsia="es-HN"/>
              </w:rPr>
            </w:pPr>
          </w:p>
        </w:tc>
        <w:tc>
          <w:tcPr>
            <w:tcW w:w="1469" w:type="dxa"/>
            <w:tcBorders>
              <w:top w:val="nil"/>
              <w:left w:val="nil"/>
              <w:bottom w:val="nil"/>
              <w:right w:val="nil"/>
            </w:tcBorders>
            <w:shd w:val="clear" w:color="000000" w:fill="CAEDFB"/>
            <w:noWrap/>
            <w:vAlign w:val="bottom"/>
            <w:hideMark/>
          </w:tcPr>
          <w:p w14:paraId="5B655E59" w14:textId="21D55CDF" w:rsidR="00D13387" w:rsidRPr="00D13387" w:rsidRDefault="00D13387" w:rsidP="006A11A8">
            <w:pPr>
              <w:widowControl/>
              <w:jc w:val="center"/>
              <w:rPr>
                <w:rFonts w:ascii="Times New Roman" w:eastAsia="Times New Roman" w:hAnsi="Times New Roman" w:cs="Times New Roman"/>
                <w:b/>
                <w:bCs/>
                <w:color w:val="000000"/>
                <w:lang w:eastAsia="es-HN"/>
              </w:rPr>
            </w:pPr>
            <w:r w:rsidRPr="00D13387">
              <w:rPr>
                <w:rFonts w:ascii="Times New Roman" w:eastAsia="Times New Roman" w:hAnsi="Times New Roman" w:cs="Times New Roman"/>
                <w:b/>
                <w:bCs/>
                <w:color w:val="000000"/>
                <w:lang w:eastAsia="es-HN"/>
              </w:rPr>
              <w:t>0.2</w:t>
            </w:r>
          </w:p>
        </w:tc>
        <w:tc>
          <w:tcPr>
            <w:tcW w:w="1469" w:type="dxa"/>
            <w:tcBorders>
              <w:top w:val="nil"/>
              <w:left w:val="nil"/>
              <w:bottom w:val="nil"/>
              <w:right w:val="nil"/>
            </w:tcBorders>
            <w:shd w:val="clear" w:color="000000" w:fill="CAEDFB"/>
            <w:noWrap/>
            <w:vAlign w:val="bottom"/>
            <w:hideMark/>
          </w:tcPr>
          <w:p w14:paraId="5AE16275" w14:textId="0E104037" w:rsidR="00D13387" w:rsidRPr="00D13387" w:rsidRDefault="00D13387" w:rsidP="006A11A8">
            <w:pPr>
              <w:widowControl/>
              <w:jc w:val="center"/>
              <w:rPr>
                <w:rFonts w:ascii="Times New Roman" w:eastAsia="Times New Roman" w:hAnsi="Times New Roman" w:cs="Times New Roman"/>
                <w:b/>
                <w:bCs/>
                <w:color w:val="000000"/>
                <w:lang w:eastAsia="es-HN"/>
              </w:rPr>
            </w:pPr>
            <w:r w:rsidRPr="00D13387">
              <w:rPr>
                <w:rFonts w:ascii="Times New Roman" w:eastAsia="Times New Roman" w:hAnsi="Times New Roman" w:cs="Times New Roman"/>
                <w:b/>
                <w:bCs/>
                <w:color w:val="000000"/>
                <w:lang w:eastAsia="es-HN"/>
              </w:rPr>
              <w:t>0.3</w:t>
            </w:r>
          </w:p>
        </w:tc>
        <w:tc>
          <w:tcPr>
            <w:tcW w:w="1469" w:type="dxa"/>
            <w:tcBorders>
              <w:top w:val="nil"/>
              <w:left w:val="nil"/>
              <w:bottom w:val="nil"/>
              <w:right w:val="nil"/>
            </w:tcBorders>
            <w:shd w:val="clear" w:color="000000" w:fill="CAEDFB"/>
            <w:noWrap/>
            <w:vAlign w:val="bottom"/>
            <w:hideMark/>
          </w:tcPr>
          <w:p w14:paraId="138B1273" w14:textId="55689F5C" w:rsidR="00D13387" w:rsidRPr="00D13387" w:rsidRDefault="00D13387" w:rsidP="006A11A8">
            <w:pPr>
              <w:widowControl/>
              <w:jc w:val="center"/>
              <w:rPr>
                <w:rFonts w:ascii="Times New Roman" w:eastAsia="Times New Roman" w:hAnsi="Times New Roman" w:cs="Times New Roman"/>
                <w:b/>
                <w:bCs/>
                <w:color w:val="000000"/>
                <w:lang w:eastAsia="es-HN"/>
              </w:rPr>
            </w:pPr>
            <w:r w:rsidRPr="00D13387">
              <w:rPr>
                <w:rFonts w:ascii="Times New Roman" w:eastAsia="Times New Roman" w:hAnsi="Times New Roman" w:cs="Times New Roman"/>
                <w:b/>
                <w:bCs/>
                <w:color w:val="000000"/>
                <w:lang w:eastAsia="es-HN"/>
              </w:rPr>
              <w:t>0.1</w:t>
            </w:r>
          </w:p>
        </w:tc>
        <w:tc>
          <w:tcPr>
            <w:tcW w:w="1469" w:type="dxa"/>
            <w:tcBorders>
              <w:top w:val="nil"/>
              <w:left w:val="nil"/>
              <w:bottom w:val="nil"/>
              <w:right w:val="nil"/>
            </w:tcBorders>
            <w:shd w:val="clear" w:color="000000" w:fill="CAEDFB"/>
            <w:noWrap/>
            <w:vAlign w:val="bottom"/>
            <w:hideMark/>
          </w:tcPr>
          <w:p w14:paraId="594F877D" w14:textId="55EE04F8" w:rsidR="00D13387" w:rsidRPr="00D13387" w:rsidRDefault="00D13387" w:rsidP="006A11A8">
            <w:pPr>
              <w:widowControl/>
              <w:jc w:val="center"/>
              <w:rPr>
                <w:rFonts w:ascii="Times New Roman" w:eastAsia="Times New Roman" w:hAnsi="Times New Roman" w:cs="Times New Roman"/>
                <w:b/>
                <w:bCs/>
                <w:color w:val="000000"/>
                <w:lang w:eastAsia="es-HN"/>
              </w:rPr>
            </w:pPr>
            <w:r w:rsidRPr="00D13387">
              <w:rPr>
                <w:rFonts w:ascii="Times New Roman" w:eastAsia="Times New Roman" w:hAnsi="Times New Roman" w:cs="Times New Roman"/>
                <w:b/>
                <w:bCs/>
                <w:color w:val="000000"/>
                <w:lang w:eastAsia="es-HN"/>
              </w:rPr>
              <w:t>0.3</w:t>
            </w:r>
          </w:p>
        </w:tc>
        <w:tc>
          <w:tcPr>
            <w:tcW w:w="1469" w:type="dxa"/>
            <w:tcBorders>
              <w:top w:val="nil"/>
              <w:left w:val="nil"/>
              <w:bottom w:val="nil"/>
              <w:right w:val="nil"/>
            </w:tcBorders>
            <w:shd w:val="clear" w:color="000000" w:fill="CAEDFB"/>
            <w:noWrap/>
            <w:vAlign w:val="bottom"/>
            <w:hideMark/>
          </w:tcPr>
          <w:p w14:paraId="5B0DABB6" w14:textId="147ACAD2" w:rsidR="00D13387" w:rsidRPr="00D13387" w:rsidRDefault="00D13387" w:rsidP="006A11A8">
            <w:pPr>
              <w:widowControl/>
              <w:jc w:val="center"/>
              <w:rPr>
                <w:rFonts w:ascii="Times New Roman" w:eastAsia="Times New Roman" w:hAnsi="Times New Roman" w:cs="Times New Roman"/>
                <w:b/>
                <w:bCs/>
                <w:color w:val="000000"/>
                <w:lang w:eastAsia="es-HN"/>
              </w:rPr>
            </w:pPr>
            <w:r w:rsidRPr="00D13387">
              <w:rPr>
                <w:rFonts w:ascii="Times New Roman" w:eastAsia="Times New Roman" w:hAnsi="Times New Roman" w:cs="Times New Roman"/>
                <w:b/>
                <w:bCs/>
                <w:color w:val="000000"/>
                <w:lang w:eastAsia="es-HN"/>
              </w:rPr>
              <w:t>0.1</w:t>
            </w:r>
          </w:p>
        </w:tc>
      </w:tr>
    </w:tbl>
    <w:p w14:paraId="36CADA5F" w14:textId="77777777" w:rsidR="00D13387" w:rsidRDefault="00D13387" w:rsidP="00D13387">
      <w:pPr>
        <w:spacing w:line="360" w:lineRule="auto"/>
        <w:jc w:val="both"/>
        <w:rPr>
          <w:rFonts w:ascii="Times New Roman" w:hAnsi="Times New Roman" w:cs="Times New Roman"/>
          <w:sz w:val="24"/>
          <w:szCs w:val="24"/>
          <w:lang w:val="es-ES"/>
        </w:rPr>
      </w:pPr>
    </w:p>
    <w:p w14:paraId="221813B7" w14:textId="0016EF7D" w:rsidR="006255AA" w:rsidRPr="0037253C" w:rsidRDefault="006255AA" w:rsidP="0037253C">
      <w:pPr>
        <w:spacing w:after="240" w:line="360" w:lineRule="auto"/>
        <w:ind w:firstLine="720"/>
        <w:rPr>
          <w:noProof/>
          <w:sz w:val="24"/>
          <w:szCs w:val="24"/>
        </w:rPr>
      </w:pPr>
      <w:r w:rsidRPr="0037253C">
        <w:rPr>
          <w:rFonts w:ascii="Times New Roman" w:hAnsi="Times New Roman" w:cs="Times New Roman"/>
          <w:sz w:val="24"/>
          <w:szCs w:val="24"/>
        </w:rPr>
        <w:t xml:space="preserve">Fuente: Elaboración propia con datos de microfinanciera </w:t>
      </w:r>
      <w:r w:rsidR="00E5074B" w:rsidRPr="0037253C">
        <w:rPr>
          <w:rFonts w:ascii="Times New Roman" w:hAnsi="Times New Roman" w:cs="Times New Roman"/>
          <w:sz w:val="24"/>
          <w:szCs w:val="24"/>
        </w:rPr>
        <w:t>“XYZ”</w:t>
      </w:r>
      <w:r w:rsidRPr="0037253C">
        <w:rPr>
          <w:noProof/>
          <w:sz w:val="24"/>
          <w:szCs w:val="24"/>
        </w:rPr>
        <w:t>.</w:t>
      </w:r>
    </w:p>
    <w:p w14:paraId="535C96F5" w14:textId="0C8DD436" w:rsidR="006255AA" w:rsidRDefault="006255AA" w:rsidP="006255AA">
      <w:pPr>
        <w:spacing w:line="360" w:lineRule="auto"/>
        <w:ind w:firstLine="720"/>
        <w:jc w:val="both"/>
        <w:rPr>
          <w:rFonts w:ascii="Times New Roman" w:hAnsi="Times New Roman" w:cs="Times New Roman"/>
          <w:sz w:val="24"/>
          <w:szCs w:val="24"/>
          <w:lang w:val="es-ES"/>
        </w:rPr>
      </w:pPr>
      <w:r>
        <w:rPr>
          <w:rFonts w:ascii="Times New Roman" w:hAnsi="Times New Roman" w:cs="Times New Roman"/>
          <w:sz w:val="24"/>
          <w:szCs w:val="24"/>
          <w:lang w:val="es-ES"/>
        </w:rPr>
        <w:t>Los resultados de este indicador muestran que la IMF no cuenta con los fondos suficientes</w:t>
      </w:r>
      <w:r w:rsidR="0074190E">
        <w:rPr>
          <w:rFonts w:ascii="Times New Roman" w:hAnsi="Times New Roman" w:cs="Times New Roman"/>
          <w:sz w:val="24"/>
          <w:szCs w:val="24"/>
          <w:lang w:val="es-ES"/>
        </w:rPr>
        <w:t xml:space="preserve"> </w:t>
      </w:r>
      <w:r w:rsidR="00990919">
        <w:rPr>
          <w:rFonts w:ascii="Times New Roman" w:hAnsi="Times New Roman" w:cs="Times New Roman"/>
          <w:sz w:val="24"/>
          <w:szCs w:val="24"/>
          <w:lang w:val="es-ES"/>
        </w:rPr>
        <w:t xml:space="preserve">en </w:t>
      </w:r>
      <w:r w:rsidR="0074190E">
        <w:rPr>
          <w:rFonts w:ascii="Times New Roman" w:hAnsi="Times New Roman" w:cs="Times New Roman"/>
          <w:sz w:val="24"/>
          <w:szCs w:val="24"/>
          <w:lang w:val="es-ES"/>
        </w:rPr>
        <w:t>activos líquidos</w:t>
      </w:r>
      <w:r w:rsidR="00990919">
        <w:rPr>
          <w:rFonts w:ascii="Times New Roman" w:hAnsi="Times New Roman" w:cs="Times New Roman"/>
          <w:sz w:val="24"/>
          <w:szCs w:val="24"/>
          <w:lang w:val="es-ES"/>
        </w:rPr>
        <w:t xml:space="preserve"> </w:t>
      </w:r>
      <w:r>
        <w:rPr>
          <w:rFonts w:ascii="Times New Roman" w:hAnsi="Times New Roman" w:cs="Times New Roman"/>
          <w:sz w:val="24"/>
          <w:szCs w:val="24"/>
          <w:lang w:val="es-ES"/>
        </w:rPr>
        <w:t xml:space="preserve">para cumplir con sus deudas inmediatas sin </w:t>
      </w:r>
      <w:r w:rsidR="00990919">
        <w:rPr>
          <w:rFonts w:ascii="Times New Roman" w:hAnsi="Times New Roman" w:cs="Times New Roman"/>
          <w:sz w:val="24"/>
          <w:szCs w:val="24"/>
          <w:lang w:val="es-ES"/>
        </w:rPr>
        <w:t xml:space="preserve">tener que </w:t>
      </w:r>
      <w:r>
        <w:rPr>
          <w:rFonts w:ascii="Times New Roman" w:hAnsi="Times New Roman" w:cs="Times New Roman"/>
          <w:sz w:val="24"/>
          <w:szCs w:val="24"/>
          <w:lang w:val="es-ES"/>
        </w:rPr>
        <w:t>recurrir a otras fuentes de financiación</w:t>
      </w:r>
      <w:r w:rsidR="0074190E">
        <w:rPr>
          <w:rFonts w:ascii="Times New Roman" w:hAnsi="Times New Roman" w:cs="Times New Roman"/>
          <w:sz w:val="24"/>
          <w:szCs w:val="24"/>
          <w:lang w:val="es-ES"/>
        </w:rPr>
        <w:t>, por lo que, la institución podría enfrentar problemas de liquidez.</w:t>
      </w:r>
    </w:p>
    <w:p w14:paraId="3EFBBC0B" w14:textId="66CCB32D" w:rsidR="00D13387" w:rsidRDefault="007A2103" w:rsidP="00272B2F">
      <w:pPr>
        <w:spacing w:line="360" w:lineRule="auto"/>
        <w:jc w:val="center"/>
        <w:rPr>
          <w:rFonts w:ascii="Times New Roman" w:hAnsi="Times New Roman" w:cs="Times New Roman"/>
          <w:sz w:val="24"/>
          <w:szCs w:val="24"/>
        </w:rPr>
      </w:pPr>
      <w:r>
        <w:rPr>
          <w:noProof/>
        </w:rPr>
        <w:drawing>
          <wp:inline distT="0" distB="0" distL="0" distR="0" wp14:anchorId="5602A6E7" wp14:editId="04F592DA">
            <wp:extent cx="4371975" cy="3124200"/>
            <wp:effectExtent l="0" t="0" r="9525" b="0"/>
            <wp:docPr id="1782448279" name="Gráfico 1">
              <a:extLst xmlns:a="http://schemas.openxmlformats.org/drawingml/2006/main">
                <a:ext uri="{FF2B5EF4-FFF2-40B4-BE49-F238E27FC236}">
                  <a16:creationId xmlns:a16="http://schemas.microsoft.com/office/drawing/2014/main" id="{B390A941-75F0-99C5-3B52-3069E66D6874}"/>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14:paraId="1D876177" w14:textId="77777777" w:rsidR="00254C51" w:rsidRDefault="006255AA" w:rsidP="0037253C">
      <w:pPr>
        <w:spacing w:line="360" w:lineRule="auto"/>
        <w:ind w:firstLine="720"/>
        <w:jc w:val="both"/>
        <w:rPr>
          <w:rFonts w:ascii="Times New Roman" w:hAnsi="Times New Roman" w:cs="Times New Roman"/>
          <w:sz w:val="24"/>
          <w:szCs w:val="24"/>
          <w:lang w:val="es-ES"/>
        </w:rPr>
      </w:pPr>
      <w:r>
        <w:rPr>
          <w:rFonts w:ascii="Times New Roman" w:hAnsi="Times New Roman" w:cs="Times New Roman"/>
          <w:sz w:val="24"/>
          <w:szCs w:val="24"/>
          <w:lang w:val="es-ES"/>
        </w:rPr>
        <w:t>Figura 8. Prueba Defensiva.</w:t>
      </w:r>
    </w:p>
    <w:p w14:paraId="30E063C2" w14:textId="35716361" w:rsidR="006255AA" w:rsidRDefault="00254C51" w:rsidP="0037253C">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Fuente: </w:t>
      </w:r>
      <w:r w:rsidR="006255AA" w:rsidRPr="009968F1">
        <w:rPr>
          <w:rFonts w:ascii="Times New Roman" w:hAnsi="Times New Roman" w:cs="Times New Roman"/>
          <w:sz w:val="24"/>
          <w:szCs w:val="24"/>
        </w:rPr>
        <w:t xml:space="preserve">Elaboración propia con datos de microfinanciera </w:t>
      </w:r>
      <w:r w:rsidR="00E5074B">
        <w:rPr>
          <w:rFonts w:ascii="Times New Roman" w:hAnsi="Times New Roman" w:cs="Times New Roman"/>
          <w:sz w:val="24"/>
          <w:szCs w:val="24"/>
        </w:rPr>
        <w:t>“XYZ”</w:t>
      </w:r>
      <w:r w:rsidR="0074190E">
        <w:rPr>
          <w:rFonts w:ascii="Times New Roman" w:hAnsi="Times New Roman" w:cs="Times New Roman"/>
          <w:sz w:val="24"/>
          <w:szCs w:val="24"/>
        </w:rPr>
        <w:t>.</w:t>
      </w:r>
    </w:p>
    <w:p w14:paraId="0268139D" w14:textId="77777777" w:rsidR="00254C51" w:rsidRDefault="00254C51" w:rsidP="008953AC">
      <w:pPr>
        <w:spacing w:line="360" w:lineRule="auto"/>
        <w:ind w:firstLine="720"/>
        <w:jc w:val="both"/>
        <w:rPr>
          <w:rFonts w:ascii="Times New Roman" w:hAnsi="Times New Roman" w:cs="Times New Roman"/>
          <w:sz w:val="24"/>
          <w:szCs w:val="24"/>
        </w:rPr>
      </w:pPr>
    </w:p>
    <w:p w14:paraId="1367698A" w14:textId="6DB2E0D4" w:rsidR="00AF59F1" w:rsidRDefault="00AF59F1" w:rsidP="008953AC">
      <w:pPr>
        <w:spacing w:line="360" w:lineRule="auto"/>
        <w:ind w:firstLine="720"/>
        <w:jc w:val="both"/>
        <w:rPr>
          <w:rFonts w:ascii="Times New Roman" w:hAnsi="Times New Roman" w:cs="Times New Roman"/>
          <w:sz w:val="24"/>
          <w:szCs w:val="24"/>
        </w:rPr>
      </w:pPr>
      <w:r w:rsidRPr="00AF59F1">
        <w:rPr>
          <w:rFonts w:ascii="Times New Roman" w:hAnsi="Times New Roman" w:cs="Times New Roman"/>
          <w:sz w:val="24"/>
          <w:szCs w:val="24"/>
        </w:rPr>
        <w:t xml:space="preserve">Como se muestra en la Figura 8 de la prueba defensiva, en el año 2022 la institución podía cubrir hasta un 30% de sus obligaciones a corto plazo con sus activos líquidos. Sin embargo, para el año 2023, esta capacidad se redujo a solo un 10%. Esta disminución se debe a una menor </w:t>
      </w:r>
      <w:r w:rsidRPr="00AF59F1">
        <w:rPr>
          <w:rFonts w:ascii="Times New Roman" w:hAnsi="Times New Roman" w:cs="Times New Roman"/>
          <w:sz w:val="24"/>
          <w:szCs w:val="24"/>
        </w:rPr>
        <w:lastRenderedPageBreak/>
        <w:t xml:space="preserve">cantidad de efectivo disponible y un incremento en la deuda a corto plazo. Estos resultados sugieren que la microfinanciera </w:t>
      </w:r>
      <w:r w:rsidR="00E5074B">
        <w:rPr>
          <w:rFonts w:ascii="Times New Roman" w:hAnsi="Times New Roman" w:cs="Times New Roman"/>
          <w:sz w:val="24"/>
          <w:szCs w:val="24"/>
        </w:rPr>
        <w:t>“XYZ”</w:t>
      </w:r>
      <w:r w:rsidRPr="00AF59F1">
        <w:rPr>
          <w:rFonts w:ascii="Times New Roman" w:hAnsi="Times New Roman" w:cs="Times New Roman"/>
          <w:sz w:val="24"/>
          <w:szCs w:val="24"/>
        </w:rPr>
        <w:t xml:space="preserve"> podría estar enfrentando desafíos significativos en términos de liquidez, lo cual es una señal de alerta sobre su capacidad para manejar sus obligaciones y costos operativos de manera efectiva</w:t>
      </w:r>
      <w:r>
        <w:rPr>
          <w:rFonts w:ascii="Times New Roman" w:hAnsi="Times New Roman" w:cs="Times New Roman"/>
          <w:sz w:val="24"/>
          <w:szCs w:val="24"/>
        </w:rPr>
        <w:t>.</w:t>
      </w:r>
    </w:p>
    <w:p w14:paraId="054ACF96" w14:textId="77777777" w:rsidR="003E2058" w:rsidRDefault="003E2058" w:rsidP="008953AC">
      <w:pPr>
        <w:spacing w:line="360" w:lineRule="auto"/>
        <w:ind w:firstLine="720"/>
        <w:jc w:val="both"/>
        <w:rPr>
          <w:rFonts w:ascii="Times New Roman" w:hAnsi="Times New Roman" w:cs="Times New Roman"/>
          <w:sz w:val="24"/>
          <w:szCs w:val="24"/>
        </w:rPr>
      </w:pPr>
    </w:p>
    <w:p w14:paraId="40BC848A" w14:textId="77777777" w:rsidR="00B77490" w:rsidRPr="00B77490" w:rsidRDefault="00B77490" w:rsidP="00195CA2">
      <w:pPr>
        <w:pStyle w:val="Ttulo5"/>
        <w:spacing w:line="360" w:lineRule="auto"/>
        <w:ind w:firstLine="1440"/>
        <w:rPr>
          <w:rFonts w:ascii="Times New Roman" w:hAnsi="Times New Roman" w:cs="Times New Roman"/>
          <w:b/>
          <w:bCs/>
          <w:color w:val="000000" w:themeColor="text1"/>
          <w:sz w:val="24"/>
          <w:szCs w:val="24"/>
        </w:rPr>
      </w:pPr>
      <w:bookmarkStart w:id="286" w:name="_Toc175171436"/>
      <w:r w:rsidRPr="00B77490">
        <w:rPr>
          <w:rFonts w:ascii="Times New Roman" w:hAnsi="Times New Roman" w:cs="Times New Roman"/>
          <w:b/>
          <w:bCs/>
          <w:color w:val="000000" w:themeColor="text1"/>
          <w:sz w:val="24"/>
          <w:szCs w:val="24"/>
        </w:rPr>
        <w:t>4.2.2.1.3. CAPITAL DE TRABAJO</w:t>
      </w:r>
      <w:bookmarkEnd w:id="286"/>
    </w:p>
    <w:p w14:paraId="1B35693E" w14:textId="77777777" w:rsidR="00B77490" w:rsidRDefault="00B77490" w:rsidP="00195CA2">
      <w:pPr>
        <w:spacing w:line="360" w:lineRule="auto"/>
        <w:ind w:firstLine="720"/>
        <w:jc w:val="both"/>
        <w:rPr>
          <w:rFonts w:ascii="Times New Roman" w:hAnsi="Times New Roman" w:cs="Times New Roman"/>
          <w:sz w:val="24"/>
          <w:szCs w:val="24"/>
        </w:rPr>
      </w:pPr>
      <w:r w:rsidRPr="00B77490">
        <w:rPr>
          <w:rFonts w:ascii="Times New Roman" w:hAnsi="Times New Roman" w:cs="Times New Roman"/>
          <w:sz w:val="24"/>
          <w:szCs w:val="24"/>
        </w:rPr>
        <w:t>El Capital de Trabajo, es lo que le queda a la empresa después de saldar sus deudas inmediatas, es la diferencia entre los Activos Corrientes menos Pasivos Corrientes</w:t>
      </w:r>
      <w:r w:rsidRPr="00B77490">
        <w:rPr>
          <w:rFonts w:ascii="Times New Roman" w:hAnsi="Times New Roman" w:cs="Times New Roman"/>
          <w:sz w:val="24"/>
          <w:szCs w:val="24"/>
          <w:lang w:val="es-ES"/>
        </w:rPr>
        <w:t xml:space="preserve">, uno de los indicadores financieros más importantes de una empresa debido a que permite determinar los recursos con los que se dispone en la empresa, es decir, mide de cuanto </w:t>
      </w:r>
      <w:r w:rsidRPr="00B77490">
        <w:rPr>
          <w:rFonts w:ascii="Times New Roman" w:hAnsi="Times New Roman" w:cs="Times New Roman"/>
          <w:sz w:val="24"/>
          <w:szCs w:val="24"/>
        </w:rPr>
        <w:t>dinero dispone la empresa para poder operar diariamente.</w:t>
      </w:r>
    </w:p>
    <w:p w14:paraId="0FAF5467" w14:textId="77777777" w:rsidR="00A90B85" w:rsidRPr="00A90B85" w:rsidRDefault="00A90B85" w:rsidP="00A90B85">
      <w:pPr>
        <w:spacing w:line="360" w:lineRule="auto"/>
        <w:ind w:firstLine="720"/>
        <w:jc w:val="both"/>
        <w:rPr>
          <w:rFonts w:ascii="Times New Roman" w:hAnsi="Times New Roman" w:cs="Times New Roman"/>
          <w:sz w:val="24"/>
          <w:szCs w:val="24"/>
        </w:rPr>
      </w:pPr>
      <w:r w:rsidRPr="00A90B85">
        <w:rPr>
          <w:rFonts w:ascii="Times New Roman" w:hAnsi="Times New Roman" w:cs="Times New Roman"/>
          <w:sz w:val="24"/>
          <w:szCs w:val="24"/>
        </w:rPr>
        <w:t>Para ello se hizo uso de la siguiente formula:</w:t>
      </w:r>
    </w:p>
    <w:p w14:paraId="7EF9667F" w14:textId="54459A9B" w:rsidR="00A90B85" w:rsidRPr="00BA4F50" w:rsidRDefault="00A90B85" w:rsidP="00A90B85">
      <w:pPr>
        <w:spacing w:line="360" w:lineRule="auto"/>
        <w:ind w:firstLine="720"/>
        <w:jc w:val="both"/>
        <w:rPr>
          <w:rFonts w:ascii="Times New Roman" w:hAnsi="Times New Roman" w:cs="Times New Roman"/>
          <w:b/>
          <w:bCs/>
          <w:i/>
          <w:iCs/>
          <w:sz w:val="24"/>
          <w:szCs w:val="24"/>
        </w:rPr>
      </w:pPr>
      <w:r w:rsidRPr="00BA4F50">
        <w:rPr>
          <w:rFonts w:ascii="Times New Roman" w:hAnsi="Times New Roman" w:cs="Times New Roman"/>
          <w:b/>
          <w:bCs/>
          <w:i/>
          <w:iCs/>
          <w:sz w:val="24"/>
          <w:szCs w:val="24"/>
        </w:rPr>
        <w:t>Capital de Trabajo = Activo Corriente - Pasivo Corriente</w:t>
      </w:r>
    </w:p>
    <w:p w14:paraId="5EADE660" w14:textId="77777777" w:rsidR="007A2103" w:rsidRDefault="007A2103" w:rsidP="007A2103">
      <w:pPr>
        <w:spacing w:line="360" w:lineRule="auto"/>
        <w:jc w:val="both"/>
        <w:rPr>
          <w:rFonts w:ascii="Times New Roman" w:hAnsi="Times New Roman" w:cs="Times New Roman"/>
          <w:sz w:val="24"/>
          <w:szCs w:val="24"/>
        </w:rPr>
      </w:pPr>
    </w:p>
    <w:p w14:paraId="381E9B62" w14:textId="208AEF26" w:rsidR="000A3A8B" w:rsidRPr="008953AC" w:rsidRDefault="000A3A8B" w:rsidP="008953AC">
      <w:pPr>
        <w:spacing w:line="360" w:lineRule="auto"/>
        <w:ind w:firstLine="720"/>
        <w:jc w:val="both"/>
        <w:rPr>
          <w:rFonts w:ascii="Times New Roman" w:hAnsi="Times New Roman" w:cs="Times New Roman"/>
          <w:sz w:val="24"/>
          <w:szCs w:val="24"/>
        </w:rPr>
      </w:pPr>
      <w:bookmarkStart w:id="287" w:name="_Hlk167633805"/>
      <w:r w:rsidRPr="008953AC">
        <w:rPr>
          <w:rFonts w:ascii="Times New Roman" w:hAnsi="Times New Roman" w:cs="Times New Roman"/>
          <w:sz w:val="24"/>
          <w:szCs w:val="24"/>
        </w:rPr>
        <w:t xml:space="preserve">Tabla 9. Capital de Trabajo microfinanciera </w:t>
      </w:r>
      <w:r w:rsidR="00E5074B" w:rsidRPr="008953AC">
        <w:rPr>
          <w:rFonts w:ascii="Times New Roman" w:hAnsi="Times New Roman" w:cs="Times New Roman"/>
          <w:sz w:val="24"/>
          <w:szCs w:val="24"/>
        </w:rPr>
        <w:t>“XYZ”</w:t>
      </w:r>
      <w:r w:rsidRPr="008953AC">
        <w:rPr>
          <w:rFonts w:ascii="Times New Roman" w:hAnsi="Times New Roman" w:cs="Times New Roman"/>
          <w:sz w:val="24"/>
          <w:szCs w:val="24"/>
        </w:rPr>
        <w:t xml:space="preserve"> periodo 2019-2023</w:t>
      </w:r>
    </w:p>
    <w:bookmarkEnd w:id="287"/>
    <w:tbl>
      <w:tblPr>
        <w:tblW w:w="9486" w:type="dxa"/>
        <w:tblCellMar>
          <w:left w:w="70" w:type="dxa"/>
          <w:right w:w="70" w:type="dxa"/>
        </w:tblCellMar>
        <w:tblLook w:val="04A0" w:firstRow="1" w:lastRow="0" w:firstColumn="1" w:lastColumn="0" w:noHBand="0" w:noVBand="1"/>
      </w:tblPr>
      <w:tblGrid>
        <w:gridCol w:w="1786"/>
        <w:gridCol w:w="285"/>
        <w:gridCol w:w="1483"/>
        <w:gridCol w:w="1483"/>
        <w:gridCol w:w="1483"/>
        <w:gridCol w:w="1483"/>
        <w:gridCol w:w="1483"/>
      </w:tblGrid>
      <w:tr w:rsidR="007A2103" w:rsidRPr="007A2103" w14:paraId="2FCAEE00" w14:textId="77777777" w:rsidTr="0078160E">
        <w:trPr>
          <w:trHeight w:val="323"/>
        </w:trPr>
        <w:tc>
          <w:tcPr>
            <w:tcW w:w="1786" w:type="dxa"/>
            <w:tcBorders>
              <w:top w:val="nil"/>
              <w:left w:val="nil"/>
              <w:bottom w:val="nil"/>
              <w:right w:val="nil"/>
            </w:tcBorders>
            <w:shd w:val="clear" w:color="auto" w:fill="auto"/>
            <w:noWrap/>
            <w:vAlign w:val="bottom"/>
            <w:hideMark/>
          </w:tcPr>
          <w:p w14:paraId="2186A4CA" w14:textId="77777777" w:rsidR="007A2103" w:rsidRPr="007A2103" w:rsidRDefault="007A2103" w:rsidP="007A2103">
            <w:pPr>
              <w:widowControl/>
              <w:rPr>
                <w:rFonts w:ascii="Times New Roman" w:eastAsia="Times New Roman" w:hAnsi="Times New Roman" w:cs="Times New Roman"/>
                <w:sz w:val="24"/>
                <w:szCs w:val="24"/>
                <w:lang w:eastAsia="es-HN"/>
              </w:rPr>
            </w:pPr>
          </w:p>
        </w:tc>
        <w:tc>
          <w:tcPr>
            <w:tcW w:w="285" w:type="dxa"/>
            <w:tcBorders>
              <w:top w:val="nil"/>
              <w:left w:val="nil"/>
              <w:bottom w:val="nil"/>
              <w:right w:val="nil"/>
            </w:tcBorders>
            <w:shd w:val="clear" w:color="auto" w:fill="auto"/>
            <w:noWrap/>
            <w:vAlign w:val="bottom"/>
            <w:hideMark/>
          </w:tcPr>
          <w:p w14:paraId="456C8EBB" w14:textId="77777777" w:rsidR="007A2103" w:rsidRPr="007A2103" w:rsidRDefault="007A2103" w:rsidP="007A2103">
            <w:pPr>
              <w:widowControl/>
              <w:rPr>
                <w:rFonts w:ascii="Times New Roman" w:eastAsia="Times New Roman" w:hAnsi="Times New Roman" w:cs="Times New Roman"/>
                <w:sz w:val="20"/>
                <w:szCs w:val="20"/>
                <w:lang w:eastAsia="es-HN"/>
              </w:rPr>
            </w:pPr>
          </w:p>
        </w:tc>
        <w:tc>
          <w:tcPr>
            <w:tcW w:w="1483" w:type="dxa"/>
            <w:tcBorders>
              <w:top w:val="nil"/>
              <w:left w:val="nil"/>
              <w:bottom w:val="nil"/>
              <w:right w:val="nil"/>
            </w:tcBorders>
            <w:shd w:val="clear" w:color="auto" w:fill="auto"/>
            <w:noWrap/>
            <w:vAlign w:val="bottom"/>
            <w:hideMark/>
          </w:tcPr>
          <w:p w14:paraId="70AC825C" w14:textId="77777777" w:rsidR="007A2103" w:rsidRPr="007A2103" w:rsidRDefault="007A2103" w:rsidP="007A2103">
            <w:pPr>
              <w:widowControl/>
              <w:jc w:val="center"/>
              <w:rPr>
                <w:rFonts w:ascii="Times New Roman" w:eastAsia="Times New Roman" w:hAnsi="Times New Roman" w:cs="Times New Roman"/>
                <w:b/>
                <w:bCs/>
                <w:color w:val="000000"/>
                <w:lang w:eastAsia="es-HN"/>
              </w:rPr>
            </w:pPr>
            <w:r w:rsidRPr="007A2103">
              <w:rPr>
                <w:rFonts w:ascii="Times New Roman" w:eastAsia="Times New Roman" w:hAnsi="Times New Roman" w:cs="Times New Roman"/>
                <w:b/>
                <w:bCs/>
                <w:color w:val="000000"/>
                <w:lang w:eastAsia="es-HN"/>
              </w:rPr>
              <w:t>2019</w:t>
            </w:r>
          </w:p>
        </w:tc>
        <w:tc>
          <w:tcPr>
            <w:tcW w:w="1483" w:type="dxa"/>
            <w:tcBorders>
              <w:top w:val="nil"/>
              <w:left w:val="nil"/>
              <w:bottom w:val="nil"/>
              <w:right w:val="nil"/>
            </w:tcBorders>
            <w:shd w:val="clear" w:color="auto" w:fill="auto"/>
            <w:noWrap/>
            <w:vAlign w:val="bottom"/>
            <w:hideMark/>
          </w:tcPr>
          <w:p w14:paraId="2511E8E0" w14:textId="77777777" w:rsidR="007A2103" w:rsidRPr="007A2103" w:rsidRDefault="007A2103" w:rsidP="007A2103">
            <w:pPr>
              <w:widowControl/>
              <w:jc w:val="center"/>
              <w:rPr>
                <w:rFonts w:ascii="Times New Roman" w:eastAsia="Times New Roman" w:hAnsi="Times New Roman" w:cs="Times New Roman"/>
                <w:b/>
                <w:bCs/>
                <w:color w:val="000000"/>
                <w:lang w:eastAsia="es-HN"/>
              </w:rPr>
            </w:pPr>
            <w:r w:rsidRPr="007A2103">
              <w:rPr>
                <w:rFonts w:ascii="Times New Roman" w:eastAsia="Times New Roman" w:hAnsi="Times New Roman" w:cs="Times New Roman"/>
                <w:b/>
                <w:bCs/>
                <w:color w:val="000000"/>
                <w:lang w:eastAsia="es-HN"/>
              </w:rPr>
              <w:t>2020</w:t>
            </w:r>
          </w:p>
        </w:tc>
        <w:tc>
          <w:tcPr>
            <w:tcW w:w="1483" w:type="dxa"/>
            <w:tcBorders>
              <w:top w:val="nil"/>
              <w:left w:val="nil"/>
              <w:bottom w:val="nil"/>
              <w:right w:val="nil"/>
            </w:tcBorders>
            <w:shd w:val="clear" w:color="auto" w:fill="auto"/>
            <w:noWrap/>
            <w:vAlign w:val="bottom"/>
            <w:hideMark/>
          </w:tcPr>
          <w:p w14:paraId="3B1FB11E" w14:textId="77777777" w:rsidR="007A2103" w:rsidRPr="007A2103" w:rsidRDefault="007A2103" w:rsidP="007A2103">
            <w:pPr>
              <w:widowControl/>
              <w:jc w:val="center"/>
              <w:rPr>
                <w:rFonts w:ascii="Times New Roman" w:eastAsia="Times New Roman" w:hAnsi="Times New Roman" w:cs="Times New Roman"/>
                <w:b/>
                <w:bCs/>
                <w:color w:val="000000"/>
                <w:lang w:eastAsia="es-HN"/>
              </w:rPr>
            </w:pPr>
            <w:r w:rsidRPr="007A2103">
              <w:rPr>
                <w:rFonts w:ascii="Times New Roman" w:eastAsia="Times New Roman" w:hAnsi="Times New Roman" w:cs="Times New Roman"/>
                <w:b/>
                <w:bCs/>
                <w:color w:val="000000"/>
                <w:lang w:eastAsia="es-HN"/>
              </w:rPr>
              <w:t>2021</w:t>
            </w:r>
          </w:p>
        </w:tc>
        <w:tc>
          <w:tcPr>
            <w:tcW w:w="1483" w:type="dxa"/>
            <w:tcBorders>
              <w:top w:val="nil"/>
              <w:left w:val="nil"/>
              <w:bottom w:val="nil"/>
              <w:right w:val="nil"/>
            </w:tcBorders>
            <w:shd w:val="clear" w:color="auto" w:fill="auto"/>
            <w:noWrap/>
            <w:vAlign w:val="bottom"/>
            <w:hideMark/>
          </w:tcPr>
          <w:p w14:paraId="49DA9A46" w14:textId="77777777" w:rsidR="007A2103" w:rsidRPr="007A2103" w:rsidRDefault="007A2103" w:rsidP="007A2103">
            <w:pPr>
              <w:widowControl/>
              <w:jc w:val="center"/>
              <w:rPr>
                <w:rFonts w:ascii="Times New Roman" w:eastAsia="Times New Roman" w:hAnsi="Times New Roman" w:cs="Times New Roman"/>
                <w:b/>
                <w:bCs/>
                <w:color w:val="000000"/>
                <w:lang w:eastAsia="es-HN"/>
              </w:rPr>
            </w:pPr>
            <w:r w:rsidRPr="007A2103">
              <w:rPr>
                <w:rFonts w:ascii="Times New Roman" w:eastAsia="Times New Roman" w:hAnsi="Times New Roman" w:cs="Times New Roman"/>
                <w:b/>
                <w:bCs/>
                <w:color w:val="000000"/>
                <w:lang w:eastAsia="es-HN"/>
              </w:rPr>
              <w:t>2022</w:t>
            </w:r>
          </w:p>
        </w:tc>
        <w:tc>
          <w:tcPr>
            <w:tcW w:w="1483" w:type="dxa"/>
            <w:tcBorders>
              <w:top w:val="nil"/>
              <w:left w:val="nil"/>
              <w:bottom w:val="nil"/>
              <w:right w:val="nil"/>
            </w:tcBorders>
            <w:shd w:val="clear" w:color="auto" w:fill="auto"/>
            <w:noWrap/>
            <w:vAlign w:val="bottom"/>
            <w:hideMark/>
          </w:tcPr>
          <w:p w14:paraId="625D491E" w14:textId="77777777" w:rsidR="007A2103" w:rsidRPr="007A2103" w:rsidRDefault="007A2103" w:rsidP="007A2103">
            <w:pPr>
              <w:widowControl/>
              <w:jc w:val="center"/>
              <w:rPr>
                <w:rFonts w:ascii="Times New Roman" w:eastAsia="Times New Roman" w:hAnsi="Times New Roman" w:cs="Times New Roman"/>
                <w:b/>
                <w:bCs/>
                <w:color w:val="000000"/>
                <w:lang w:eastAsia="es-HN"/>
              </w:rPr>
            </w:pPr>
            <w:r w:rsidRPr="007A2103">
              <w:rPr>
                <w:rFonts w:ascii="Times New Roman" w:eastAsia="Times New Roman" w:hAnsi="Times New Roman" w:cs="Times New Roman"/>
                <w:b/>
                <w:bCs/>
                <w:color w:val="000000"/>
                <w:lang w:eastAsia="es-HN"/>
              </w:rPr>
              <w:t>2023</w:t>
            </w:r>
          </w:p>
        </w:tc>
      </w:tr>
      <w:tr w:rsidR="007A2103" w:rsidRPr="007A2103" w14:paraId="482B7A6B" w14:textId="77777777" w:rsidTr="0078160E">
        <w:trPr>
          <w:trHeight w:val="323"/>
        </w:trPr>
        <w:tc>
          <w:tcPr>
            <w:tcW w:w="1786" w:type="dxa"/>
            <w:vMerge w:val="restart"/>
            <w:tcBorders>
              <w:top w:val="nil"/>
              <w:left w:val="nil"/>
              <w:bottom w:val="nil"/>
              <w:right w:val="nil"/>
            </w:tcBorders>
            <w:shd w:val="clear" w:color="auto" w:fill="auto"/>
            <w:noWrap/>
            <w:vAlign w:val="center"/>
            <w:hideMark/>
          </w:tcPr>
          <w:p w14:paraId="17193145" w14:textId="77777777" w:rsidR="007A2103" w:rsidRPr="007A2103" w:rsidRDefault="007A2103" w:rsidP="007A2103">
            <w:pPr>
              <w:widowControl/>
              <w:jc w:val="center"/>
              <w:rPr>
                <w:rFonts w:ascii="Times New Roman" w:eastAsia="Times New Roman" w:hAnsi="Times New Roman" w:cs="Times New Roman"/>
                <w:b/>
                <w:bCs/>
                <w:color w:val="000000"/>
                <w:lang w:eastAsia="es-HN"/>
              </w:rPr>
            </w:pPr>
            <w:r w:rsidRPr="007A2103">
              <w:rPr>
                <w:rFonts w:ascii="Times New Roman" w:eastAsia="Times New Roman" w:hAnsi="Times New Roman" w:cs="Times New Roman"/>
                <w:b/>
                <w:bCs/>
                <w:color w:val="000000"/>
                <w:lang w:eastAsia="es-HN"/>
              </w:rPr>
              <w:t xml:space="preserve">Capital de Trabajo </w:t>
            </w:r>
          </w:p>
        </w:tc>
        <w:tc>
          <w:tcPr>
            <w:tcW w:w="285" w:type="dxa"/>
            <w:vMerge w:val="restart"/>
            <w:tcBorders>
              <w:top w:val="nil"/>
              <w:left w:val="nil"/>
              <w:bottom w:val="nil"/>
              <w:right w:val="nil"/>
            </w:tcBorders>
            <w:shd w:val="clear" w:color="auto" w:fill="auto"/>
            <w:noWrap/>
            <w:vAlign w:val="center"/>
            <w:hideMark/>
          </w:tcPr>
          <w:p w14:paraId="3C83F18B" w14:textId="77777777" w:rsidR="007A2103" w:rsidRPr="007A2103" w:rsidRDefault="007A2103" w:rsidP="007A2103">
            <w:pPr>
              <w:widowControl/>
              <w:jc w:val="center"/>
              <w:rPr>
                <w:rFonts w:ascii="Times New Roman" w:eastAsia="Times New Roman" w:hAnsi="Times New Roman" w:cs="Times New Roman"/>
                <w:color w:val="000000"/>
                <w:lang w:eastAsia="es-HN"/>
              </w:rPr>
            </w:pPr>
            <w:r w:rsidRPr="007A2103">
              <w:rPr>
                <w:rFonts w:ascii="Times New Roman" w:eastAsia="Times New Roman" w:hAnsi="Times New Roman" w:cs="Times New Roman"/>
                <w:color w:val="000000"/>
                <w:lang w:eastAsia="es-HN"/>
              </w:rPr>
              <w:t>=</w:t>
            </w:r>
          </w:p>
        </w:tc>
        <w:tc>
          <w:tcPr>
            <w:tcW w:w="1483" w:type="dxa"/>
            <w:tcBorders>
              <w:top w:val="nil"/>
              <w:left w:val="nil"/>
              <w:bottom w:val="single" w:sz="4" w:space="0" w:color="auto"/>
              <w:right w:val="nil"/>
            </w:tcBorders>
            <w:shd w:val="clear" w:color="auto" w:fill="auto"/>
            <w:noWrap/>
            <w:vAlign w:val="bottom"/>
            <w:hideMark/>
          </w:tcPr>
          <w:p w14:paraId="2CD6344B" w14:textId="77777777" w:rsidR="007A2103" w:rsidRPr="007A2103" w:rsidRDefault="007A2103" w:rsidP="007A2103">
            <w:pPr>
              <w:widowControl/>
              <w:rPr>
                <w:rFonts w:ascii="Times New Roman" w:eastAsia="Times New Roman" w:hAnsi="Times New Roman" w:cs="Times New Roman"/>
                <w:color w:val="000000"/>
                <w:lang w:eastAsia="es-HN"/>
              </w:rPr>
            </w:pPr>
            <w:r w:rsidRPr="007A2103">
              <w:rPr>
                <w:rFonts w:ascii="Times New Roman" w:eastAsia="Times New Roman" w:hAnsi="Times New Roman" w:cs="Times New Roman"/>
                <w:color w:val="000000"/>
                <w:lang w:eastAsia="es-HN"/>
              </w:rPr>
              <w:t xml:space="preserve">        710,085,975 </w:t>
            </w:r>
          </w:p>
        </w:tc>
        <w:tc>
          <w:tcPr>
            <w:tcW w:w="1483" w:type="dxa"/>
            <w:tcBorders>
              <w:top w:val="nil"/>
              <w:left w:val="nil"/>
              <w:bottom w:val="single" w:sz="4" w:space="0" w:color="auto"/>
              <w:right w:val="nil"/>
            </w:tcBorders>
            <w:shd w:val="clear" w:color="auto" w:fill="auto"/>
            <w:noWrap/>
            <w:vAlign w:val="bottom"/>
            <w:hideMark/>
          </w:tcPr>
          <w:p w14:paraId="30A0F012" w14:textId="77777777" w:rsidR="007A2103" w:rsidRPr="007A2103" w:rsidRDefault="007A2103" w:rsidP="007A2103">
            <w:pPr>
              <w:widowControl/>
              <w:rPr>
                <w:rFonts w:ascii="Times New Roman" w:eastAsia="Times New Roman" w:hAnsi="Times New Roman" w:cs="Times New Roman"/>
                <w:color w:val="000000"/>
                <w:lang w:eastAsia="es-HN"/>
              </w:rPr>
            </w:pPr>
            <w:r w:rsidRPr="007A2103">
              <w:rPr>
                <w:rFonts w:ascii="Times New Roman" w:eastAsia="Times New Roman" w:hAnsi="Times New Roman" w:cs="Times New Roman"/>
                <w:color w:val="000000"/>
                <w:lang w:eastAsia="es-HN"/>
              </w:rPr>
              <w:t xml:space="preserve">        498,786,870 </w:t>
            </w:r>
          </w:p>
        </w:tc>
        <w:tc>
          <w:tcPr>
            <w:tcW w:w="1483" w:type="dxa"/>
            <w:tcBorders>
              <w:top w:val="nil"/>
              <w:left w:val="nil"/>
              <w:bottom w:val="single" w:sz="4" w:space="0" w:color="auto"/>
              <w:right w:val="nil"/>
            </w:tcBorders>
            <w:shd w:val="clear" w:color="auto" w:fill="auto"/>
            <w:noWrap/>
            <w:vAlign w:val="bottom"/>
            <w:hideMark/>
          </w:tcPr>
          <w:p w14:paraId="2926BFAD" w14:textId="77777777" w:rsidR="007A2103" w:rsidRPr="007A2103" w:rsidRDefault="007A2103" w:rsidP="007A2103">
            <w:pPr>
              <w:widowControl/>
              <w:rPr>
                <w:rFonts w:ascii="Times New Roman" w:eastAsia="Times New Roman" w:hAnsi="Times New Roman" w:cs="Times New Roman"/>
                <w:color w:val="000000"/>
                <w:lang w:eastAsia="es-HN"/>
              </w:rPr>
            </w:pPr>
            <w:r w:rsidRPr="007A2103">
              <w:rPr>
                <w:rFonts w:ascii="Times New Roman" w:eastAsia="Times New Roman" w:hAnsi="Times New Roman" w:cs="Times New Roman"/>
                <w:color w:val="000000"/>
                <w:lang w:eastAsia="es-HN"/>
              </w:rPr>
              <w:t xml:space="preserve">        343,455,300 </w:t>
            </w:r>
          </w:p>
        </w:tc>
        <w:tc>
          <w:tcPr>
            <w:tcW w:w="1483" w:type="dxa"/>
            <w:tcBorders>
              <w:top w:val="nil"/>
              <w:left w:val="nil"/>
              <w:bottom w:val="single" w:sz="4" w:space="0" w:color="auto"/>
              <w:right w:val="nil"/>
            </w:tcBorders>
            <w:shd w:val="clear" w:color="auto" w:fill="auto"/>
            <w:noWrap/>
            <w:vAlign w:val="bottom"/>
            <w:hideMark/>
          </w:tcPr>
          <w:p w14:paraId="4E942138" w14:textId="77777777" w:rsidR="007A2103" w:rsidRPr="007A2103" w:rsidRDefault="007A2103" w:rsidP="007A2103">
            <w:pPr>
              <w:widowControl/>
              <w:rPr>
                <w:rFonts w:ascii="Times New Roman" w:eastAsia="Times New Roman" w:hAnsi="Times New Roman" w:cs="Times New Roman"/>
                <w:color w:val="000000"/>
                <w:lang w:eastAsia="es-HN"/>
              </w:rPr>
            </w:pPr>
            <w:r w:rsidRPr="007A2103">
              <w:rPr>
                <w:rFonts w:ascii="Times New Roman" w:eastAsia="Times New Roman" w:hAnsi="Times New Roman" w:cs="Times New Roman"/>
                <w:color w:val="000000"/>
                <w:lang w:eastAsia="es-HN"/>
              </w:rPr>
              <w:t xml:space="preserve">        347,622,338 </w:t>
            </w:r>
          </w:p>
        </w:tc>
        <w:tc>
          <w:tcPr>
            <w:tcW w:w="1483" w:type="dxa"/>
            <w:tcBorders>
              <w:top w:val="nil"/>
              <w:left w:val="nil"/>
              <w:bottom w:val="single" w:sz="4" w:space="0" w:color="auto"/>
              <w:right w:val="nil"/>
            </w:tcBorders>
            <w:shd w:val="clear" w:color="auto" w:fill="auto"/>
            <w:noWrap/>
            <w:vAlign w:val="bottom"/>
            <w:hideMark/>
          </w:tcPr>
          <w:p w14:paraId="23CB453A" w14:textId="77777777" w:rsidR="007A2103" w:rsidRPr="007A2103" w:rsidRDefault="007A2103" w:rsidP="007A2103">
            <w:pPr>
              <w:widowControl/>
              <w:rPr>
                <w:rFonts w:ascii="Times New Roman" w:eastAsia="Times New Roman" w:hAnsi="Times New Roman" w:cs="Times New Roman"/>
                <w:color w:val="000000"/>
                <w:lang w:eastAsia="es-HN"/>
              </w:rPr>
            </w:pPr>
            <w:r w:rsidRPr="007A2103">
              <w:rPr>
                <w:rFonts w:ascii="Times New Roman" w:eastAsia="Times New Roman" w:hAnsi="Times New Roman" w:cs="Times New Roman"/>
                <w:color w:val="000000"/>
                <w:lang w:eastAsia="es-HN"/>
              </w:rPr>
              <w:t xml:space="preserve">        342,387,687 </w:t>
            </w:r>
          </w:p>
        </w:tc>
      </w:tr>
      <w:tr w:rsidR="007A2103" w:rsidRPr="007A2103" w14:paraId="7DD5EA11" w14:textId="77777777" w:rsidTr="0078160E">
        <w:trPr>
          <w:trHeight w:val="323"/>
        </w:trPr>
        <w:tc>
          <w:tcPr>
            <w:tcW w:w="1786" w:type="dxa"/>
            <w:vMerge/>
            <w:tcBorders>
              <w:top w:val="nil"/>
              <w:left w:val="nil"/>
              <w:bottom w:val="nil"/>
              <w:right w:val="nil"/>
            </w:tcBorders>
            <w:vAlign w:val="center"/>
            <w:hideMark/>
          </w:tcPr>
          <w:p w14:paraId="47042520" w14:textId="77777777" w:rsidR="007A2103" w:rsidRPr="007A2103" w:rsidRDefault="007A2103" w:rsidP="007A2103">
            <w:pPr>
              <w:widowControl/>
              <w:rPr>
                <w:rFonts w:ascii="Times New Roman" w:eastAsia="Times New Roman" w:hAnsi="Times New Roman" w:cs="Times New Roman"/>
                <w:b/>
                <w:bCs/>
                <w:color w:val="000000"/>
                <w:lang w:eastAsia="es-HN"/>
              </w:rPr>
            </w:pPr>
          </w:p>
        </w:tc>
        <w:tc>
          <w:tcPr>
            <w:tcW w:w="285" w:type="dxa"/>
            <w:vMerge/>
            <w:tcBorders>
              <w:top w:val="nil"/>
              <w:left w:val="nil"/>
              <w:bottom w:val="nil"/>
              <w:right w:val="nil"/>
            </w:tcBorders>
            <w:vAlign w:val="center"/>
            <w:hideMark/>
          </w:tcPr>
          <w:p w14:paraId="051116B1" w14:textId="77777777" w:rsidR="007A2103" w:rsidRPr="007A2103" w:rsidRDefault="007A2103" w:rsidP="007A2103">
            <w:pPr>
              <w:widowControl/>
              <w:rPr>
                <w:rFonts w:ascii="Times New Roman" w:eastAsia="Times New Roman" w:hAnsi="Times New Roman" w:cs="Times New Roman"/>
                <w:color w:val="000000"/>
                <w:lang w:eastAsia="es-HN"/>
              </w:rPr>
            </w:pPr>
          </w:p>
        </w:tc>
        <w:tc>
          <w:tcPr>
            <w:tcW w:w="1483" w:type="dxa"/>
            <w:tcBorders>
              <w:top w:val="nil"/>
              <w:left w:val="nil"/>
              <w:bottom w:val="nil"/>
              <w:right w:val="nil"/>
            </w:tcBorders>
            <w:shd w:val="clear" w:color="auto" w:fill="auto"/>
            <w:noWrap/>
            <w:vAlign w:val="bottom"/>
            <w:hideMark/>
          </w:tcPr>
          <w:p w14:paraId="7BA04483" w14:textId="77777777" w:rsidR="007A2103" w:rsidRPr="007A2103" w:rsidRDefault="007A2103" w:rsidP="007A2103">
            <w:pPr>
              <w:widowControl/>
              <w:rPr>
                <w:rFonts w:ascii="Times New Roman" w:eastAsia="Times New Roman" w:hAnsi="Times New Roman" w:cs="Times New Roman"/>
                <w:color w:val="000000"/>
                <w:lang w:eastAsia="es-HN"/>
              </w:rPr>
            </w:pPr>
            <w:r w:rsidRPr="007A2103">
              <w:rPr>
                <w:rFonts w:ascii="Times New Roman" w:eastAsia="Times New Roman" w:hAnsi="Times New Roman" w:cs="Times New Roman"/>
                <w:color w:val="000000"/>
                <w:lang w:eastAsia="es-HN"/>
              </w:rPr>
              <w:t xml:space="preserve">        235,880,121 </w:t>
            </w:r>
          </w:p>
        </w:tc>
        <w:tc>
          <w:tcPr>
            <w:tcW w:w="1483" w:type="dxa"/>
            <w:tcBorders>
              <w:top w:val="nil"/>
              <w:left w:val="nil"/>
              <w:bottom w:val="nil"/>
              <w:right w:val="nil"/>
            </w:tcBorders>
            <w:shd w:val="clear" w:color="auto" w:fill="auto"/>
            <w:noWrap/>
            <w:vAlign w:val="bottom"/>
            <w:hideMark/>
          </w:tcPr>
          <w:p w14:paraId="4E7148FB" w14:textId="77777777" w:rsidR="007A2103" w:rsidRPr="007A2103" w:rsidRDefault="007A2103" w:rsidP="007A2103">
            <w:pPr>
              <w:widowControl/>
              <w:rPr>
                <w:rFonts w:ascii="Times New Roman" w:eastAsia="Times New Roman" w:hAnsi="Times New Roman" w:cs="Times New Roman"/>
                <w:color w:val="000000"/>
                <w:lang w:eastAsia="es-HN"/>
              </w:rPr>
            </w:pPr>
            <w:r w:rsidRPr="007A2103">
              <w:rPr>
                <w:rFonts w:ascii="Times New Roman" w:eastAsia="Times New Roman" w:hAnsi="Times New Roman" w:cs="Times New Roman"/>
                <w:color w:val="000000"/>
                <w:lang w:eastAsia="es-HN"/>
              </w:rPr>
              <w:t xml:space="preserve">        303,917,383 </w:t>
            </w:r>
          </w:p>
        </w:tc>
        <w:tc>
          <w:tcPr>
            <w:tcW w:w="1483" w:type="dxa"/>
            <w:tcBorders>
              <w:top w:val="nil"/>
              <w:left w:val="nil"/>
              <w:bottom w:val="nil"/>
              <w:right w:val="nil"/>
            </w:tcBorders>
            <w:shd w:val="clear" w:color="auto" w:fill="auto"/>
            <w:noWrap/>
            <w:vAlign w:val="bottom"/>
            <w:hideMark/>
          </w:tcPr>
          <w:p w14:paraId="6B099488" w14:textId="77777777" w:rsidR="007A2103" w:rsidRPr="007A2103" w:rsidRDefault="007A2103" w:rsidP="007A2103">
            <w:pPr>
              <w:widowControl/>
              <w:rPr>
                <w:rFonts w:ascii="Times New Roman" w:eastAsia="Times New Roman" w:hAnsi="Times New Roman" w:cs="Times New Roman"/>
                <w:color w:val="000000"/>
                <w:lang w:eastAsia="es-HN"/>
              </w:rPr>
            </w:pPr>
            <w:r w:rsidRPr="007A2103">
              <w:rPr>
                <w:rFonts w:ascii="Times New Roman" w:eastAsia="Times New Roman" w:hAnsi="Times New Roman" w:cs="Times New Roman"/>
                <w:color w:val="000000"/>
                <w:lang w:eastAsia="es-HN"/>
              </w:rPr>
              <w:t xml:space="preserve">        272,775,460 </w:t>
            </w:r>
          </w:p>
        </w:tc>
        <w:tc>
          <w:tcPr>
            <w:tcW w:w="1483" w:type="dxa"/>
            <w:tcBorders>
              <w:top w:val="nil"/>
              <w:left w:val="nil"/>
              <w:bottom w:val="nil"/>
              <w:right w:val="nil"/>
            </w:tcBorders>
            <w:shd w:val="clear" w:color="auto" w:fill="auto"/>
            <w:noWrap/>
            <w:vAlign w:val="bottom"/>
            <w:hideMark/>
          </w:tcPr>
          <w:p w14:paraId="69940CF4" w14:textId="77777777" w:rsidR="007A2103" w:rsidRPr="007A2103" w:rsidRDefault="007A2103" w:rsidP="007A2103">
            <w:pPr>
              <w:widowControl/>
              <w:rPr>
                <w:rFonts w:ascii="Times New Roman" w:eastAsia="Times New Roman" w:hAnsi="Times New Roman" w:cs="Times New Roman"/>
                <w:color w:val="000000"/>
                <w:lang w:eastAsia="es-HN"/>
              </w:rPr>
            </w:pPr>
            <w:r w:rsidRPr="007A2103">
              <w:rPr>
                <w:rFonts w:ascii="Times New Roman" w:eastAsia="Times New Roman" w:hAnsi="Times New Roman" w:cs="Times New Roman"/>
                <w:color w:val="000000"/>
                <w:lang w:eastAsia="es-HN"/>
              </w:rPr>
              <w:t xml:space="preserve">        190,816,861 </w:t>
            </w:r>
          </w:p>
        </w:tc>
        <w:tc>
          <w:tcPr>
            <w:tcW w:w="1483" w:type="dxa"/>
            <w:tcBorders>
              <w:top w:val="nil"/>
              <w:left w:val="nil"/>
              <w:bottom w:val="nil"/>
              <w:right w:val="nil"/>
            </w:tcBorders>
            <w:shd w:val="clear" w:color="auto" w:fill="auto"/>
            <w:noWrap/>
            <w:vAlign w:val="bottom"/>
            <w:hideMark/>
          </w:tcPr>
          <w:p w14:paraId="6FC1EE0A" w14:textId="77777777" w:rsidR="007A2103" w:rsidRPr="007A2103" w:rsidRDefault="007A2103" w:rsidP="007A2103">
            <w:pPr>
              <w:widowControl/>
              <w:rPr>
                <w:rFonts w:ascii="Times New Roman" w:eastAsia="Times New Roman" w:hAnsi="Times New Roman" w:cs="Times New Roman"/>
                <w:color w:val="000000"/>
                <w:lang w:eastAsia="es-HN"/>
              </w:rPr>
            </w:pPr>
            <w:r w:rsidRPr="007A2103">
              <w:rPr>
                <w:rFonts w:ascii="Times New Roman" w:eastAsia="Times New Roman" w:hAnsi="Times New Roman" w:cs="Times New Roman"/>
                <w:color w:val="000000"/>
                <w:lang w:eastAsia="es-HN"/>
              </w:rPr>
              <w:t xml:space="preserve">        212,685,537 </w:t>
            </w:r>
          </w:p>
        </w:tc>
      </w:tr>
      <w:tr w:rsidR="007A2103" w:rsidRPr="007A2103" w14:paraId="1DF46BF5" w14:textId="77777777" w:rsidTr="0078160E">
        <w:trPr>
          <w:trHeight w:val="323"/>
        </w:trPr>
        <w:tc>
          <w:tcPr>
            <w:tcW w:w="1786" w:type="dxa"/>
            <w:tcBorders>
              <w:top w:val="nil"/>
              <w:left w:val="nil"/>
              <w:bottom w:val="nil"/>
              <w:right w:val="nil"/>
            </w:tcBorders>
            <w:shd w:val="clear" w:color="auto" w:fill="auto"/>
            <w:noWrap/>
            <w:vAlign w:val="bottom"/>
            <w:hideMark/>
          </w:tcPr>
          <w:p w14:paraId="128198DF" w14:textId="77777777" w:rsidR="007A2103" w:rsidRPr="007A2103" w:rsidRDefault="007A2103" w:rsidP="007A2103">
            <w:pPr>
              <w:widowControl/>
              <w:jc w:val="center"/>
              <w:rPr>
                <w:rFonts w:ascii="Times New Roman" w:eastAsia="Times New Roman" w:hAnsi="Times New Roman" w:cs="Times New Roman"/>
                <w:b/>
                <w:bCs/>
                <w:color w:val="000000"/>
                <w:lang w:eastAsia="es-HN"/>
              </w:rPr>
            </w:pPr>
            <w:r w:rsidRPr="007A2103">
              <w:rPr>
                <w:rFonts w:ascii="Times New Roman" w:eastAsia="Times New Roman" w:hAnsi="Times New Roman" w:cs="Times New Roman"/>
                <w:b/>
                <w:bCs/>
                <w:color w:val="000000"/>
                <w:lang w:eastAsia="es-HN"/>
              </w:rPr>
              <w:t>CT</w:t>
            </w:r>
          </w:p>
        </w:tc>
        <w:tc>
          <w:tcPr>
            <w:tcW w:w="285" w:type="dxa"/>
            <w:tcBorders>
              <w:top w:val="nil"/>
              <w:left w:val="nil"/>
              <w:bottom w:val="nil"/>
              <w:right w:val="nil"/>
            </w:tcBorders>
            <w:shd w:val="clear" w:color="auto" w:fill="auto"/>
            <w:noWrap/>
            <w:vAlign w:val="bottom"/>
            <w:hideMark/>
          </w:tcPr>
          <w:p w14:paraId="10D25EE2" w14:textId="77777777" w:rsidR="007A2103" w:rsidRPr="007A2103" w:rsidRDefault="007A2103" w:rsidP="007A2103">
            <w:pPr>
              <w:widowControl/>
              <w:jc w:val="center"/>
              <w:rPr>
                <w:rFonts w:ascii="Times New Roman" w:eastAsia="Times New Roman" w:hAnsi="Times New Roman" w:cs="Times New Roman"/>
                <w:b/>
                <w:bCs/>
                <w:color w:val="000000"/>
                <w:lang w:eastAsia="es-HN"/>
              </w:rPr>
            </w:pPr>
          </w:p>
        </w:tc>
        <w:tc>
          <w:tcPr>
            <w:tcW w:w="1483" w:type="dxa"/>
            <w:tcBorders>
              <w:top w:val="nil"/>
              <w:left w:val="nil"/>
              <w:bottom w:val="nil"/>
              <w:right w:val="nil"/>
            </w:tcBorders>
            <w:shd w:val="clear" w:color="000000" w:fill="CAEDFB"/>
            <w:noWrap/>
            <w:vAlign w:val="bottom"/>
            <w:hideMark/>
          </w:tcPr>
          <w:p w14:paraId="718EBC98" w14:textId="7565AB53" w:rsidR="007A2103" w:rsidRPr="007A2103" w:rsidRDefault="007A2103" w:rsidP="0078160E">
            <w:pPr>
              <w:widowControl/>
              <w:jc w:val="center"/>
              <w:rPr>
                <w:rFonts w:ascii="Times New Roman" w:eastAsia="Times New Roman" w:hAnsi="Times New Roman" w:cs="Times New Roman"/>
                <w:b/>
                <w:bCs/>
                <w:color w:val="000000"/>
                <w:lang w:eastAsia="es-HN"/>
              </w:rPr>
            </w:pPr>
            <w:r w:rsidRPr="007A2103">
              <w:rPr>
                <w:rFonts w:ascii="Times New Roman" w:eastAsia="Times New Roman" w:hAnsi="Times New Roman" w:cs="Times New Roman"/>
                <w:b/>
                <w:bCs/>
                <w:color w:val="000000"/>
                <w:lang w:eastAsia="es-HN"/>
              </w:rPr>
              <w:t>474,205,854</w:t>
            </w:r>
          </w:p>
        </w:tc>
        <w:tc>
          <w:tcPr>
            <w:tcW w:w="1483" w:type="dxa"/>
            <w:tcBorders>
              <w:top w:val="nil"/>
              <w:left w:val="nil"/>
              <w:bottom w:val="nil"/>
              <w:right w:val="nil"/>
            </w:tcBorders>
            <w:shd w:val="clear" w:color="000000" w:fill="CAEDFB"/>
            <w:noWrap/>
            <w:vAlign w:val="bottom"/>
            <w:hideMark/>
          </w:tcPr>
          <w:p w14:paraId="0BE611C7" w14:textId="097DB9A8" w:rsidR="007A2103" w:rsidRPr="007A2103" w:rsidRDefault="007A2103" w:rsidP="0078160E">
            <w:pPr>
              <w:widowControl/>
              <w:jc w:val="center"/>
              <w:rPr>
                <w:rFonts w:ascii="Times New Roman" w:eastAsia="Times New Roman" w:hAnsi="Times New Roman" w:cs="Times New Roman"/>
                <w:b/>
                <w:bCs/>
                <w:color w:val="000000"/>
                <w:lang w:eastAsia="es-HN"/>
              </w:rPr>
            </w:pPr>
            <w:r w:rsidRPr="007A2103">
              <w:rPr>
                <w:rFonts w:ascii="Times New Roman" w:eastAsia="Times New Roman" w:hAnsi="Times New Roman" w:cs="Times New Roman"/>
                <w:b/>
                <w:bCs/>
                <w:color w:val="000000"/>
                <w:lang w:eastAsia="es-HN"/>
              </w:rPr>
              <w:t>194,869,487</w:t>
            </w:r>
          </w:p>
        </w:tc>
        <w:tc>
          <w:tcPr>
            <w:tcW w:w="1483" w:type="dxa"/>
            <w:tcBorders>
              <w:top w:val="nil"/>
              <w:left w:val="nil"/>
              <w:bottom w:val="nil"/>
              <w:right w:val="nil"/>
            </w:tcBorders>
            <w:shd w:val="clear" w:color="000000" w:fill="CAEDFB"/>
            <w:noWrap/>
            <w:vAlign w:val="bottom"/>
            <w:hideMark/>
          </w:tcPr>
          <w:p w14:paraId="1444AAD4" w14:textId="63654E49" w:rsidR="007A2103" w:rsidRPr="007A2103" w:rsidRDefault="007A2103" w:rsidP="0078160E">
            <w:pPr>
              <w:widowControl/>
              <w:jc w:val="center"/>
              <w:rPr>
                <w:rFonts w:ascii="Times New Roman" w:eastAsia="Times New Roman" w:hAnsi="Times New Roman" w:cs="Times New Roman"/>
                <w:b/>
                <w:bCs/>
                <w:color w:val="000000"/>
                <w:lang w:eastAsia="es-HN"/>
              </w:rPr>
            </w:pPr>
            <w:r w:rsidRPr="007A2103">
              <w:rPr>
                <w:rFonts w:ascii="Times New Roman" w:eastAsia="Times New Roman" w:hAnsi="Times New Roman" w:cs="Times New Roman"/>
                <w:b/>
                <w:bCs/>
                <w:color w:val="000000"/>
                <w:lang w:eastAsia="es-HN"/>
              </w:rPr>
              <w:t>70,679,840</w:t>
            </w:r>
          </w:p>
        </w:tc>
        <w:tc>
          <w:tcPr>
            <w:tcW w:w="1483" w:type="dxa"/>
            <w:tcBorders>
              <w:top w:val="nil"/>
              <w:left w:val="nil"/>
              <w:bottom w:val="nil"/>
              <w:right w:val="nil"/>
            </w:tcBorders>
            <w:shd w:val="clear" w:color="000000" w:fill="CAEDFB"/>
            <w:noWrap/>
            <w:vAlign w:val="bottom"/>
            <w:hideMark/>
          </w:tcPr>
          <w:p w14:paraId="295A4EF3" w14:textId="03A44689" w:rsidR="007A2103" w:rsidRPr="007A2103" w:rsidRDefault="007A2103" w:rsidP="0078160E">
            <w:pPr>
              <w:widowControl/>
              <w:jc w:val="center"/>
              <w:rPr>
                <w:rFonts w:ascii="Times New Roman" w:eastAsia="Times New Roman" w:hAnsi="Times New Roman" w:cs="Times New Roman"/>
                <w:b/>
                <w:bCs/>
                <w:color w:val="000000"/>
                <w:lang w:eastAsia="es-HN"/>
              </w:rPr>
            </w:pPr>
            <w:r w:rsidRPr="007A2103">
              <w:rPr>
                <w:rFonts w:ascii="Times New Roman" w:eastAsia="Times New Roman" w:hAnsi="Times New Roman" w:cs="Times New Roman"/>
                <w:b/>
                <w:bCs/>
                <w:color w:val="000000"/>
                <w:lang w:eastAsia="es-HN"/>
              </w:rPr>
              <w:t>156,805,477</w:t>
            </w:r>
          </w:p>
        </w:tc>
        <w:tc>
          <w:tcPr>
            <w:tcW w:w="1483" w:type="dxa"/>
            <w:tcBorders>
              <w:top w:val="nil"/>
              <w:left w:val="nil"/>
              <w:bottom w:val="nil"/>
              <w:right w:val="nil"/>
            </w:tcBorders>
            <w:shd w:val="clear" w:color="000000" w:fill="CAEDFB"/>
            <w:noWrap/>
            <w:vAlign w:val="bottom"/>
            <w:hideMark/>
          </w:tcPr>
          <w:p w14:paraId="08938225" w14:textId="420C8DA3" w:rsidR="007A2103" w:rsidRPr="007A2103" w:rsidRDefault="007A2103" w:rsidP="0078160E">
            <w:pPr>
              <w:widowControl/>
              <w:jc w:val="center"/>
              <w:rPr>
                <w:rFonts w:ascii="Times New Roman" w:eastAsia="Times New Roman" w:hAnsi="Times New Roman" w:cs="Times New Roman"/>
                <w:b/>
                <w:bCs/>
                <w:color w:val="000000"/>
                <w:lang w:eastAsia="es-HN"/>
              </w:rPr>
            </w:pPr>
            <w:r w:rsidRPr="007A2103">
              <w:rPr>
                <w:rFonts w:ascii="Times New Roman" w:eastAsia="Times New Roman" w:hAnsi="Times New Roman" w:cs="Times New Roman"/>
                <w:b/>
                <w:bCs/>
                <w:color w:val="000000"/>
                <w:lang w:eastAsia="es-HN"/>
              </w:rPr>
              <w:t>129,702,150</w:t>
            </w:r>
          </w:p>
        </w:tc>
      </w:tr>
    </w:tbl>
    <w:p w14:paraId="1835FE89" w14:textId="2082E355" w:rsidR="000A3A8B" w:rsidRPr="008953AC" w:rsidRDefault="000A3A8B" w:rsidP="003E2058">
      <w:pPr>
        <w:spacing w:before="240" w:after="240" w:line="360" w:lineRule="auto"/>
        <w:ind w:firstLine="720"/>
        <w:jc w:val="both"/>
        <w:rPr>
          <w:rFonts w:ascii="Times New Roman" w:hAnsi="Times New Roman" w:cs="Times New Roman"/>
          <w:noProof/>
          <w:sz w:val="24"/>
          <w:szCs w:val="24"/>
        </w:rPr>
      </w:pPr>
      <w:bookmarkStart w:id="288" w:name="_Hlk167633808"/>
      <w:r w:rsidRPr="008953AC">
        <w:rPr>
          <w:rFonts w:ascii="Times New Roman" w:hAnsi="Times New Roman" w:cs="Times New Roman"/>
          <w:sz w:val="24"/>
          <w:szCs w:val="24"/>
        </w:rPr>
        <w:t xml:space="preserve">Fuente: Elaboración propia con datos de microfinanciera </w:t>
      </w:r>
      <w:r w:rsidR="00E5074B" w:rsidRPr="008953AC">
        <w:rPr>
          <w:rFonts w:ascii="Times New Roman" w:hAnsi="Times New Roman" w:cs="Times New Roman"/>
          <w:sz w:val="24"/>
          <w:szCs w:val="24"/>
        </w:rPr>
        <w:t>“XYZ”</w:t>
      </w:r>
      <w:r w:rsidRPr="008953AC">
        <w:rPr>
          <w:rFonts w:ascii="Times New Roman" w:hAnsi="Times New Roman" w:cs="Times New Roman"/>
          <w:noProof/>
          <w:sz w:val="24"/>
          <w:szCs w:val="24"/>
        </w:rPr>
        <w:t>.</w:t>
      </w:r>
    </w:p>
    <w:bookmarkEnd w:id="288"/>
    <w:p w14:paraId="328C0AFD" w14:textId="34C24B7F" w:rsidR="00670488" w:rsidRDefault="009C2870" w:rsidP="00670488">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Este</w:t>
      </w:r>
      <w:r w:rsidR="00670488" w:rsidRPr="00670488">
        <w:rPr>
          <w:rFonts w:ascii="Times New Roman" w:hAnsi="Times New Roman" w:cs="Times New Roman"/>
          <w:sz w:val="24"/>
          <w:szCs w:val="24"/>
        </w:rPr>
        <w:t xml:space="preserve"> indicador revela que la empresa cuenta con suficientes activos (cuentas por cobrar) que le permiten cumplir con sus obligaciones a medida que estas vencen. No obstante, la significativa reducción del capital de trabajo año tras año puede limitar la capacidad de la empresa para enfrentar situaciones emergentes y responder adecuadamente a imprevistos.</w:t>
      </w:r>
    </w:p>
    <w:p w14:paraId="0E21B117" w14:textId="77777777" w:rsidR="00670488" w:rsidRDefault="00670488" w:rsidP="00670488">
      <w:pPr>
        <w:spacing w:line="360" w:lineRule="auto"/>
        <w:ind w:firstLine="720"/>
        <w:jc w:val="center"/>
        <w:rPr>
          <w:rFonts w:ascii="Times New Roman" w:hAnsi="Times New Roman" w:cs="Times New Roman"/>
          <w:sz w:val="24"/>
          <w:szCs w:val="24"/>
        </w:rPr>
      </w:pPr>
    </w:p>
    <w:p w14:paraId="6BB8ADA5" w14:textId="77777777" w:rsidR="00670488" w:rsidRDefault="00670488" w:rsidP="00670488">
      <w:pPr>
        <w:spacing w:line="360" w:lineRule="auto"/>
        <w:ind w:firstLine="720"/>
        <w:jc w:val="center"/>
        <w:rPr>
          <w:rFonts w:ascii="Times New Roman" w:hAnsi="Times New Roman" w:cs="Times New Roman"/>
          <w:sz w:val="24"/>
          <w:szCs w:val="24"/>
        </w:rPr>
      </w:pPr>
    </w:p>
    <w:p w14:paraId="11C03187" w14:textId="136F5E94" w:rsidR="007A2103" w:rsidRDefault="007A2103" w:rsidP="00670488">
      <w:pPr>
        <w:spacing w:line="360" w:lineRule="auto"/>
        <w:ind w:firstLine="720"/>
        <w:jc w:val="center"/>
        <w:rPr>
          <w:rFonts w:ascii="Times New Roman" w:hAnsi="Times New Roman" w:cs="Times New Roman"/>
          <w:sz w:val="24"/>
          <w:szCs w:val="24"/>
        </w:rPr>
      </w:pPr>
      <w:r>
        <w:rPr>
          <w:noProof/>
        </w:rPr>
        <w:lastRenderedPageBreak/>
        <w:drawing>
          <wp:inline distT="0" distB="0" distL="0" distR="0" wp14:anchorId="43E99176" wp14:editId="3727F85A">
            <wp:extent cx="4434840" cy="2987040"/>
            <wp:effectExtent l="0" t="0" r="3810" b="3810"/>
            <wp:docPr id="1948910392" name="Gráfico 1">
              <a:extLst xmlns:a="http://schemas.openxmlformats.org/drawingml/2006/main">
                <a:ext uri="{FF2B5EF4-FFF2-40B4-BE49-F238E27FC236}">
                  <a16:creationId xmlns:a16="http://schemas.microsoft.com/office/drawing/2014/main" id="{C6F6BB0F-CB37-86B5-D229-BECDF9E68FF1}"/>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14:paraId="3BAFD04B" w14:textId="77777777" w:rsidR="00DF41E4" w:rsidRDefault="000A3A8B" w:rsidP="008953AC">
      <w:pPr>
        <w:spacing w:line="360" w:lineRule="auto"/>
        <w:ind w:firstLine="720"/>
        <w:jc w:val="both"/>
        <w:rPr>
          <w:rFonts w:ascii="Times New Roman" w:hAnsi="Times New Roman" w:cs="Times New Roman"/>
          <w:sz w:val="24"/>
          <w:szCs w:val="24"/>
          <w:lang w:val="es-ES"/>
        </w:rPr>
      </w:pPr>
      <w:bookmarkStart w:id="289" w:name="_Hlk167633815"/>
      <w:r>
        <w:rPr>
          <w:rFonts w:ascii="Times New Roman" w:hAnsi="Times New Roman" w:cs="Times New Roman"/>
          <w:sz w:val="24"/>
          <w:szCs w:val="24"/>
          <w:lang w:val="es-ES"/>
        </w:rPr>
        <w:t>Figura 9. Capital de Trabajo.</w:t>
      </w:r>
    </w:p>
    <w:p w14:paraId="02C7BA78" w14:textId="0D899924" w:rsidR="000A3A8B" w:rsidRDefault="00DF41E4" w:rsidP="008953AC">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lang w:val="es-ES"/>
        </w:rPr>
        <w:t xml:space="preserve">Fuente: </w:t>
      </w:r>
      <w:r w:rsidR="000A3A8B" w:rsidRPr="009968F1">
        <w:rPr>
          <w:rFonts w:ascii="Times New Roman" w:hAnsi="Times New Roman" w:cs="Times New Roman"/>
          <w:sz w:val="24"/>
          <w:szCs w:val="24"/>
        </w:rPr>
        <w:t xml:space="preserve">Elaboración propia con datos de microfinanciera </w:t>
      </w:r>
      <w:r w:rsidR="00E5074B">
        <w:rPr>
          <w:rFonts w:ascii="Times New Roman" w:hAnsi="Times New Roman" w:cs="Times New Roman"/>
          <w:sz w:val="24"/>
          <w:szCs w:val="24"/>
        </w:rPr>
        <w:t>“XYZ”</w:t>
      </w:r>
      <w:r w:rsidR="000A3A8B">
        <w:rPr>
          <w:rFonts w:ascii="Times New Roman" w:hAnsi="Times New Roman" w:cs="Times New Roman"/>
          <w:sz w:val="24"/>
          <w:szCs w:val="24"/>
        </w:rPr>
        <w:t>.</w:t>
      </w:r>
      <w:bookmarkEnd w:id="289"/>
    </w:p>
    <w:p w14:paraId="3E406CA7" w14:textId="77777777" w:rsidR="00670488" w:rsidRDefault="00670488" w:rsidP="00670488">
      <w:pPr>
        <w:spacing w:line="360" w:lineRule="auto"/>
        <w:ind w:left="720"/>
        <w:jc w:val="both"/>
        <w:rPr>
          <w:rFonts w:ascii="Times New Roman" w:hAnsi="Times New Roman" w:cs="Times New Roman"/>
          <w:sz w:val="24"/>
          <w:szCs w:val="24"/>
        </w:rPr>
      </w:pPr>
    </w:p>
    <w:p w14:paraId="4FF9572C" w14:textId="514A1774" w:rsidR="00670488" w:rsidRPr="00670488" w:rsidRDefault="00AB7CBB" w:rsidP="00670488">
      <w:pPr>
        <w:spacing w:line="360" w:lineRule="auto"/>
        <w:ind w:firstLine="720"/>
        <w:jc w:val="both"/>
        <w:rPr>
          <w:rFonts w:ascii="Times New Roman" w:hAnsi="Times New Roman" w:cs="Times New Roman"/>
          <w:sz w:val="24"/>
          <w:szCs w:val="24"/>
        </w:rPr>
      </w:pPr>
      <w:r w:rsidRPr="00AB7CBB">
        <w:rPr>
          <w:rFonts w:ascii="Times New Roman" w:hAnsi="Times New Roman" w:cs="Times New Roman"/>
          <w:sz w:val="24"/>
          <w:szCs w:val="24"/>
        </w:rPr>
        <w:t>La Figura 9 muestra la evidente reducción en el capital de trabajo de la IMF, especialmente en el año 2021, cuando se obtuvieron los resultados más impactantes debido a diversos factores externos previamente mencionados. Aunque en el año 2022 la institución logra mejorar su capital de trabajo gracias a una notable reducción en sus pasivos corrientes, en el año 2023 se observa nuevamente una disminución en el capital de trabajo. Esta disminución se debe a una notable reducción en sus activos corrientes, lo que podría indicar que la empresa está utilizando sus activos líquidos para financiar operaciones o pagar deudas. Además, un incremento en sus pasivos corrientes sugiere que la empresa está acumulando más obligaciones a corto plazo.</w:t>
      </w:r>
    </w:p>
    <w:p w14:paraId="1940126B" w14:textId="77777777" w:rsidR="003F15E6" w:rsidRDefault="003F15E6" w:rsidP="00B838D6">
      <w:pPr>
        <w:spacing w:line="360" w:lineRule="auto"/>
        <w:jc w:val="both"/>
        <w:rPr>
          <w:rFonts w:ascii="Times New Roman" w:hAnsi="Times New Roman" w:cs="Times New Roman"/>
          <w:sz w:val="24"/>
          <w:szCs w:val="24"/>
        </w:rPr>
      </w:pPr>
    </w:p>
    <w:p w14:paraId="058AA8E4" w14:textId="77777777" w:rsidR="00B77490" w:rsidRPr="00B77490" w:rsidRDefault="00B77490" w:rsidP="00195CA2">
      <w:pPr>
        <w:pStyle w:val="Ttulo3"/>
        <w:spacing w:line="360" w:lineRule="auto"/>
        <w:ind w:left="0" w:firstLine="720"/>
      </w:pPr>
      <w:bookmarkStart w:id="290" w:name="_Toc166705829"/>
      <w:bookmarkStart w:id="291" w:name="_Toc175171437"/>
      <w:r w:rsidRPr="00B77490">
        <w:t>4.2.3. SOLVENCIA FINANCIERA Y ENDEUDAMIENTO</w:t>
      </w:r>
      <w:bookmarkEnd w:id="290"/>
      <w:bookmarkEnd w:id="291"/>
    </w:p>
    <w:p w14:paraId="337DE2EF" w14:textId="77777777" w:rsidR="00B77490" w:rsidRPr="00B77490" w:rsidRDefault="00B77490" w:rsidP="00195CA2">
      <w:pPr>
        <w:spacing w:line="360" w:lineRule="auto"/>
        <w:ind w:firstLine="720"/>
        <w:jc w:val="both"/>
        <w:rPr>
          <w:rFonts w:ascii="Times New Roman" w:hAnsi="Times New Roman" w:cs="Times New Roman"/>
          <w:sz w:val="24"/>
          <w:szCs w:val="24"/>
        </w:rPr>
      </w:pPr>
      <w:r w:rsidRPr="00B77490">
        <w:rPr>
          <w:rFonts w:ascii="Times New Roman" w:hAnsi="Times New Roman" w:cs="Times New Roman"/>
          <w:sz w:val="24"/>
          <w:szCs w:val="24"/>
        </w:rPr>
        <w:tab/>
        <w:t xml:space="preserve">La solvencia financiera se refiere a la capacidad que tiene la empresa para cumplir con sus obligaciones financieras a largo plazo, es decir, su capacidad para pagar sus deudas a medida que estas vencen. Por otro lado, el endeudamiento se refiere al nivel de deuda que una empresa ha asumido en relación con su patrimonio. </w:t>
      </w:r>
    </w:p>
    <w:p w14:paraId="7F77B5D3" w14:textId="77777777" w:rsidR="00B77490" w:rsidRPr="00B77490" w:rsidRDefault="00B77490" w:rsidP="00195CA2">
      <w:pPr>
        <w:spacing w:line="360" w:lineRule="auto"/>
        <w:ind w:firstLine="720"/>
        <w:jc w:val="both"/>
        <w:rPr>
          <w:rFonts w:ascii="Times New Roman" w:hAnsi="Times New Roman" w:cs="Times New Roman"/>
          <w:sz w:val="24"/>
          <w:szCs w:val="24"/>
        </w:rPr>
      </w:pPr>
      <w:r w:rsidRPr="00B77490">
        <w:rPr>
          <w:rFonts w:ascii="Times New Roman" w:hAnsi="Times New Roman" w:cs="Times New Roman"/>
          <w:sz w:val="24"/>
          <w:szCs w:val="24"/>
        </w:rPr>
        <w:tab/>
        <w:t xml:space="preserve">Si la empresa se encuentra altamente apalancada, es decir, con un alto nivel de endeudamiento, puede tener dificultades para mantener su solvencia financiera sino genera </w:t>
      </w:r>
      <w:r w:rsidRPr="00B77490">
        <w:rPr>
          <w:rFonts w:ascii="Times New Roman" w:hAnsi="Times New Roman" w:cs="Times New Roman"/>
          <w:sz w:val="24"/>
          <w:szCs w:val="24"/>
        </w:rPr>
        <w:lastRenderedPageBreak/>
        <w:t>suficiente flujo de efectivo para cubrir sus pagos de deuda a largo plazo. Por otro lado, una empresa con una sólida posición de solvencia financiera puede tener más facilidad para obtener financiamiento a través de la deuda a tasas de interés favorables.</w:t>
      </w:r>
    </w:p>
    <w:p w14:paraId="2E87590A" w14:textId="4C3E393C" w:rsidR="00B77490" w:rsidRPr="00B77490" w:rsidRDefault="00B77490" w:rsidP="00195CA2">
      <w:pPr>
        <w:spacing w:line="360" w:lineRule="auto"/>
        <w:ind w:firstLine="720"/>
        <w:jc w:val="both"/>
        <w:rPr>
          <w:rFonts w:ascii="Times New Roman" w:hAnsi="Times New Roman" w:cs="Times New Roman"/>
          <w:sz w:val="24"/>
          <w:szCs w:val="24"/>
        </w:rPr>
      </w:pPr>
      <w:r w:rsidRPr="00B77490">
        <w:rPr>
          <w:rFonts w:ascii="Times New Roman" w:hAnsi="Times New Roman" w:cs="Times New Roman"/>
          <w:sz w:val="24"/>
          <w:szCs w:val="24"/>
        </w:rPr>
        <w:tab/>
        <w:t>La relación entre estos dos indicadores financieros es fundamental para evaluar la salud financiera y la estabilidad de la empresa. Una gestión prudente del endeudamiento es clave para mantener una sólida posición de solvencia financiera y garantizar la sostenibilidad a largo plazo del negocio</w:t>
      </w:r>
      <w:r w:rsidR="00F20013">
        <w:rPr>
          <w:rFonts w:ascii="Times New Roman" w:hAnsi="Times New Roman" w:cs="Times New Roman"/>
          <w:sz w:val="24"/>
          <w:szCs w:val="24"/>
        </w:rPr>
        <w:t>.</w:t>
      </w:r>
    </w:p>
    <w:p w14:paraId="6840DAC5" w14:textId="160ED995" w:rsidR="00B77490" w:rsidRPr="00B77490" w:rsidRDefault="00B77490" w:rsidP="00195CA2">
      <w:pPr>
        <w:tabs>
          <w:tab w:val="left" w:pos="936"/>
        </w:tabs>
        <w:spacing w:line="360" w:lineRule="auto"/>
        <w:jc w:val="both"/>
        <w:rPr>
          <w:rFonts w:ascii="Times New Roman" w:hAnsi="Times New Roman" w:cs="Times New Roman"/>
          <w:b/>
          <w:bCs/>
          <w:sz w:val="24"/>
          <w:szCs w:val="24"/>
        </w:rPr>
      </w:pPr>
      <w:r w:rsidRPr="00B77490">
        <w:rPr>
          <w:rFonts w:ascii="Times New Roman" w:hAnsi="Times New Roman" w:cs="Times New Roman"/>
          <w:b/>
          <w:bCs/>
          <w:sz w:val="24"/>
          <w:szCs w:val="24"/>
        </w:rPr>
        <w:tab/>
      </w:r>
    </w:p>
    <w:p w14:paraId="1B15B06E" w14:textId="77777777" w:rsidR="00B77490" w:rsidRPr="00B77490" w:rsidRDefault="00B77490" w:rsidP="00195CA2">
      <w:pPr>
        <w:pStyle w:val="Ttulo4"/>
        <w:spacing w:line="360" w:lineRule="auto"/>
        <w:ind w:left="0" w:firstLine="1440"/>
      </w:pPr>
      <w:bookmarkStart w:id="292" w:name="_Toc166705830"/>
      <w:bookmarkStart w:id="293" w:name="_Toc175171438"/>
      <w:r w:rsidRPr="00B77490">
        <w:t>4.2.3.1 DIMENSION FINANCIERA</w:t>
      </w:r>
      <w:bookmarkEnd w:id="292"/>
      <w:bookmarkEnd w:id="293"/>
    </w:p>
    <w:p w14:paraId="2A1E1EEA" w14:textId="77777777" w:rsidR="00B77490" w:rsidRPr="00B77490" w:rsidRDefault="00B77490" w:rsidP="00195CA2">
      <w:pPr>
        <w:spacing w:line="360" w:lineRule="auto"/>
        <w:ind w:firstLine="720"/>
        <w:jc w:val="both"/>
        <w:rPr>
          <w:rFonts w:ascii="Times New Roman" w:hAnsi="Times New Roman" w:cs="Times New Roman"/>
          <w:b/>
          <w:bCs/>
          <w:sz w:val="24"/>
          <w:szCs w:val="24"/>
        </w:rPr>
      </w:pPr>
      <w:r w:rsidRPr="00B77490">
        <w:rPr>
          <w:rFonts w:ascii="Times New Roman" w:hAnsi="Times New Roman" w:cs="Times New Roman"/>
          <w:sz w:val="24"/>
          <w:szCs w:val="24"/>
        </w:rPr>
        <w:t>En esta dimensión se convierte en un aspecto fundamental para el análisis de la empresa, debido a que nos proporciona una visión detallada de su capacidad para alcanzar sus objetivos financieros. En esta dimensión se abarcan la gestión a los recursos financieros y sus niveles de financiación, para ellos analizaremos las ratios de endeudamiento, endeudamiento a largo plazo, de solvencia y de apalancamiento</w:t>
      </w:r>
      <w:r w:rsidRPr="00B77490">
        <w:rPr>
          <w:rFonts w:ascii="Times New Roman" w:hAnsi="Times New Roman" w:cs="Times New Roman"/>
          <w:b/>
          <w:bCs/>
          <w:sz w:val="24"/>
          <w:szCs w:val="24"/>
        </w:rPr>
        <w:t>.</w:t>
      </w:r>
    </w:p>
    <w:p w14:paraId="6094BE43" w14:textId="77777777" w:rsidR="00B77490" w:rsidRPr="00B77490" w:rsidRDefault="00B77490" w:rsidP="00195CA2">
      <w:pPr>
        <w:spacing w:line="360" w:lineRule="auto"/>
        <w:jc w:val="both"/>
        <w:rPr>
          <w:rFonts w:ascii="Times New Roman" w:hAnsi="Times New Roman" w:cs="Times New Roman"/>
          <w:b/>
          <w:bCs/>
          <w:sz w:val="24"/>
          <w:szCs w:val="24"/>
        </w:rPr>
      </w:pPr>
    </w:p>
    <w:p w14:paraId="45540694" w14:textId="77777777" w:rsidR="00B77490" w:rsidRPr="00B77490" w:rsidRDefault="00B77490" w:rsidP="00195CA2">
      <w:pPr>
        <w:pStyle w:val="Ttulo5"/>
        <w:spacing w:line="360" w:lineRule="auto"/>
        <w:ind w:firstLine="1440"/>
        <w:rPr>
          <w:rFonts w:ascii="Times New Roman" w:hAnsi="Times New Roman" w:cs="Times New Roman"/>
          <w:b/>
          <w:bCs/>
          <w:color w:val="000000" w:themeColor="text1"/>
          <w:sz w:val="24"/>
          <w:szCs w:val="24"/>
        </w:rPr>
      </w:pPr>
      <w:bookmarkStart w:id="294" w:name="_Toc175171439"/>
      <w:r w:rsidRPr="00B77490">
        <w:rPr>
          <w:rFonts w:ascii="Times New Roman" w:hAnsi="Times New Roman" w:cs="Times New Roman"/>
          <w:b/>
          <w:bCs/>
          <w:color w:val="000000" w:themeColor="text1"/>
          <w:sz w:val="24"/>
          <w:szCs w:val="24"/>
        </w:rPr>
        <w:t>4.2.3.1.1. RATIO DE ENDEUDAMIENTO</w:t>
      </w:r>
      <w:bookmarkEnd w:id="294"/>
    </w:p>
    <w:p w14:paraId="438D275E" w14:textId="77777777" w:rsidR="00B77490" w:rsidRPr="00B77490" w:rsidRDefault="00B77490" w:rsidP="00195CA2">
      <w:pPr>
        <w:spacing w:line="360" w:lineRule="auto"/>
        <w:ind w:firstLine="720"/>
        <w:jc w:val="both"/>
        <w:rPr>
          <w:rFonts w:ascii="Times New Roman" w:hAnsi="Times New Roman" w:cs="Times New Roman"/>
          <w:sz w:val="24"/>
          <w:szCs w:val="24"/>
        </w:rPr>
      </w:pPr>
      <w:proofErr w:type="gramStart"/>
      <w:r w:rsidRPr="00B77490">
        <w:rPr>
          <w:rFonts w:ascii="Times New Roman" w:hAnsi="Times New Roman" w:cs="Times New Roman"/>
          <w:sz w:val="24"/>
          <w:szCs w:val="24"/>
        </w:rPr>
        <w:t>El ratio</w:t>
      </w:r>
      <w:proofErr w:type="gramEnd"/>
      <w:r w:rsidRPr="00B77490">
        <w:rPr>
          <w:rFonts w:ascii="Times New Roman" w:hAnsi="Times New Roman" w:cs="Times New Roman"/>
          <w:sz w:val="24"/>
          <w:szCs w:val="24"/>
        </w:rPr>
        <w:t xml:space="preserve"> de endeudamiento es un indicador financiero clave que permite evaluar la proporción de deuda que la empresa ha asumido en relación con su patrimonio. Este proporciona información sobre el grado de apalancamiento financiero de la empresa y su capacidad para cumplir con sus obligaciones financieras a largo plazo.</w:t>
      </w:r>
    </w:p>
    <w:p w14:paraId="192C258E" w14:textId="77777777" w:rsidR="00B77490" w:rsidRDefault="00B77490" w:rsidP="00195CA2">
      <w:pPr>
        <w:spacing w:line="360" w:lineRule="auto"/>
        <w:ind w:firstLine="720"/>
        <w:jc w:val="both"/>
        <w:rPr>
          <w:rFonts w:ascii="Times New Roman" w:hAnsi="Times New Roman" w:cs="Times New Roman"/>
          <w:sz w:val="24"/>
          <w:szCs w:val="24"/>
        </w:rPr>
      </w:pPr>
      <w:r w:rsidRPr="00B77490">
        <w:rPr>
          <w:rFonts w:ascii="Times New Roman" w:hAnsi="Times New Roman" w:cs="Times New Roman"/>
          <w:sz w:val="24"/>
          <w:szCs w:val="24"/>
        </w:rPr>
        <w:tab/>
        <w:t xml:space="preserve">Esta medida es fundamental para comprender la estructura financiera de la empresa y su nivel de riesgo financiero. Si </w:t>
      </w:r>
      <w:proofErr w:type="gramStart"/>
      <w:r w:rsidRPr="00B77490">
        <w:rPr>
          <w:rFonts w:ascii="Times New Roman" w:hAnsi="Times New Roman" w:cs="Times New Roman"/>
          <w:sz w:val="24"/>
          <w:szCs w:val="24"/>
        </w:rPr>
        <w:t>el ratio</w:t>
      </w:r>
      <w:proofErr w:type="gramEnd"/>
      <w:r w:rsidRPr="00B77490">
        <w:rPr>
          <w:rFonts w:ascii="Times New Roman" w:hAnsi="Times New Roman" w:cs="Times New Roman"/>
          <w:sz w:val="24"/>
          <w:szCs w:val="24"/>
        </w:rPr>
        <w:t xml:space="preserve"> de endeudamiento es alto, puede indicar que la empresa depende en gran medida de la financiación externa, pudiéndose aumentar su vulnerabilidad a fluctuaciones económicas y financieras. Por otro lado, </w:t>
      </w:r>
      <w:proofErr w:type="gramStart"/>
      <w:r w:rsidRPr="00B77490">
        <w:rPr>
          <w:rFonts w:ascii="Times New Roman" w:hAnsi="Times New Roman" w:cs="Times New Roman"/>
          <w:sz w:val="24"/>
          <w:szCs w:val="24"/>
        </w:rPr>
        <w:t>un ratio</w:t>
      </w:r>
      <w:proofErr w:type="gramEnd"/>
      <w:r w:rsidRPr="00B77490">
        <w:rPr>
          <w:rFonts w:ascii="Times New Roman" w:hAnsi="Times New Roman" w:cs="Times New Roman"/>
          <w:sz w:val="24"/>
          <w:szCs w:val="24"/>
        </w:rPr>
        <w:t xml:space="preserve"> de endeudamiento bajo puede sugerir una mayor estabilidad financiera y una menor dependencia de la deuda para financiar sus operaciones.</w:t>
      </w:r>
    </w:p>
    <w:p w14:paraId="45D99F4F" w14:textId="77777777" w:rsidR="00A90B85" w:rsidRPr="00A90B85" w:rsidRDefault="00A90B85" w:rsidP="00A90B85">
      <w:pPr>
        <w:spacing w:line="360" w:lineRule="auto"/>
        <w:ind w:firstLine="720"/>
        <w:jc w:val="both"/>
        <w:rPr>
          <w:rFonts w:ascii="Times New Roman" w:hAnsi="Times New Roman" w:cs="Times New Roman"/>
          <w:sz w:val="24"/>
          <w:szCs w:val="24"/>
        </w:rPr>
      </w:pPr>
      <w:r w:rsidRPr="00A90B85">
        <w:rPr>
          <w:rFonts w:ascii="Times New Roman" w:hAnsi="Times New Roman" w:cs="Times New Roman"/>
          <w:sz w:val="24"/>
          <w:szCs w:val="24"/>
        </w:rPr>
        <w:t>Para obtener los resultados de este indicador, se utilizó la formula siguiente:</w:t>
      </w:r>
    </w:p>
    <w:p w14:paraId="0082937F" w14:textId="52BDE752" w:rsidR="000174DD" w:rsidRPr="00BA4F50" w:rsidRDefault="00A90B85" w:rsidP="00272B2F">
      <w:pPr>
        <w:spacing w:line="360" w:lineRule="auto"/>
        <w:ind w:firstLine="720"/>
        <w:jc w:val="both"/>
        <w:rPr>
          <w:rFonts w:ascii="Times New Roman" w:hAnsi="Times New Roman" w:cs="Times New Roman"/>
          <w:b/>
          <w:bCs/>
          <w:i/>
          <w:iCs/>
          <w:sz w:val="24"/>
          <w:szCs w:val="24"/>
        </w:rPr>
      </w:pPr>
      <w:r w:rsidRPr="00BA4F50">
        <w:rPr>
          <w:rFonts w:ascii="Times New Roman" w:hAnsi="Times New Roman" w:cs="Times New Roman"/>
          <w:b/>
          <w:bCs/>
          <w:i/>
          <w:iCs/>
          <w:sz w:val="24"/>
          <w:szCs w:val="24"/>
        </w:rPr>
        <w:t>Ratio de Endeudamiento = Pasivo / Patrimonio Neto</w:t>
      </w:r>
    </w:p>
    <w:p w14:paraId="30BF57F0" w14:textId="77777777" w:rsidR="00272B2F" w:rsidRDefault="00272B2F" w:rsidP="00272B2F">
      <w:pPr>
        <w:spacing w:line="360" w:lineRule="auto"/>
        <w:ind w:firstLine="720"/>
        <w:jc w:val="both"/>
        <w:rPr>
          <w:rFonts w:ascii="Times New Roman" w:hAnsi="Times New Roman" w:cs="Times New Roman"/>
          <w:sz w:val="24"/>
          <w:szCs w:val="24"/>
        </w:rPr>
      </w:pPr>
    </w:p>
    <w:p w14:paraId="1B0718C9" w14:textId="77777777" w:rsidR="003E2058" w:rsidRDefault="003E2058" w:rsidP="00272B2F">
      <w:pPr>
        <w:spacing w:line="360" w:lineRule="auto"/>
        <w:ind w:firstLine="720"/>
        <w:jc w:val="both"/>
        <w:rPr>
          <w:rFonts w:ascii="Times New Roman" w:hAnsi="Times New Roman" w:cs="Times New Roman"/>
          <w:sz w:val="24"/>
          <w:szCs w:val="24"/>
        </w:rPr>
      </w:pPr>
    </w:p>
    <w:p w14:paraId="6D8BB758" w14:textId="77777777" w:rsidR="003E2058" w:rsidRDefault="003E2058" w:rsidP="00272B2F">
      <w:pPr>
        <w:spacing w:line="360" w:lineRule="auto"/>
        <w:ind w:firstLine="720"/>
        <w:jc w:val="both"/>
        <w:rPr>
          <w:rFonts w:ascii="Times New Roman" w:hAnsi="Times New Roman" w:cs="Times New Roman"/>
          <w:sz w:val="24"/>
          <w:szCs w:val="24"/>
        </w:rPr>
      </w:pPr>
    </w:p>
    <w:p w14:paraId="27D277AE" w14:textId="064B6257" w:rsidR="000174DD" w:rsidRDefault="000A3A8B" w:rsidP="003E2058">
      <w:pPr>
        <w:spacing w:line="360" w:lineRule="auto"/>
        <w:ind w:firstLine="720"/>
        <w:jc w:val="both"/>
        <w:rPr>
          <w:rFonts w:ascii="Times New Roman" w:hAnsi="Times New Roman" w:cs="Times New Roman"/>
          <w:sz w:val="24"/>
          <w:szCs w:val="24"/>
        </w:rPr>
      </w:pPr>
      <w:r w:rsidRPr="008953AC">
        <w:rPr>
          <w:rFonts w:ascii="Times New Roman" w:hAnsi="Times New Roman" w:cs="Times New Roman"/>
          <w:sz w:val="24"/>
          <w:szCs w:val="24"/>
        </w:rPr>
        <w:lastRenderedPageBreak/>
        <w:t xml:space="preserve">Tabla 10. Ratio de Endeudamiento microfinanciera </w:t>
      </w:r>
      <w:r w:rsidR="00E5074B" w:rsidRPr="008953AC">
        <w:rPr>
          <w:rFonts w:ascii="Times New Roman" w:hAnsi="Times New Roman" w:cs="Times New Roman"/>
          <w:sz w:val="24"/>
          <w:szCs w:val="24"/>
        </w:rPr>
        <w:t>“XYZ”</w:t>
      </w:r>
      <w:r w:rsidRPr="008953AC">
        <w:rPr>
          <w:rFonts w:ascii="Times New Roman" w:hAnsi="Times New Roman" w:cs="Times New Roman"/>
          <w:sz w:val="24"/>
          <w:szCs w:val="24"/>
        </w:rPr>
        <w:t xml:space="preserve"> periodo 2019-2023</w:t>
      </w:r>
    </w:p>
    <w:tbl>
      <w:tblPr>
        <w:tblW w:w="9310" w:type="dxa"/>
        <w:jc w:val="center"/>
        <w:tblCellMar>
          <w:left w:w="70" w:type="dxa"/>
          <w:right w:w="70" w:type="dxa"/>
        </w:tblCellMar>
        <w:tblLook w:val="04A0" w:firstRow="1" w:lastRow="0" w:firstColumn="1" w:lastColumn="0" w:noHBand="0" w:noVBand="1"/>
      </w:tblPr>
      <w:tblGrid>
        <w:gridCol w:w="1974"/>
        <w:gridCol w:w="336"/>
        <w:gridCol w:w="1400"/>
        <w:gridCol w:w="1400"/>
        <w:gridCol w:w="1400"/>
        <w:gridCol w:w="1400"/>
        <w:gridCol w:w="1400"/>
      </w:tblGrid>
      <w:tr w:rsidR="000174DD" w:rsidRPr="000174DD" w14:paraId="1D247901" w14:textId="77777777" w:rsidTr="00957314">
        <w:trPr>
          <w:trHeight w:val="133"/>
          <w:jc w:val="center"/>
        </w:trPr>
        <w:tc>
          <w:tcPr>
            <w:tcW w:w="1974" w:type="dxa"/>
            <w:tcBorders>
              <w:top w:val="nil"/>
              <w:left w:val="nil"/>
              <w:bottom w:val="nil"/>
              <w:right w:val="nil"/>
            </w:tcBorders>
            <w:shd w:val="clear" w:color="auto" w:fill="auto"/>
            <w:noWrap/>
            <w:vAlign w:val="bottom"/>
            <w:hideMark/>
          </w:tcPr>
          <w:p w14:paraId="25CC8B4C" w14:textId="77777777" w:rsidR="000174DD" w:rsidRPr="000174DD" w:rsidRDefault="000174DD" w:rsidP="000174DD">
            <w:pPr>
              <w:widowControl/>
              <w:rPr>
                <w:rFonts w:ascii="Times New Roman" w:eastAsia="Times New Roman" w:hAnsi="Times New Roman" w:cs="Times New Roman"/>
                <w:sz w:val="24"/>
                <w:szCs w:val="24"/>
                <w:lang w:eastAsia="es-HN"/>
              </w:rPr>
            </w:pPr>
          </w:p>
        </w:tc>
        <w:tc>
          <w:tcPr>
            <w:tcW w:w="336" w:type="dxa"/>
            <w:tcBorders>
              <w:top w:val="nil"/>
              <w:left w:val="nil"/>
              <w:bottom w:val="nil"/>
              <w:right w:val="nil"/>
            </w:tcBorders>
            <w:shd w:val="clear" w:color="auto" w:fill="auto"/>
            <w:noWrap/>
            <w:vAlign w:val="bottom"/>
            <w:hideMark/>
          </w:tcPr>
          <w:p w14:paraId="3308A1ED" w14:textId="77777777" w:rsidR="000174DD" w:rsidRPr="000174DD" w:rsidRDefault="000174DD" w:rsidP="000174DD">
            <w:pPr>
              <w:widowControl/>
              <w:rPr>
                <w:rFonts w:ascii="Times New Roman" w:eastAsia="Times New Roman" w:hAnsi="Times New Roman" w:cs="Times New Roman"/>
                <w:sz w:val="20"/>
                <w:szCs w:val="20"/>
                <w:lang w:eastAsia="es-HN"/>
              </w:rPr>
            </w:pPr>
          </w:p>
        </w:tc>
        <w:tc>
          <w:tcPr>
            <w:tcW w:w="1400" w:type="dxa"/>
            <w:tcBorders>
              <w:top w:val="nil"/>
              <w:left w:val="nil"/>
              <w:bottom w:val="nil"/>
              <w:right w:val="nil"/>
            </w:tcBorders>
            <w:shd w:val="clear" w:color="auto" w:fill="auto"/>
            <w:noWrap/>
            <w:vAlign w:val="bottom"/>
            <w:hideMark/>
          </w:tcPr>
          <w:p w14:paraId="6D38C73A" w14:textId="77777777" w:rsidR="000174DD" w:rsidRPr="000174DD" w:rsidRDefault="000174DD" w:rsidP="000174DD">
            <w:pPr>
              <w:widowControl/>
              <w:jc w:val="center"/>
              <w:rPr>
                <w:rFonts w:ascii="Times New Roman" w:eastAsia="Times New Roman" w:hAnsi="Times New Roman" w:cs="Times New Roman"/>
                <w:b/>
                <w:bCs/>
                <w:color w:val="000000"/>
                <w:lang w:eastAsia="es-HN"/>
              </w:rPr>
            </w:pPr>
            <w:r w:rsidRPr="000174DD">
              <w:rPr>
                <w:rFonts w:ascii="Times New Roman" w:eastAsia="Times New Roman" w:hAnsi="Times New Roman" w:cs="Times New Roman"/>
                <w:b/>
                <w:bCs/>
                <w:color w:val="000000"/>
                <w:lang w:eastAsia="es-HN"/>
              </w:rPr>
              <w:t>2019</w:t>
            </w:r>
          </w:p>
        </w:tc>
        <w:tc>
          <w:tcPr>
            <w:tcW w:w="1400" w:type="dxa"/>
            <w:tcBorders>
              <w:top w:val="nil"/>
              <w:left w:val="nil"/>
              <w:bottom w:val="nil"/>
              <w:right w:val="nil"/>
            </w:tcBorders>
            <w:shd w:val="clear" w:color="auto" w:fill="auto"/>
            <w:noWrap/>
            <w:vAlign w:val="bottom"/>
            <w:hideMark/>
          </w:tcPr>
          <w:p w14:paraId="363FFCDF" w14:textId="77777777" w:rsidR="000174DD" w:rsidRPr="000174DD" w:rsidRDefault="000174DD" w:rsidP="000174DD">
            <w:pPr>
              <w:widowControl/>
              <w:jc w:val="center"/>
              <w:rPr>
                <w:rFonts w:ascii="Times New Roman" w:eastAsia="Times New Roman" w:hAnsi="Times New Roman" w:cs="Times New Roman"/>
                <w:b/>
                <w:bCs/>
                <w:color w:val="000000"/>
                <w:lang w:eastAsia="es-HN"/>
              </w:rPr>
            </w:pPr>
            <w:r w:rsidRPr="000174DD">
              <w:rPr>
                <w:rFonts w:ascii="Times New Roman" w:eastAsia="Times New Roman" w:hAnsi="Times New Roman" w:cs="Times New Roman"/>
                <w:b/>
                <w:bCs/>
                <w:color w:val="000000"/>
                <w:lang w:eastAsia="es-HN"/>
              </w:rPr>
              <w:t>2020</w:t>
            </w:r>
          </w:p>
        </w:tc>
        <w:tc>
          <w:tcPr>
            <w:tcW w:w="1400" w:type="dxa"/>
            <w:tcBorders>
              <w:top w:val="nil"/>
              <w:left w:val="nil"/>
              <w:bottom w:val="nil"/>
              <w:right w:val="nil"/>
            </w:tcBorders>
            <w:shd w:val="clear" w:color="auto" w:fill="auto"/>
            <w:noWrap/>
            <w:vAlign w:val="bottom"/>
            <w:hideMark/>
          </w:tcPr>
          <w:p w14:paraId="4FD4DA24" w14:textId="77777777" w:rsidR="000174DD" w:rsidRPr="000174DD" w:rsidRDefault="000174DD" w:rsidP="000174DD">
            <w:pPr>
              <w:widowControl/>
              <w:jc w:val="center"/>
              <w:rPr>
                <w:rFonts w:ascii="Times New Roman" w:eastAsia="Times New Roman" w:hAnsi="Times New Roman" w:cs="Times New Roman"/>
                <w:b/>
                <w:bCs/>
                <w:color w:val="000000"/>
                <w:lang w:eastAsia="es-HN"/>
              </w:rPr>
            </w:pPr>
            <w:r w:rsidRPr="000174DD">
              <w:rPr>
                <w:rFonts w:ascii="Times New Roman" w:eastAsia="Times New Roman" w:hAnsi="Times New Roman" w:cs="Times New Roman"/>
                <w:b/>
                <w:bCs/>
                <w:color w:val="000000"/>
                <w:lang w:eastAsia="es-HN"/>
              </w:rPr>
              <w:t>2021</w:t>
            </w:r>
          </w:p>
        </w:tc>
        <w:tc>
          <w:tcPr>
            <w:tcW w:w="1400" w:type="dxa"/>
            <w:tcBorders>
              <w:top w:val="nil"/>
              <w:left w:val="nil"/>
              <w:bottom w:val="nil"/>
              <w:right w:val="nil"/>
            </w:tcBorders>
            <w:shd w:val="clear" w:color="auto" w:fill="auto"/>
            <w:noWrap/>
            <w:vAlign w:val="bottom"/>
            <w:hideMark/>
          </w:tcPr>
          <w:p w14:paraId="33C17CD5" w14:textId="77777777" w:rsidR="000174DD" w:rsidRPr="000174DD" w:rsidRDefault="000174DD" w:rsidP="000174DD">
            <w:pPr>
              <w:widowControl/>
              <w:jc w:val="center"/>
              <w:rPr>
                <w:rFonts w:ascii="Times New Roman" w:eastAsia="Times New Roman" w:hAnsi="Times New Roman" w:cs="Times New Roman"/>
                <w:b/>
                <w:bCs/>
                <w:color w:val="000000"/>
                <w:lang w:eastAsia="es-HN"/>
              </w:rPr>
            </w:pPr>
            <w:r w:rsidRPr="000174DD">
              <w:rPr>
                <w:rFonts w:ascii="Times New Roman" w:eastAsia="Times New Roman" w:hAnsi="Times New Roman" w:cs="Times New Roman"/>
                <w:b/>
                <w:bCs/>
                <w:color w:val="000000"/>
                <w:lang w:eastAsia="es-HN"/>
              </w:rPr>
              <w:t>2022</w:t>
            </w:r>
          </w:p>
        </w:tc>
        <w:tc>
          <w:tcPr>
            <w:tcW w:w="1400" w:type="dxa"/>
            <w:tcBorders>
              <w:top w:val="nil"/>
              <w:left w:val="nil"/>
              <w:bottom w:val="nil"/>
              <w:right w:val="nil"/>
            </w:tcBorders>
            <w:shd w:val="clear" w:color="auto" w:fill="auto"/>
            <w:noWrap/>
            <w:vAlign w:val="bottom"/>
            <w:hideMark/>
          </w:tcPr>
          <w:p w14:paraId="20DEC47B" w14:textId="77777777" w:rsidR="000174DD" w:rsidRPr="000174DD" w:rsidRDefault="000174DD" w:rsidP="000174DD">
            <w:pPr>
              <w:widowControl/>
              <w:jc w:val="center"/>
              <w:rPr>
                <w:rFonts w:ascii="Times New Roman" w:eastAsia="Times New Roman" w:hAnsi="Times New Roman" w:cs="Times New Roman"/>
                <w:b/>
                <w:bCs/>
                <w:color w:val="000000"/>
                <w:lang w:eastAsia="es-HN"/>
              </w:rPr>
            </w:pPr>
            <w:r w:rsidRPr="000174DD">
              <w:rPr>
                <w:rFonts w:ascii="Times New Roman" w:eastAsia="Times New Roman" w:hAnsi="Times New Roman" w:cs="Times New Roman"/>
                <w:b/>
                <w:bCs/>
                <w:color w:val="000000"/>
                <w:lang w:eastAsia="es-HN"/>
              </w:rPr>
              <w:t>2023</w:t>
            </w:r>
          </w:p>
        </w:tc>
      </w:tr>
      <w:tr w:rsidR="000174DD" w:rsidRPr="000174DD" w14:paraId="1D36E2A6" w14:textId="77777777" w:rsidTr="00957314">
        <w:trPr>
          <w:trHeight w:val="133"/>
          <w:jc w:val="center"/>
        </w:trPr>
        <w:tc>
          <w:tcPr>
            <w:tcW w:w="1974" w:type="dxa"/>
            <w:vMerge w:val="restart"/>
            <w:tcBorders>
              <w:top w:val="nil"/>
              <w:left w:val="nil"/>
              <w:bottom w:val="nil"/>
              <w:right w:val="nil"/>
            </w:tcBorders>
            <w:shd w:val="clear" w:color="auto" w:fill="auto"/>
            <w:vAlign w:val="center"/>
            <w:hideMark/>
          </w:tcPr>
          <w:p w14:paraId="1B42D86F" w14:textId="77777777" w:rsidR="000174DD" w:rsidRPr="000174DD" w:rsidRDefault="000174DD" w:rsidP="000174DD">
            <w:pPr>
              <w:widowControl/>
              <w:jc w:val="center"/>
              <w:rPr>
                <w:rFonts w:ascii="Times New Roman" w:eastAsia="Times New Roman" w:hAnsi="Times New Roman" w:cs="Times New Roman"/>
                <w:b/>
                <w:bCs/>
                <w:color w:val="000000"/>
                <w:lang w:eastAsia="es-HN"/>
              </w:rPr>
            </w:pPr>
            <w:r w:rsidRPr="000174DD">
              <w:rPr>
                <w:rFonts w:ascii="Times New Roman" w:eastAsia="Times New Roman" w:hAnsi="Times New Roman" w:cs="Times New Roman"/>
                <w:b/>
                <w:bCs/>
                <w:color w:val="000000"/>
                <w:lang w:eastAsia="es-HN"/>
              </w:rPr>
              <w:t xml:space="preserve">Ratio de Endeudamiento </w:t>
            </w:r>
          </w:p>
        </w:tc>
        <w:tc>
          <w:tcPr>
            <w:tcW w:w="336" w:type="dxa"/>
            <w:tcBorders>
              <w:top w:val="nil"/>
              <w:left w:val="nil"/>
              <w:bottom w:val="nil"/>
              <w:right w:val="nil"/>
            </w:tcBorders>
            <w:shd w:val="clear" w:color="auto" w:fill="auto"/>
            <w:noWrap/>
            <w:vAlign w:val="bottom"/>
            <w:hideMark/>
          </w:tcPr>
          <w:p w14:paraId="6E75CF39" w14:textId="77777777" w:rsidR="000174DD" w:rsidRPr="000174DD" w:rsidRDefault="000174DD" w:rsidP="000174DD">
            <w:pPr>
              <w:widowControl/>
              <w:jc w:val="center"/>
              <w:rPr>
                <w:rFonts w:ascii="Times New Roman" w:eastAsia="Times New Roman" w:hAnsi="Times New Roman" w:cs="Times New Roman"/>
                <w:color w:val="000000"/>
                <w:lang w:eastAsia="es-HN"/>
              </w:rPr>
            </w:pPr>
            <w:r w:rsidRPr="000174DD">
              <w:rPr>
                <w:rFonts w:ascii="Times New Roman" w:eastAsia="Times New Roman" w:hAnsi="Times New Roman" w:cs="Times New Roman"/>
                <w:color w:val="000000"/>
                <w:lang w:eastAsia="es-HN"/>
              </w:rPr>
              <w:t>=</w:t>
            </w:r>
          </w:p>
        </w:tc>
        <w:tc>
          <w:tcPr>
            <w:tcW w:w="1400" w:type="dxa"/>
            <w:tcBorders>
              <w:top w:val="nil"/>
              <w:left w:val="nil"/>
              <w:bottom w:val="single" w:sz="4" w:space="0" w:color="auto"/>
              <w:right w:val="nil"/>
            </w:tcBorders>
            <w:shd w:val="clear" w:color="auto" w:fill="auto"/>
            <w:noWrap/>
            <w:vAlign w:val="bottom"/>
            <w:hideMark/>
          </w:tcPr>
          <w:p w14:paraId="389BA0B0" w14:textId="77777777" w:rsidR="000174DD" w:rsidRPr="000174DD" w:rsidRDefault="000174DD" w:rsidP="000174DD">
            <w:pPr>
              <w:widowControl/>
              <w:rPr>
                <w:rFonts w:ascii="Times New Roman" w:eastAsia="Times New Roman" w:hAnsi="Times New Roman" w:cs="Times New Roman"/>
                <w:color w:val="000000"/>
                <w:lang w:eastAsia="es-HN"/>
              </w:rPr>
            </w:pPr>
            <w:r w:rsidRPr="000174DD">
              <w:rPr>
                <w:rFonts w:ascii="Times New Roman" w:eastAsia="Times New Roman" w:hAnsi="Times New Roman" w:cs="Times New Roman"/>
                <w:color w:val="000000"/>
                <w:lang w:eastAsia="es-HN"/>
              </w:rPr>
              <w:t xml:space="preserve">        589,033,661 </w:t>
            </w:r>
          </w:p>
        </w:tc>
        <w:tc>
          <w:tcPr>
            <w:tcW w:w="1400" w:type="dxa"/>
            <w:tcBorders>
              <w:top w:val="nil"/>
              <w:left w:val="nil"/>
              <w:bottom w:val="single" w:sz="4" w:space="0" w:color="auto"/>
              <w:right w:val="nil"/>
            </w:tcBorders>
            <w:shd w:val="clear" w:color="auto" w:fill="auto"/>
            <w:noWrap/>
            <w:vAlign w:val="bottom"/>
            <w:hideMark/>
          </w:tcPr>
          <w:p w14:paraId="457057D4" w14:textId="77777777" w:rsidR="000174DD" w:rsidRPr="000174DD" w:rsidRDefault="000174DD" w:rsidP="000174DD">
            <w:pPr>
              <w:widowControl/>
              <w:rPr>
                <w:rFonts w:ascii="Times New Roman" w:eastAsia="Times New Roman" w:hAnsi="Times New Roman" w:cs="Times New Roman"/>
                <w:color w:val="000000"/>
                <w:lang w:eastAsia="es-HN"/>
              </w:rPr>
            </w:pPr>
            <w:r w:rsidRPr="000174DD">
              <w:rPr>
                <w:rFonts w:ascii="Times New Roman" w:eastAsia="Times New Roman" w:hAnsi="Times New Roman" w:cs="Times New Roman"/>
                <w:color w:val="000000"/>
                <w:lang w:eastAsia="es-HN"/>
              </w:rPr>
              <w:t xml:space="preserve">        451,588,618 </w:t>
            </w:r>
          </w:p>
        </w:tc>
        <w:tc>
          <w:tcPr>
            <w:tcW w:w="1400" w:type="dxa"/>
            <w:tcBorders>
              <w:top w:val="nil"/>
              <w:left w:val="nil"/>
              <w:bottom w:val="single" w:sz="4" w:space="0" w:color="auto"/>
              <w:right w:val="nil"/>
            </w:tcBorders>
            <w:shd w:val="clear" w:color="auto" w:fill="auto"/>
            <w:noWrap/>
            <w:vAlign w:val="bottom"/>
            <w:hideMark/>
          </w:tcPr>
          <w:p w14:paraId="01E63C55" w14:textId="77777777" w:rsidR="000174DD" w:rsidRPr="000174DD" w:rsidRDefault="000174DD" w:rsidP="000174DD">
            <w:pPr>
              <w:widowControl/>
              <w:rPr>
                <w:rFonts w:ascii="Times New Roman" w:eastAsia="Times New Roman" w:hAnsi="Times New Roman" w:cs="Times New Roman"/>
                <w:color w:val="000000"/>
                <w:lang w:eastAsia="es-HN"/>
              </w:rPr>
            </w:pPr>
            <w:r w:rsidRPr="000174DD">
              <w:rPr>
                <w:rFonts w:ascii="Times New Roman" w:eastAsia="Times New Roman" w:hAnsi="Times New Roman" w:cs="Times New Roman"/>
                <w:color w:val="000000"/>
                <w:lang w:eastAsia="es-HN"/>
              </w:rPr>
              <w:t xml:space="preserve">        318,062,584 </w:t>
            </w:r>
          </w:p>
        </w:tc>
        <w:tc>
          <w:tcPr>
            <w:tcW w:w="1400" w:type="dxa"/>
            <w:tcBorders>
              <w:top w:val="nil"/>
              <w:left w:val="nil"/>
              <w:bottom w:val="single" w:sz="4" w:space="0" w:color="auto"/>
              <w:right w:val="nil"/>
            </w:tcBorders>
            <w:shd w:val="clear" w:color="auto" w:fill="auto"/>
            <w:noWrap/>
            <w:vAlign w:val="bottom"/>
            <w:hideMark/>
          </w:tcPr>
          <w:p w14:paraId="78A533F6" w14:textId="77777777" w:rsidR="000174DD" w:rsidRPr="000174DD" w:rsidRDefault="000174DD" w:rsidP="000174DD">
            <w:pPr>
              <w:widowControl/>
              <w:rPr>
                <w:rFonts w:ascii="Times New Roman" w:eastAsia="Times New Roman" w:hAnsi="Times New Roman" w:cs="Times New Roman"/>
                <w:color w:val="000000"/>
                <w:lang w:eastAsia="es-HN"/>
              </w:rPr>
            </w:pPr>
            <w:r w:rsidRPr="000174DD">
              <w:rPr>
                <w:rFonts w:ascii="Times New Roman" w:eastAsia="Times New Roman" w:hAnsi="Times New Roman" w:cs="Times New Roman"/>
                <w:color w:val="000000"/>
                <w:lang w:eastAsia="es-HN"/>
              </w:rPr>
              <w:t xml:space="preserve">        280,885,284 </w:t>
            </w:r>
          </w:p>
        </w:tc>
        <w:tc>
          <w:tcPr>
            <w:tcW w:w="1400" w:type="dxa"/>
            <w:tcBorders>
              <w:top w:val="nil"/>
              <w:left w:val="nil"/>
              <w:bottom w:val="single" w:sz="4" w:space="0" w:color="auto"/>
              <w:right w:val="nil"/>
            </w:tcBorders>
            <w:shd w:val="clear" w:color="auto" w:fill="auto"/>
            <w:noWrap/>
            <w:vAlign w:val="bottom"/>
            <w:hideMark/>
          </w:tcPr>
          <w:p w14:paraId="74C74F37" w14:textId="77777777" w:rsidR="000174DD" w:rsidRPr="000174DD" w:rsidRDefault="000174DD" w:rsidP="000174DD">
            <w:pPr>
              <w:widowControl/>
              <w:rPr>
                <w:rFonts w:ascii="Times New Roman" w:eastAsia="Times New Roman" w:hAnsi="Times New Roman" w:cs="Times New Roman"/>
                <w:color w:val="000000"/>
                <w:lang w:eastAsia="es-HN"/>
              </w:rPr>
            </w:pPr>
            <w:r w:rsidRPr="000174DD">
              <w:rPr>
                <w:rFonts w:ascii="Times New Roman" w:eastAsia="Times New Roman" w:hAnsi="Times New Roman" w:cs="Times New Roman"/>
                <w:color w:val="000000"/>
                <w:lang w:eastAsia="es-HN"/>
              </w:rPr>
              <w:t xml:space="preserve">        286,836,589 </w:t>
            </w:r>
          </w:p>
        </w:tc>
      </w:tr>
      <w:tr w:rsidR="000174DD" w:rsidRPr="000174DD" w14:paraId="0818A335" w14:textId="77777777" w:rsidTr="00957314">
        <w:trPr>
          <w:trHeight w:val="133"/>
          <w:jc w:val="center"/>
        </w:trPr>
        <w:tc>
          <w:tcPr>
            <w:tcW w:w="1974" w:type="dxa"/>
            <w:vMerge/>
            <w:tcBorders>
              <w:top w:val="nil"/>
              <w:left w:val="nil"/>
              <w:bottom w:val="nil"/>
              <w:right w:val="nil"/>
            </w:tcBorders>
            <w:vAlign w:val="center"/>
            <w:hideMark/>
          </w:tcPr>
          <w:p w14:paraId="5DA1C2E9" w14:textId="77777777" w:rsidR="000174DD" w:rsidRPr="000174DD" w:rsidRDefault="000174DD" w:rsidP="000174DD">
            <w:pPr>
              <w:widowControl/>
              <w:rPr>
                <w:rFonts w:ascii="Times New Roman" w:eastAsia="Times New Roman" w:hAnsi="Times New Roman" w:cs="Times New Roman"/>
                <w:b/>
                <w:bCs/>
                <w:color w:val="000000"/>
                <w:lang w:eastAsia="es-HN"/>
              </w:rPr>
            </w:pPr>
          </w:p>
        </w:tc>
        <w:tc>
          <w:tcPr>
            <w:tcW w:w="336" w:type="dxa"/>
            <w:tcBorders>
              <w:top w:val="nil"/>
              <w:left w:val="nil"/>
              <w:bottom w:val="nil"/>
              <w:right w:val="nil"/>
            </w:tcBorders>
            <w:shd w:val="clear" w:color="auto" w:fill="auto"/>
            <w:noWrap/>
            <w:vAlign w:val="bottom"/>
            <w:hideMark/>
          </w:tcPr>
          <w:p w14:paraId="21BF3EDC" w14:textId="77777777" w:rsidR="000174DD" w:rsidRPr="000174DD" w:rsidRDefault="000174DD" w:rsidP="000174DD">
            <w:pPr>
              <w:widowControl/>
              <w:rPr>
                <w:rFonts w:ascii="Times New Roman" w:eastAsia="Times New Roman" w:hAnsi="Times New Roman" w:cs="Times New Roman"/>
                <w:color w:val="000000"/>
                <w:lang w:eastAsia="es-HN"/>
              </w:rPr>
            </w:pPr>
          </w:p>
        </w:tc>
        <w:tc>
          <w:tcPr>
            <w:tcW w:w="1400" w:type="dxa"/>
            <w:tcBorders>
              <w:top w:val="nil"/>
              <w:left w:val="nil"/>
              <w:bottom w:val="nil"/>
              <w:right w:val="nil"/>
            </w:tcBorders>
            <w:shd w:val="clear" w:color="auto" w:fill="auto"/>
            <w:noWrap/>
            <w:vAlign w:val="bottom"/>
            <w:hideMark/>
          </w:tcPr>
          <w:p w14:paraId="40DB4C13" w14:textId="77777777" w:rsidR="000174DD" w:rsidRPr="000174DD" w:rsidRDefault="000174DD" w:rsidP="000174DD">
            <w:pPr>
              <w:widowControl/>
              <w:rPr>
                <w:rFonts w:ascii="Times New Roman" w:eastAsia="Times New Roman" w:hAnsi="Times New Roman" w:cs="Times New Roman"/>
                <w:color w:val="000000"/>
                <w:lang w:eastAsia="es-HN"/>
              </w:rPr>
            </w:pPr>
            <w:r w:rsidRPr="000174DD">
              <w:rPr>
                <w:rFonts w:ascii="Times New Roman" w:eastAsia="Times New Roman" w:hAnsi="Times New Roman" w:cs="Times New Roman"/>
                <w:color w:val="000000"/>
                <w:lang w:eastAsia="es-HN"/>
              </w:rPr>
              <w:t xml:space="preserve">        132,704,015 </w:t>
            </w:r>
          </w:p>
        </w:tc>
        <w:tc>
          <w:tcPr>
            <w:tcW w:w="1400" w:type="dxa"/>
            <w:tcBorders>
              <w:top w:val="nil"/>
              <w:left w:val="nil"/>
              <w:bottom w:val="nil"/>
              <w:right w:val="nil"/>
            </w:tcBorders>
            <w:shd w:val="clear" w:color="auto" w:fill="auto"/>
            <w:noWrap/>
            <w:vAlign w:val="bottom"/>
            <w:hideMark/>
          </w:tcPr>
          <w:p w14:paraId="380239B0" w14:textId="77777777" w:rsidR="000174DD" w:rsidRPr="000174DD" w:rsidRDefault="000174DD" w:rsidP="000174DD">
            <w:pPr>
              <w:widowControl/>
              <w:rPr>
                <w:rFonts w:ascii="Times New Roman" w:eastAsia="Times New Roman" w:hAnsi="Times New Roman" w:cs="Times New Roman"/>
                <w:color w:val="000000"/>
                <w:lang w:eastAsia="es-HN"/>
              </w:rPr>
            </w:pPr>
            <w:r w:rsidRPr="000174DD">
              <w:rPr>
                <w:rFonts w:ascii="Times New Roman" w:eastAsia="Times New Roman" w:hAnsi="Times New Roman" w:cs="Times New Roman"/>
                <w:color w:val="000000"/>
                <w:lang w:eastAsia="es-HN"/>
              </w:rPr>
              <w:t xml:space="preserve">          63,803,739 </w:t>
            </w:r>
          </w:p>
        </w:tc>
        <w:tc>
          <w:tcPr>
            <w:tcW w:w="1400" w:type="dxa"/>
            <w:tcBorders>
              <w:top w:val="nil"/>
              <w:left w:val="nil"/>
              <w:bottom w:val="nil"/>
              <w:right w:val="nil"/>
            </w:tcBorders>
            <w:shd w:val="clear" w:color="auto" w:fill="auto"/>
            <w:noWrap/>
            <w:vAlign w:val="bottom"/>
            <w:hideMark/>
          </w:tcPr>
          <w:p w14:paraId="486BE509" w14:textId="77777777" w:rsidR="000174DD" w:rsidRPr="000174DD" w:rsidRDefault="000174DD" w:rsidP="000174DD">
            <w:pPr>
              <w:widowControl/>
              <w:rPr>
                <w:rFonts w:ascii="Times New Roman" w:eastAsia="Times New Roman" w:hAnsi="Times New Roman" w:cs="Times New Roman"/>
                <w:color w:val="000000"/>
                <w:lang w:eastAsia="es-HN"/>
              </w:rPr>
            </w:pPr>
            <w:r w:rsidRPr="000174DD">
              <w:rPr>
                <w:rFonts w:ascii="Times New Roman" w:eastAsia="Times New Roman" w:hAnsi="Times New Roman" w:cs="Times New Roman"/>
                <w:color w:val="000000"/>
                <w:lang w:eastAsia="es-HN"/>
              </w:rPr>
              <w:t xml:space="preserve">          31,525,216 </w:t>
            </w:r>
          </w:p>
        </w:tc>
        <w:tc>
          <w:tcPr>
            <w:tcW w:w="1400" w:type="dxa"/>
            <w:tcBorders>
              <w:top w:val="nil"/>
              <w:left w:val="nil"/>
              <w:bottom w:val="nil"/>
              <w:right w:val="nil"/>
            </w:tcBorders>
            <w:shd w:val="clear" w:color="auto" w:fill="auto"/>
            <w:noWrap/>
            <w:vAlign w:val="bottom"/>
            <w:hideMark/>
          </w:tcPr>
          <w:p w14:paraId="6E3E6AC6" w14:textId="77777777" w:rsidR="000174DD" w:rsidRPr="000174DD" w:rsidRDefault="000174DD" w:rsidP="000174DD">
            <w:pPr>
              <w:widowControl/>
              <w:rPr>
                <w:rFonts w:ascii="Times New Roman" w:eastAsia="Times New Roman" w:hAnsi="Times New Roman" w:cs="Times New Roman"/>
                <w:color w:val="000000"/>
                <w:lang w:eastAsia="es-HN"/>
              </w:rPr>
            </w:pPr>
            <w:r w:rsidRPr="000174DD">
              <w:rPr>
                <w:rFonts w:ascii="Times New Roman" w:eastAsia="Times New Roman" w:hAnsi="Times New Roman" w:cs="Times New Roman"/>
                <w:color w:val="000000"/>
                <w:lang w:eastAsia="es-HN"/>
              </w:rPr>
              <w:t xml:space="preserve">          71,241,105 </w:t>
            </w:r>
          </w:p>
        </w:tc>
        <w:tc>
          <w:tcPr>
            <w:tcW w:w="1400" w:type="dxa"/>
            <w:tcBorders>
              <w:top w:val="nil"/>
              <w:left w:val="nil"/>
              <w:bottom w:val="nil"/>
              <w:right w:val="nil"/>
            </w:tcBorders>
            <w:shd w:val="clear" w:color="auto" w:fill="auto"/>
            <w:noWrap/>
            <w:vAlign w:val="bottom"/>
            <w:hideMark/>
          </w:tcPr>
          <w:p w14:paraId="6B932C55" w14:textId="77777777" w:rsidR="000174DD" w:rsidRPr="000174DD" w:rsidRDefault="000174DD" w:rsidP="000174DD">
            <w:pPr>
              <w:widowControl/>
              <w:rPr>
                <w:rFonts w:ascii="Times New Roman" w:eastAsia="Times New Roman" w:hAnsi="Times New Roman" w:cs="Times New Roman"/>
                <w:color w:val="000000"/>
                <w:lang w:eastAsia="es-HN"/>
              </w:rPr>
            </w:pPr>
            <w:r w:rsidRPr="000174DD">
              <w:rPr>
                <w:rFonts w:ascii="Times New Roman" w:eastAsia="Times New Roman" w:hAnsi="Times New Roman" w:cs="Times New Roman"/>
                <w:color w:val="000000"/>
                <w:lang w:eastAsia="es-HN"/>
              </w:rPr>
              <w:t xml:space="preserve">          62,471,814 </w:t>
            </w:r>
          </w:p>
        </w:tc>
      </w:tr>
      <w:tr w:rsidR="000174DD" w:rsidRPr="000174DD" w14:paraId="04986F07" w14:textId="77777777" w:rsidTr="00957314">
        <w:trPr>
          <w:trHeight w:val="133"/>
          <w:jc w:val="center"/>
        </w:trPr>
        <w:tc>
          <w:tcPr>
            <w:tcW w:w="1974" w:type="dxa"/>
            <w:tcBorders>
              <w:top w:val="nil"/>
              <w:left w:val="nil"/>
              <w:bottom w:val="nil"/>
              <w:right w:val="nil"/>
            </w:tcBorders>
            <w:shd w:val="clear" w:color="auto" w:fill="auto"/>
            <w:noWrap/>
            <w:vAlign w:val="bottom"/>
            <w:hideMark/>
          </w:tcPr>
          <w:p w14:paraId="3439D224" w14:textId="77777777" w:rsidR="000174DD" w:rsidRPr="000174DD" w:rsidRDefault="000174DD" w:rsidP="000174DD">
            <w:pPr>
              <w:widowControl/>
              <w:rPr>
                <w:rFonts w:ascii="Times New Roman" w:eastAsia="Times New Roman" w:hAnsi="Times New Roman" w:cs="Times New Roman"/>
                <w:color w:val="000000"/>
                <w:lang w:eastAsia="es-HN"/>
              </w:rPr>
            </w:pPr>
          </w:p>
        </w:tc>
        <w:tc>
          <w:tcPr>
            <w:tcW w:w="336" w:type="dxa"/>
            <w:tcBorders>
              <w:top w:val="nil"/>
              <w:left w:val="nil"/>
              <w:bottom w:val="nil"/>
              <w:right w:val="nil"/>
            </w:tcBorders>
            <w:shd w:val="clear" w:color="auto" w:fill="auto"/>
            <w:noWrap/>
            <w:vAlign w:val="bottom"/>
            <w:hideMark/>
          </w:tcPr>
          <w:p w14:paraId="293F7729" w14:textId="77777777" w:rsidR="000174DD" w:rsidRPr="000174DD" w:rsidRDefault="000174DD" w:rsidP="000174DD">
            <w:pPr>
              <w:widowControl/>
              <w:rPr>
                <w:rFonts w:ascii="Times New Roman" w:eastAsia="Times New Roman" w:hAnsi="Times New Roman" w:cs="Times New Roman"/>
                <w:sz w:val="20"/>
                <w:szCs w:val="20"/>
                <w:lang w:eastAsia="es-HN"/>
              </w:rPr>
            </w:pPr>
          </w:p>
        </w:tc>
        <w:tc>
          <w:tcPr>
            <w:tcW w:w="1400" w:type="dxa"/>
            <w:tcBorders>
              <w:top w:val="nil"/>
              <w:left w:val="nil"/>
              <w:bottom w:val="nil"/>
              <w:right w:val="nil"/>
            </w:tcBorders>
            <w:shd w:val="clear" w:color="000000" w:fill="CAEDFB"/>
            <w:noWrap/>
            <w:vAlign w:val="bottom"/>
            <w:hideMark/>
          </w:tcPr>
          <w:p w14:paraId="02CB2FB2" w14:textId="2543C71C" w:rsidR="000174DD" w:rsidRPr="000174DD" w:rsidRDefault="000174DD" w:rsidP="00957314">
            <w:pPr>
              <w:widowControl/>
              <w:jc w:val="center"/>
              <w:rPr>
                <w:rFonts w:ascii="Times New Roman" w:eastAsia="Times New Roman" w:hAnsi="Times New Roman" w:cs="Times New Roman"/>
                <w:b/>
                <w:bCs/>
                <w:color w:val="000000"/>
                <w:lang w:eastAsia="es-HN"/>
              </w:rPr>
            </w:pPr>
            <w:r w:rsidRPr="000174DD">
              <w:rPr>
                <w:rFonts w:ascii="Times New Roman" w:eastAsia="Times New Roman" w:hAnsi="Times New Roman" w:cs="Times New Roman"/>
                <w:b/>
                <w:bCs/>
                <w:color w:val="000000"/>
                <w:lang w:eastAsia="es-HN"/>
              </w:rPr>
              <w:t>4.4</w:t>
            </w:r>
          </w:p>
        </w:tc>
        <w:tc>
          <w:tcPr>
            <w:tcW w:w="1400" w:type="dxa"/>
            <w:tcBorders>
              <w:top w:val="nil"/>
              <w:left w:val="nil"/>
              <w:bottom w:val="nil"/>
              <w:right w:val="nil"/>
            </w:tcBorders>
            <w:shd w:val="clear" w:color="000000" w:fill="CAEDFB"/>
            <w:noWrap/>
            <w:vAlign w:val="bottom"/>
            <w:hideMark/>
          </w:tcPr>
          <w:p w14:paraId="47F1844C" w14:textId="39886989" w:rsidR="000174DD" w:rsidRPr="000174DD" w:rsidRDefault="000174DD" w:rsidP="00957314">
            <w:pPr>
              <w:widowControl/>
              <w:jc w:val="center"/>
              <w:rPr>
                <w:rFonts w:ascii="Times New Roman" w:eastAsia="Times New Roman" w:hAnsi="Times New Roman" w:cs="Times New Roman"/>
                <w:b/>
                <w:bCs/>
                <w:color w:val="000000"/>
                <w:lang w:eastAsia="es-HN"/>
              </w:rPr>
            </w:pPr>
            <w:r w:rsidRPr="000174DD">
              <w:rPr>
                <w:rFonts w:ascii="Times New Roman" w:eastAsia="Times New Roman" w:hAnsi="Times New Roman" w:cs="Times New Roman"/>
                <w:b/>
                <w:bCs/>
                <w:color w:val="000000"/>
                <w:lang w:eastAsia="es-HN"/>
              </w:rPr>
              <w:t>7.1</w:t>
            </w:r>
          </w:p>
        </w:tc>
        <w:tc>
          <w:tcPr>
            <w:tcW w:w="1400" w:type="dxa"/>
            <w:tcBorders>
              <w:top w:val="nil"/>
              <w:left w:val="nil"/>
              <w:bottom w:val="nil"/>
              <w:right w:val="nil"/>
            </w:tcBorders>
            <w:shd w:val="clear" w:color="000000" w:fill="CAEDFB"/>
            <w:noWrap/>
            <w:vAlign w:val="bottom"/>
            <w:hideMark/>
          </w:tcPr>
          <w:p w14:paraId="176D4024" w14:textId="217B152B" w:rsidR="000174DD" w:rsidRPr="000174DD" w:rsidRDefault="000174DD" w:rsidP="00957314">
            <w:pPr>
              <w:widowControl/>
              <w:jc w:val="center"/>
              <w:rPr>
                <w:rFonts w:ascii="Times New Roman" w:eastAsia="Times New Roman" w:hAnsi="Times New Roman" w:cs="Times New Roman"/>
                <w:b/>
                <w:bCs/>
                <w:color w:val="000000"/>
                <w:lang w:eastAsia="es-HN"/>
              </w:rPr>
            </w:pPr>
            <w:r w:rsidRPr="000174DD">
              <w:rPr>
                <w:rFonts w:ascii="Times New Roman" w:eastAsia="Times New Roman" w:hAnsi="Times New Roman" w:cs="Times New Roman"/>
                <w:b/>
                <w:bCs/>
                <w:color w:val="000000"/>
                <w:lang w:eastAsia="es-HN"/>
              </w:rPr>
              <w:t>10.1</w:t>
            </w:r>
          </w:p>
        </w:tc>
        <w:tc>
          <w:tcPr>
            <w:tcW w:w="1400" w:type="dxa"/>
            <w:tcBorders>
              <w:top w:val="nil"/>
              <w:left w:val="nil"/>
              <w:bottom w:val="nil"/>
              <w:right w:val="nil"/>
            </w:tcBorders>
            <w:shd w:val="clear" w:color="000000" w:fill="CAEDFB"/>
            <w:noWrap/>
            <w:vAlign w:val="bottom"/>
            <w:hideMark/>
          </w:tcPr>
          <w:p w14:paraId="5542581A" w14:textId="1D484C01" w:rsidR="000174DD" w:rsidRPr="000174DD" w:rsidRDefault="000174DD" w:rsidP="00957314">
            <w:pPr>
              <w:widowControl/>
              <w:jc w:val="center"/>
              <w:rPr>
                <w:rFonts w:ascii="Times New Roman" w:eastAsia="Times New Roman" w:hAnsi="Times New Roman" w:cs="Times New Roman"/>
                <w:b/>
                <w:bCs/>
                <w:color w:val="000000"/>
                <w:lang w:eastAsia="es-HN"/>
              </w:rPr>
            </w:pPr>
            <w:r w:rsidRPr="000174DD">
              <w:rPr>
                <w:rFonts w:ascii="Times New Roman" w:eastAsia="Times New Roman" w:hAnsi="Times New Roman" w:cs="Times New Roman"/>
                <w:b/>
                <w:bCs/>
                <w:color w:val="000000"/>
                <w:lang w:eastAsia="es-HN"/>
              </w:rPr>
              <w:t>3.9</w:t>
            </w:r>
          </w:p>
        </w:tc>
        <w:tc>
          <w:tcPr>
            <w:tcW w:w="1400" w:type="dxa"/>
            <w:tcBorders>
              <w:top w:val="nil"/>
              <w:left w:val="nil"/>
              <w:bottom w:val="nil"/>
              <w:right w:val="nil"/>
            </w:tcBorders>
            <w:shd w:val="clear" w:color="000000" w:fill="CAEDFB"/>
            <w:noWrap/>
            <w:vAlign w:val="bottom"/>
            <w:hideMark/>
          </w:tcPr>
          <w:p w14:paraId="6D3AD208" w14:textId="6B4C0F7D" w:rsidR="000174DD" w:rsidRPr="000174DD" w:rsidRDefault="000174DD" w:rsidP="00957314">
            <w:pPr>
              <w:widowControl/>
              <w:jc w:val="center"/>
              <w:rPr>
                <w:rFonts w:ascii="Times New Roman" w:eastAsia="Times New Roman" w:hAnsi="Times New Roman" w:cs="Times New Roman"/>
                <w:b/>
                <w:bCs/>
                <w:color w:val="000000"/>
                <w:lang w:eastAsia="es-HN"/>
              </w:rPr>
            </w:pPr>
            <w:r w:rsidRPr="000174DD">
              <w:rPr>
                <w:rFonts w:ascii="Times New Roman" w:eastAsia="Times New Roman" w:hAnsi="Times New Roman" w:cs="Times New Roman"/>
                <w:b/>
                <w:bCs/>
                <w:color w:val="000000"/>
                <w:lang w:eastAsia="es-HN"/>
              </w:rPr>
              <w:t>4.6</w:t>
            </w:r>
          </w:p>
        </w:tc>
      </w:tr>
    </w:tbl>
    <w:p w14:paraId="77F842A3" w14:textId="75624F49" w:rsidR="000A3A8B" w:rsidRPr="008953AC" w:rsidRDefault="000A3A8B" w:rsidP="003E2058">
      <w:pPr>
        <w:spacing w:before="240" w:after="240" w:line="360" w:lineRule="auto"/>
        <w:ind w:firstLine="720"/>
        <w:jc w:val="both"/>
        <w:rPr>
          <w:rFonts w:ascii="Times New Roman" w:hAnsi="Times New Roman" w:cs="Times New Roman"/>
          <w:noProof/>
          <w:sz w:val="24"/>
          <w:szCs w:val="24"/>
        </w:rPr>
      </w:pPr>
      <w:r w:rsidRPr="008953AC">
        <w:rPr>
          <w:rFonts w:ascii="Times New Roman" w:hAnsi="Times New Roman" w:cs="Times New Roman"/>
          <w:sz w:val="24"/>
          <w:szCs w:val="24"/>
        </w:rPr>
        <w:t xml:space="preserve">Fuente: Elaboración propia con datos de microfinanciera </w:t>
      </w:r>
      <w:r w:rsidR="00E5074B" w:rsidRPr="008953AC">
        <w:rPr>
          <w:rFonts w:ascii="Times New Roman" w:hAnsi="Times New Roman" w:cs="Times New Roman"/>
          <w:sz w:val="24"/>
          <w:szCs w:val="24"/>
        </w:rPr>
        <w:t>“XYZ”</w:t>
      </w:r>
      <w:r w:rsidRPr="008953AC">
        <w:rPr>
          <w:rFonts w:ascii="Times New Roman" w:hAnsi="Times New Roman" w:cs="Times New Roman"/>
          <w:noProof/>
          <w:sz w:val="24"/>
          <w:szCs w:val="24"/>
        </w:rPr>
        <w:t>.</w:t>
      </w:r>
    </w:p>
    <w:p w14:paraId="56BD5CFE" w14:textId="24BB632F" w:rsidR="008E0977" w:rsidRDefault="00C450F3" w:rsidP="008E0977">
      <w:pPr>
        <w:spacing w:line="360" w:lineRule="auto"/>
        <w:ind w:firstLine="720"/>
        <w:jc w:val="both"/>
        <w:rPr>
          <w:rFonts w:ascii="Times New Roman" w:hAnsi="Times New Roman" w:cs="Times New Roman"/>
          <w:noProof/>
          <w:sz w:val="24"/>
          <w:szCs w:val="24"/>
        </w:rPr>
      </w:pPr>
      <w:r w:rsidRPr="00C450F3">
        <w:rPr>
          <w:rFonts w:ascii="Times New Roman" w:hAnsi="Times New Roman" w:cs="Times New Roman"/>
          <w:noProof/>
          <w:sz w:val="24"/>
          <w:szCs w:val="24"/>
        </w:rPr>
        <w:t>A pesar de que la IMF ha mantenido su nivel de deuda dentro de los rangos sugeridos para los dos últimos años (menor o igual que cinco), se observa que ha estado operando en niveles de sobreapalancamiento. Esto significa que la carga de deuda es alta en relación con su patrimonio neto, lo que podría llevar a dificultades significativas para cumplir con sus obligaciones de deuda y la posibilidad de estar en riesgo de insolvencia si no genera suficientes ingresos para cubrir los pagos de deuda</w:t>
      </w:r>
      <w:r w:rsidR="008E0977">
        <w:rPr>
          <w:rFonts w:ascii="Times New Roman" w:hAnsi="Times New Roman" w:cs="Times New Roman"/>
          <w:noProof/>
          <w:sz w:val="24"/>
          <w:szCs w:val="24"/>
        </w:rPr>
        <w:t>.</w:t>
      </w:r>
    </w:p>
    <w:p w14:paraId="7E885533" w14:textId="77777777" w:rsidR="003E2058" w:rsidRDefault="003E2058" w:rsidP="008E0977">
      <w:pPr>
        <w:spacing w:line="360" w:lineRule="auto"/>
        <w:ind w:firstLine="720"/>
        <w:jc w:val="both"/>
        <w:rPr>
          <w:rFonts w:ascii="Times New Roman" w:hAnsi="Times New Roman" w:cs="Times New Roman"/>
          <w:noProof/>
          <w:sz w:val="24"/>
          <w:szCs w:val="24"/>
        </w:rPr>
      </w:pPr>
    </w:p>
    <w:p w14:paraId="6C4D8C42" w14:textId="3020006F" w:rsidR="000174DD" w:rsidRDefault="0010645D" w:rsidP="008E0977">
      <w:pPr>
        <w:spacing w:line="360" w:lineRule="auto"/>
        <w:jc w:val="center"/>
        <w:rPr>
          <w:rFonts w:ascii="Times New Roman" w:hAnsi="Times New Roman" w:cs="Times New Roman"/>
          <w:sz w:val="24"/>
          <w:szCs w:val="24"/>
        </w:rPr>
      </w:pPr>
      <w:r>
        <w:rPr>
          <w:noProof/>
        </w:rPr>
        <w:drawing>
          <wp:inline distT="0" distB="0" distL="0" distR="0" wp14:anchorId="1A12E3F1" wp14:editId="17BD53A4">
            <wp:extent cx="4434840" cy="2971800"/>
            <wp:effectExtent l="0" t="0" r="3810" b="0"/>
            <wp:docPr id="707737913" name="Gráfico 1">
              <a:extLst xmlns:a="http://schemas.openxmlformats.org/drawingml/2006/main">
                <a:ext uri="{FF2B5EF4-FFF2-40B4-BE49-F238E27FC236}">
                  <a16:creationId xmlns:a16="http://schemas.microsoft.com/office/drawing/2014/main" id="{E8CCB23C-2AB2-9FC0-C06D-846CED0DB518}"/>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14:paraId="2A673695" w14:textId="77777777" w:rsidR="00DF41E4" w:rsidRDefault="000A3A8B" w:rsidP="008953AC">
      <w:pPr>
        <w:spacing w:line="360" w:lineRule="auto"/>
        <w:ind w:firstLine="720"/>
        <w:jc w:val="both"/>
        <w:rPr>
          <w:rFonts w:ascii="Times New Roman" w:hAnsi="Times New Roman" w:cs="Times New Roman"/>
          <w:sz w:val="24"/>
          <w:szCs w:val="24"/>
          <w:lang w:val="es-ES"/>
        </w:rPr>
      </w:pPr>
      <w:r w:rsidRPr="008953AC">
        <w:rPr>
          <w:rFonts w:ascii="Times New Roman" w:hAnsi="Times New Roman" w:cs="Times New Roman"/>
          <w:sz w:val="24"/>
          <w:szCs w:val="24"/>
          <w:lang w:val="es-ES"/>
        </w:rPr>
        <w:t>Figura 10. Ratio de Endeudamiento.</w:t>
      </w:r>
    </w:p>
    <w:p w14:paraId="2EA24F9B" w14:textId="44B54CE9" w:rsidR="000A3A8B" w:rsidRPr="008953AC" w:rsidRDefault="00DF41E4" w:rsidP="008953AC">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lang w:val="es-ES"/>
        </w:rPr>
        <w:t xml:space="preserve">Fuente: </w:t>
      </w:r>
      <w:r w:rsidR="000A3A8B" w:rsidRPr="008953AC">
        <w:rPr>
          <w:rFonts w:ascii="Times New Roman" w:hAnsi="Times New Roman" w:cs="Times New Roman"/>
          <w:sz w:val="24"/>
          <w:szCs w:val="24"/>
        </w:rPr>
        <w:t xml:space="preserve">Elaboración propia con datos de microfinanciera </w:t>
      </w:r>
      <w:r w:rsidR="00E5074B" w:rsidRPr="008953AC">
        <w:rPr>
          <w:rFonts w:ascii="Times New Roman" w:hAnsi="Times New Roman" w:cs="Times New Roman"/>
          <w:sz w:val="24"/>
          <w:szCs w:val="24"/>
        </w:rPr>
        <w:t>“XYZ”</w:t>
      </w:r>
      <w:r>
        <w:rPr>
          <w:rFonts w:ascii="Times New Roman" w:hAnsi="Times New Roman" w:cs="Times New Roman"/>
          <w:sz w:val="24"/>
          <w:szCs w:val="24"/>
        </w:rPr>
        <w:t>.</w:t>
      </w:r>
    </w:p>
    <w:p w14:paraId="74DB4002" w14:textId="77777777" w:rsidR="00EC67BF" w:rsidRDefault="00EC67BF" w:rsidP="00C50ECF">
      <w:pPr>
        <w:spacing w:line="360" w:lineRule="auto"/>
        <w:ind w:firstLine="720"/>
        <w:jc w:val="both"/>
        <w:rPr>
          <w:rFonts w:ascii="Times New Roman" w:hAnsi="Times New Roman" w:cs="Times New Roman"/>
          <w:sz w:val="24"/>
          <w:szCs w:val="24"/>
        </w:rPr>
      </w:pPr>
    </w:p>
    <w:p w14:paraId="3BE60DCB" w14:textId="1CD72865" w:rsidR="00C50ECF" w:rsidRDefault="00EC67BF" w:rsidP="00C50ECF">
      <w:pPr>
        <w:spacing w:line="360" w:lineRule="auto"/>
        <w:ind w:firstLine="720"/>
        <w:jc w:val="both"/>
        <w:rPr>
          <w:rFonts w:ascii="Times New Roman" w:hAnsi="Times New Roman" w:cs="Times New Roman"/>
          <w:sz w:val="24"/>
          <w:szCs w:val="24"/>
        </w:rPr>
      </w:pPr>
      <w:r w:rsidRPr="00EC67BF">
        <w:rPr>
          <w:rFonts w:ascii="Times New Roman" w:hAnsi="Times New Roman" w:cs="Times New Roman"/>
          <w:sz w:val="24"/>
          <w:szCs w:val="24"/>
        </w:rPr>
        <w:t xml:space="preserve">Los resultados presentados en la gráfica 10 revelan que la empresa ha experimentado altos niveles de endeudamiento en los últimos cinco años, con el pico más notable registrado en el año 2021. Sin embargo, se observa una reducción en </w:t>
      </w:r>
      <w:proofErr w:type="gramStart"/>
      <w:r w:rsidRPr="00EC67BF">
        <w:rPr>
          <w:rFonts w:ascii="Times New Roman" w:hAnsi="Times New Roman" w:cs="Times New Roman"/>
          <w:sz w:val="24"/>
          <w:szCs w:val="24"/>
        </w:rPr>
        <w:t>este ratio</w:t>
      </w:r>
      <w:proofErr w:type="gramEnd"/>
      <w:r w:rsidRPr="00EC67BF">
        <w:rPr>
          <w:rFonts w:ascii="Times New Roman" w:hAnsi="Times New Roman" w:cs="Times New Roman"/>
          <w:sz w:val="24"/>
          <w:szCs w:val="24"/>
        </w:rPr>
        <w:t xml:space="preserve"> durante el año 2022, lo cual es una señal </w:t>
      </w:r>
      <w:r w:rsidRPr="00EC67BF">
        <w:rPr>
          <w:rFonts w:ascii="Times New Roman" w:hAnsi="Times New Roman" w:cs="Times New Roman"/>
          <w:sz w:val="24"/>
          <w:szCs w:val="24"/>
        </w:rPr>
        <w:lastRenderedPageBreak/>
        <w:t>positiva de que la empresa está haciendo esfuerzos para gestionar mejor su deuda. A pesar de esta mejora, el nivel de endeudamiento sigue siendo significativo. Por lo tanto, es crucial que la empresa continúe enfocándose en la reducción de la deuda y en la gestión efectiva de sus finanzas para garantizar su estabilidad a largo plazo</w:t>
      </w:r>
      <w:r w:rsidR="00C450F3">
        <w:rPr>
          <w:rFonts w:ascii="Times New Roman" w:hAnsi="Times New Roman" w:cs="Times New Roman"/>
          <w:sz w:val="24"/>
          <w:szCs w:val="24"/>
        </w:rPr>
        <w:t>.</w:t>
      </w:r>
    </w:p>
    <w:p w14:paraId="59BE177C" w14:textId="77777777" w:rsidR="00EC67BF" w:rsidRDefault="00EC67BF" w:rsidP="00C50ECF">
      <w:pPr>
        <w:spacing w:line="360" w:lineRule="auto"/>
        <w:ind w:firstLine="720"/>
        <w:jc w:val="both"/>
        <w:rPr>
          <w:rFonts w:ascii="Times New Roman" w:hAnsi="Times New Roman" w:cs="Times New Roman"/>
          <w:sz w:val="24"/>
          <w:szCs w:val="24"/>
        </w:rPr>
      </w:pPr>
    </w:p>
    <w:p w14:paraId="79EDD919" w14:textId="77777777" w:rsidR="00B77490" w:rsidRPr="00B77490" w:rsidRDefault="00B77490" w:rsidP="00195CA2">
      <w:pPr>
        <w:pStyle w:val="Ttulo5"/>
        <w:spacing w:line="360" w:lineRule="auto"/>
        <w:ind w:firstLine="1440"/>
        <w:rPr>
          <w:rFonts w:ascii="Times New Roman" w:hAnsi="Times New Roman" w:cs="Times New Roman"/>
          <w:b/>
          <w:bCs/>
          <w:color w:val="000000" w:themeColor="text1"/>
          <w:sz w:val="24"/>
          <w:szCs w:val="24"/>
        </w:rPr>
      </w:pPr>
      <w:bookmarkStart w:id="295" w:name="_Toc175171440"/>
      <w:r w:rsidRPr="00B77490">
        <w:rPr>
          <w:rFonts w:ascii="Times New Roman" w:hAnsi="Times New Roman" w:cs="Times New Roman"/>
          <w:b/>
          <w:bCs/>
          <w:color w:val="000000" w:themeColor="text1"/>
          <w:sz w:val="24"/>
          <w:szCs w:val="24"/>
        </w:rPr>
        <w:t>4.2.3.1.2. RATIO DE ENDEUDAMIENTO LARGO PLAZO</w:t>
      </w:r>
      <w:bookmarkEnd w:id="295"/>
    </w:p>
    <w:p w14:paraId="34AE9722" w14:textId="77777777" w:rsidR="00B77490" w:rsidRDefault="00B77490" w:rsidP="00195CA2">
      <w:pPr>
        <w:spacing w:line="360" w:lineRule="auto"/>
        <w:ind w:firstLine="720"/>
        <w:jc w:val="both"/>
        <w:rPr>
          <w:rFonts w:ascii="Times New Roman" w:hAnsi="Times New Roman" w:cs="Times New Roman"/>
          <w:sz w:val="24"/>
          <w:szCs w:val="24"/>
        </w:rPr>
      </w:pPr>
      <w:proofErr w:type="gramStart"/>
      <w:r w:rsidRPr="00B77490">
        <w:rPr>
          <w:rFonts w:ascii="Times New Roman" w:hAnsi="Times New Roman" w:cs="Times New Roman"/>
          <w:sz w:val="24"/>
          <w:szCs w:val="24"/>
        </w:rPr>
        <w:t>Este ratio</w:t>
      </w:r>
      <w:proofErr w:type="gramEnd"/>
      <w:r w:rsidRPr="00B77490">
        <w:rPr>
          <w:rFonts w:ascii="Times New Roman" w:hAnsi="Times New Roman" w:cs="Times New Roman"/>
          <w:sz w:val="24"/>
          <w:szCs w:val="24"/>
        </w:rPr>
        <w:t xml:space="preserve"> de endeudamiento también es un indicador financiero clave que permite evaluar la proporción de deuda a largo plazo que la empresa ha asumido en relación con su patrimonio. Esta medida es fundamental para comprender la estructura financiera de la empresa y su nivel de deuda a largo plazo.</w:t>
      </w:r>
    </w:p>
    <w:p w14:paraId="25966526" w14:textId="77777777" w:rsidR="00A90B85" w:rsidRPr="00A90B85" w:rsidRDefault="00A90B85" w:rsidP="00A90B85">
      <w:pPr>
        <w:spacing w:line="360" w:lineRule="auto"/>
        <w:ind w:firstLine="720"/>
        <w:jc w:val="both"/>
        <w:rPr>
          <w:rFonts w:ascii="Times New Roman" w:hAnsi="Times New Roman" w:cs="Times New Roman"/>
          <w:sz w:val="24"/>
          <w:szCs w:val="24"/>
        </w:rPr>
      </w:pPr>
      <w:r w:rsidRPr="00A90B85">
        <w:rPr>
          <w:rFonts w:ascii="Times New Roman" w:hAnsi="Times New Roman" w:cs="Times New Roman"/>
          <w:sz w:val="24"/>
          <w:szCs w:val="24"/>
        </w:rPr>
        <w:t>Y para ello, se utilizó la siguiente formula:</w:t>
      </w:r>
    </w:p>
    <w:p w14:paraId="3FD3D971" w14:textId="15B31A1B" w:rsidR="00A90B85" w:rsidRDefault="00A90B85" w:rsidP="00A90B85">
      <w:pPr>
        <w:spacing w:line="360" w:lineRule="auto"/>
        <w:ind w:firstLine="720"/>
        <w:jc w:val="both"/>
        <w:rPr>
          <w:rFonts w:ascii="Times New Roman" w:hAnsi="Times New Roman" w:cs="Times New Roman"/>
          <w:b/>
          <w:bCs/>
          <w:i/>
          <w:iCs/>
          <w:sz w:val="24"/>
          <w:szCs w:val="24"/>
        </w:rPr>
      </w:pPr>
      <w:r w:rsidRPr="00BA4F50">
        <w:rPr>
          <w:rFonts w:ascii="Times New Roman" w:hAnsi="Times New Roman" w:cs="Times New Roman"/>
          <w:b/>
          <w:bCs/>
          <w:i/>
          <w:iCs/>
          <w:sz w:val="24"/>
          <w:szCs w:val="24"/>
        </w:rPr>
        <w:t>Ratio de Endeudamiento L/P = Pasivo no Corriente / Patrimonio Neto</w:t>
      </w:r>
    </w:p>
    <w:p w14:paraId="581F4D90" w14:textId="77777777" w:rsidR="000A3A8B" w:rsidRPr="000A3A8B" w:rsidRDefault="000A3A8B" w:rsidP="00A90B85">
      <w:pPr>
        <w:spacing w:line="360" w:lineRule="auto"/>
        <w:ind w:firstLine="720"/>
        <w:jc w:val="both"/>
        <w:rPr>
          <w:rFonts w:ascii="Times New Roman" w:hAnsi="Times New Roman" w:cs="Times New Roman"/>
          <w:sz w:val="24"/>
          <w:szCs w:val="24"/>
        </w:rPr>
      </w:pPr>
    </w:p>
    <w:p w14:paraId="3C5CA6FF" w14:textId="4F397EC3" w:rsidR="00272B2F" w:rsidRDefault="000A3A8B" w:rsidP="00A90B85">
      <w:pPr>
        <w:spacing w:line="360" w:lineRule="auto"/>
        <w:ind w:firstLine="720"/>
        <w:jc w:val="both"/>
        <w:rPr>
          <w:rFonts w:ascii="Times New Roman" w:hAnsi="Times New Roman" w:cs="Times New Roman"/>
          <w:sz w:val="24"/>
          <w:szCs w:val="24"/>
        </w:rPr>
      </w:pPr>
      <w:r w:rsidRPr="008953AC">
        <w:rPr>
          <w:rFonts w:ascii="Times New Roman" w:hAnsi="Times New Roman" w:cs="Times New Roman"/>
          <w:sz w:val="24"/>
          <w:szCs w:val="24"/>
        </w:rPr>
        <w:t xml:space="preserve">Tabla 11. Ratio de Endeudamiento Largo Plazo microfinanciera </w:t>
      </w:r>
      <w:r w:rsidR="00E5074B" w:rsidRPr="008953AC">
        <w:rPr>
          <w:rFonts w:ascii="Times New Roman" w:hAnsi="Times New Roman" w:cs="Times New Roman"/>
          <w:sz w:val="24"/>
          <w:szCs w:val="24"/>
        </w:rPr>
        <w:t>“XYZ”</w:t>
      </w:r>
      <w:r w:rsidRPr="008953AC">
        <w:rPr>
          <w:rFonts w:ascii="Times New Roman" w:hAnsi="Times New Roman" w:cs="Times New Roman"/>
          <w:sz w:val="24"/>
          <w:szCs w:val="24"/>
        </w:rPr>
        <w:t xml:space="preserve"> periodo 2019-2023</w:t>
      </w:r>
      <w:r w:rsidR="008953AC">
        <w:rPr>
          <w:rFonts w:ascii="Times New Roman" w:hAnsi="Times New Roman" w:cs="Times New Roman"/>
          <w:sz w:val="24"/>
          <w:szCs w:val="24"/>
        </w:rPr>
        <w:t>.</w:t>
      </w:r>
    </w:p>
    <w:tbl>
      <w:tblPr>
        <w:tblW w:w="9476" w:type="dxa"/>
        <w:tblCellMar>
          <w:left w:w="70" w:type="dxa"/>
          <w:right w:w="70" w:type="dxa"/>
        </w:tblCellMar>
        <w:tblLook w:val="04A0" w:firstRow="1" w:lastRow="0" w:firstColumn="1" w:lastColumn="0" w:noHBand="0" w:noVBand="1"/>
      </w:tblPr>
      <w:tblGrid>
        <w:gridCol w:w="2008"/>
        <w:gridCol w:w="343"/>
        <w:gridCol w:w="1425"/>
        <w:gridCol w:w="1425"/>
        <w:gridCol w:w="1425"/>
        <w:gridCol w:w="1425"/>
        <w:gridCol w:w="1425"/>
      </w:tblGrid>
      <w:tr w:rsidR="000174DD" w:rsidRPr="000174DD" w14:paraId="0CF81E35" w14:textId="77777777" w:rsidTr="000174DD">
        <w:trPr>
          <w:trHeight w:val="201"/>
        </w:trPr>
        <w:tc>
          <w:tcPr>
            <w:tcW w:w="2008" w:type="dxa"/>
            <w:tcBorders>
              <w:top w:val="nil"/>
              <w:left w:val="nil"/>
              <w:bottom w:val="nil"/>
              <w:right w:val="nil"/>
            </w:tcBorders>
            <w:shd w:val="clear" w:color="auto" w:fill="auto"/>
            <w:noWrap/>
            <w:vAlign w:val="bottom"/>
            <w:hideMark/>
          </w:tcPr>
          <w:p w14:paraId="1E938157" w14:textId="77777777" w:rsidR="000174DD" w:rsidRPr="000174DD" w:rsidRDefault="000174DD" w:rsidP="000174DD">
            <w:pPr>
              <w:widowControl/>
              <w:rPr>
                <w:rFonts w:ascii="Times New Roman" w:eastAsia="Times New Roman" w:hAnsi="Times New Roman" w:cs="Times New Roman"/>
                <w:sz w:val="24"/>
                <w:szCs w:val="24"/>
                <w:lang w:eastAsia="es-HN"/>
              </w:rPr>
            </w:pPr>
          </w:p>
        </w:tc>
        <w:tc>
          <w:tcPr>
            <w:tcW w:w="343" w:type="dxa"/>
            <w:tcBorders>
              <w:top w:val="nil"/>
              <w:left w:val="nil"/>
              <w:bottom w:val="nil"/>
              <w:right w:val="nil"/>
            </w:tcBorders>
            <w:shd w:val="clear" w:color="auto" w:fill="auto"/>
            <w:noWrap/>
            <w:vAlign w:val="bottom"/>
            <w:hideMark/>
          </w:tcPr>
          <w:p w14:paraId="1BD5AE50" w14:textId="77777777" w:rsidR="000174DD" w:rsidRPr="000174DD" w:rsidRDefault="000174DD" w:rsidP="000174DD">
            <w:pPr>
              <w:widowControl/>
              <w:rPr>
                <w:rFonts w:ascii="Times New Roman" w:eastAsia="Times New Roman" w:hAnsi="Times New Roman" w:cs="Times New Roman"/>
                <w:sz w:val="20"/>
                <w:szCs w:val="20"/>
                <w:lang w:eastAsia="es-HN"/>
              </w:rPr>
            </w:pPr>
          </w:p>
        </w:tc>
        <w:tc>
          <w:tcPr>
            <w:tcW w:w="1425" w:type="dxa"/>
            <w:tcBorders>
              <w:top w:val="nil"/>
              <w:left w:val="nil"/>
              <w:bottom w:val="nil"/>
              <w:right w:val="nil"/>
            </w:tcBorders>
            <w:shd w:val="clear" w:color="auto" w:fill="auto"/>
            <w:noWrap/>
            <w:vAlign w:val="bottom"/>
            <w:hideMark/>
          </w:tcPr>
          <w:p w14:paraId="6F8D0661" w14:textId="77777777" w:rsidR="000174DD" w:rsidRPr="000174DD" w:rsidRDefault="000174DD" w:rsidP="000174DD">
            <w:pPr>
              <w:widowControl/>
              <w:jc w:val="center"/>
              <w:rPr>
                <w:rFonts w:ascii="Times New Roman" w:eastAsia="Times New Roman" w:hAnsi="Times New Roman" w:cs="Times New Roman"/>
                <w:b/>
                <w:bCs/>
                <w:color w:val="000000"/>
                <w:lang w:eastAsia="es-HN"/>
              </w:rPr>
            </w:pPr>
            <w:r w:rsidRPr="000174DD">
              <w:rPr>
                <w:rFonts w:ascii="Times New Roman" w:eastAsia="Times New Roman" w:hAnsi="Times New Roman" w:cs="Times New Roman"/>
                <w:b/>
                <w:bCs/>
                <w:color w:val="000000"/>
                <w:lang w:eastAsia="es-HN"/>
              </w:rPr>
              <w:t>2019</w:t>
            </w:r>
          </w:p>
        </w:tc>
        <w:tc>
          <w:tcPr>
            <w:tcW w:w="1425" w:type="dxa"/>
            <w:tcBorders>
              <w:top w:val="nil"/>
              <w:left w:val="nil"/>
              <w:bottom w:val="nil"/>
              <w:right w:val="nil"/>
            </w:tcBorders>
            <w:shd w:val="clear" w:color="auto" w:fill="auto"/>
            <w:noWrap/>
            <w:vAlign w:val="bottom"/>
            <w:hideMark/>
          </w:tcPr>
          <w:p w14:paraId="103AB6D8" w14:textId="77777777" w:rsidR="000174DD" w:rsidRPr="000174DD" w:rsidRDefault="000174DD" w:rsidP="000174DD">
            <w:pPr>
              <w:widowControl/>
              <w:jc w:val="center"/>
              <w:rPr>
                <w:rFonts w:ascii="Times New Roman" w:eastAsia="Times New Roman" w:hAnsi="Times New Roman" w:cs="Times New Roman"/>
                <w:b/>
                <w:bCs/>
                <w:color w:val="000000"/>
                <w:lang w:eastAsia="es-HN"/>
              </w:rPr>
            </w:pPr>
            <w:r w:rsidRPr="000174DD">
              <w:rPr>
                <w:rFonts w:ascii="Times New Roman" w:eastAsia="Times New Roman" w:hAnsi="Times New Roman" w:cs="Times New Roman"/>
                <w:b/>
                <w:bCs/>
                <w:color w:val="000000"/>
                <w:lang w:eastAsia="es-HN"/>
              </w:rPr>
              <w:t>2020</w:t>
            </w:r>
          </w:p>
        </w:tc>
        <w:tc>
          <w:tcPr>
            <w:tcW w:w="1425" w:type="dxa"/>
            <w:tcBorders>
              <w:top w:val="nil"/>
              <w:left w:val="nil"/>
              <w:bottom w:val="nil"/>
              <w:right w:val="nil"/>
            </w:tcBorders>
            <w:shd w:val="clear" w:color="auto" w:fill="auto"/>
            <w:noWrap/>
            <w:vAlign w:val="bottom"/>
            <w:hideMark/>
          </w:tcPr>
          <w:p w14:paraId="37853CD5" w14:textId="77777777" w:rsidR="000174DD" w:rsidRPr="000174DD" w:rsidRDefault="000174DD" w:rsidP="000174DD">
            <w:pPr>
              <w:widowControl/>
              <w:jc w:val="center"/>
              <w:rPr>
                <w:rFonts w:ascii="Times New Roman" w:eastAsia="Times New Roman" w:hAnsi="Times New Roman" w:cs="Times New Roman"/>
                <w:b/>
                <w:bCs/>
                <w:color w:val="000000"/>
                <w:lang w:eastAsia="es-HN"/>
              </w:rPr>
            </w:pPr>
            <w:r w:rsidRPr="000174DD">
              <w:rPr>
                <w:rFonts w:ascii="Times New Roman" w:eastAsia="Times New Roman" w:hAnsi="Times New Roman" w:cs="Times New Roman"/>
                <w:b/>
                <w:bCs/>
                <w:color w:val="000000"/>
                <w:lang w:eastAsia="es-HN"/>
              </w:rPr>
              <w:t>2021</w:t>
            </w:r>
          </w:p>
        </w:tc>
        <w:tc>
          <w:tcPr>
            <w:tcW w:w="1425" w:type="dxa"/>
            <w:tcBorders>
              <w:top w:val="nil"/>
              <w:left w:val="nil"/>
              <w:bottom w:val="nil"/>
              <w:right w:val="nil"/>
            </w:tcBorders>
            <w:shd w:val="clear" w:color="auto" w:fill="auto"/>
            <w:noWrap/>
            <w:vAlign w:val="bottom"/>
            <w:hideMark/>
          </w:tcPr>
          <w:p w14:paraId="0D7B9258" w14:textId="77777777" w:rsidR="000174DD" w:rsidRPr="000174DD" w:rsidRDefault="000174DD" w:rsidP="000174DD">
            <w:pPr>
              <w:widowControl/>
              <w:jc w:val="center"/>
              <w:rPr>
                <w:rFonts w:ascii="Times New Roman" w:eastAsia="Times New Roman" w:hAnsi="Times New Roman" w:cs="Times New Roman"/>
                <w:b/>
                <w:bCs/>
                <w:color w:val="000000"/>
                <w:lang w:eastAsia="es-HN"/>
              </w:rPr>
            </w:pPr>
            <w:r w:rsidRPr="000174DD">
              <w:rPr>
                <w:rFonts w:ascii="Times New Roman" w:eastAsia="Times New Roman" w:hAnsi="Times New Roman" w:cs="Times New Roman"/>
                <w:b/>
                <w:bCs/>
                <w:color w:val="000000"/>
                <w:lang w:eastAsia="es-HN"/>
              </w:rPr>
              <w:t>2022</w:t>
            </w:r>
          </w:p>
        </w:tc>
        <w:tc>
          <w:tcPr>
            <w:tcW w:w="1425" w:type="dxa"/>
            <w:tcBorders>
              <w:top w:val="nil"/>
              <w:left w:val="nil"/>
              <w:bottom w:val="nil"/>
              <w:right w:val="nil"/>
            </w:tcBorders>
            <w:shd w:val="clear" w:color="auto" w:fill="auto"/>
            <w:noWrap/>
            <w:vAlign w:val="bottom"/>
            <w:hideMark/>
          </w:tcPr>
          <w:p w14:paraId="58AA0113" w14:textId="77777777" w:rsidR="000174DD" w:rsidRPr="000174DD" w:rsidRDefault="000174DD" w:rsidP="000174DD">
            <w:pPr>
              <w:widowControl/>
              <w:jc w:val="center"/>
              <w:rPr>
                <w:rFonts w:ascii="Times New Roman" w:eastAsia="Times New Roman" w:hAnsi="Times New Roman" w:cs="Times New Roman"/>
                <w:b/>
                <w:bCs/>
                <w:color w:val="000000"/>
                <w:lang w:eastAsia="es-HN"/>
              </w:rPr>
            </w:pPr>
            <w:r w:rsidRPr="000174DD">
              <w:rPr>
                <w:rFonts w:ascii="Times New Roman" w:eastAsia="Times New Roman" w:hAnsi="Times New Roman" w:cs="Times New Roman"/>
                <w:b/>
                <w:bCs/>
                <w:color w:val="000000"/>
                <w:lang w:eastAsia="es-HN"/>
              </w:rPr>
              <w:t>2023</w:t>
            </w:r>
          </w:p>
        </w:tc>
      </w:tr>
      <w:tr w:rsidR="000174DD" w:rsidRPr="000174DD" w14:paraId="3C6C39E6" w14:textId="77777777" w:rsidTr="000174DD">
        <w:trPr>
          <w:trHeight w:val="201"/>
        </w:trPr>
        <w:tc>
          <w:tcPr>
            <w:tcW w:w="2008" w:type="dxa"/>
            <w:vMerge w:val="restart"/>
            <w:tcBorders>
              <w:top w:val="nil"/>
              <w:left w:val="nil"/>
              <w:bottom w:val="nil"/>
              <w:right w:val="nil"/>
            </w:tcBorders>
            <w:shd w:val="clear" w:color="auto" w:fill="auto"/>
            <w:vAlign w:val="bottom"/>
            <w:hideMark/>
          </w:tcPr>
          <w:p w14:paraId="25AB84BD" w14:textId="77777777" w:rsidR="000174DD" w:rsidRPr="000174DD" w:rsidRDefault="000174DD" w:rsidP="000174DD">
            <w:pPr>
              <w:widowControl/>
              <w:jc w:val="center"/>
              <w:rPr>
                <w:rFonts w:ascii="Times New Roman" w:eastAsia="Times New Roman" w:hAnsi="Times New Roman" w:cs="Times New Roman"/>
                <w:b/>
                <w:bCs/>
                <w:color w:val="000000"/>
                <w:lang w:eastAsia="es-HN"/>
              </w:rPr>
            </w:pPr>
            <w:r w:rsidRPr="000174DD">
              <w:rPr>
                <w:rFonts w:ascii="Times New Roman" w:eastAsia="Times New Roman" w:hAnsi="Times New Roman" w:cs="Times New Roman"/>
                <w:b/>
                <w:bCs/>
                <w:color w:val="000000"/>
                <w:lang w:eastAsia="es-HN"/>
              </w:rPr>
              <w:t>Ratio de Endeudamiento L/P</w:t>
            </w:r>
          </w:p>
        </w:tc>
        <w:tc>
          <w:tcPr>
            <w:tcW w:w="343" w:type="dxa"/>
            <w:tcBorders>
              <w:top w:val="nil"/>
              <w:left w:val="nil"/>
              <w:bottom w:val="nil"/>
              <w:right w:val="nil"/>
            </w:tcBorders>
            <w:shd w:val="clear" w:color="auto" w:fill="auto"/>
            <w:noWrap/>
            <w:vAlign w:val="bottom"/>
            <w:hideMark/>
          </w:tcPr>
          <w:p w14:paraId="401003F4" w14:textId="77777777" w:rsidR="000174DD" w:rsidRPr="000174DD" w:rsidRDefault="000174DD" w:rsidP="000174DD">
            <w:pPr>
              <w:widowControl/>
              <w:jc w:val="center"/>
              <w:rPr>
                <w:rFonts w:ascii="Times New Roman" w:eastAsia="Times New Roman" w:hAnsi="Times New Roman" w:cs="Times New Roman"/>
                <w:color w:val="000000"/>
                <w:lang w:eastAsia="es-HN"/>
              </w:rPr>
            </w:pPr>
            <w:r w:rsidRPr="000174DD">
              <w:rPr>
                <w:rFonts w:ascii="Times New Roman" w:eastAsia="Times New Roman" w:hAnsi="Times New Roman" w:cs="Times New Roman"/>
                <w:color w:val="000000"/>
                <w:lang w:eastAsia="es-HN"/>
              </w:rPr>
              <w:t>=</w:t>
            </w:r>
          </w:p>
        </w:tc>
        <w:tc>
          <w:tcPr>
            <w:tcW w:w="1425" w:type="dxa"/>
            <w:tcBorders>
              <w:top w:val="nil"/>
              <w:left w:val="nil"/>
              <w:bottom w:val="single" w:sz="4" w:space="0" w:color="auto"/>
              <w:right w:val="nil"/>
            </w:tcBorders>
            <w:shd w:val="clear" w:color="auto" w:fill="auto"/>
            <w:noWrap/>
            <w:vAlign w:val="bottom"/>
            <w:hideMark/>
          </w:tcPr>
          <w:p w14:paraId="41747172" w14:textId="77777777" w:rsidR="000174DD" w:rsidRPr="000174DD" w:rsidRDefault="000174DD" w:rsidP="000174DD">
            <w:pPr>
              <w:widowControl/>
              <w:rPr>
                <w:rFonts w:ascii="Times New Roman" w:eastAsia="Times New Roman" w:hAnsi="Times New Roman" w:cs="Times New Roman"/>
                <w:color w:val="000000"/>
                <w:lang w:eastAsia="es-HN"/>
              </w:rPr>
            </w:pPr>
            <w:r w:rsidRPr="000174DD">
              <w:rPr>
                <w:rFonts w:ascii="Times New Roman" w:eastAsia="Times New Roman" w:hAnsi="Times New Roman" w:cs="Times New Roman"/>
                <w:color w:val="000000"/>
                <w:lang w:eastAsia="es-HN"/>
              </w:rPr>
              <w:t xml:space="preserve">        235,880,121 </w:t>
            </w:r>
          </w:p>
        </w:tc>
        <w:tc>
          <w:tcPr>
            <w:tcW w:w="1425" w:type="dxa"/>
            <w:tcBorders>
              <w:top w:val="nil"/>
              <w:left w:val="nil"/>
              <w:bottom w:val="single" w:sz="4" w:space="0" w:color="auto"/>
              <w:right w:val="nil"/>
            </w:tcBorders>
            <w:shd w:val="clear" w:color="auto" w:fill="auto"/>
            <w:noWrap/>
            <w:vAlign w:val="bottom"/>
            <w:hideMark/>
          </w:tcPr>
          <w:p w14:paraId="2B30F908" w14:textId="77777777" w:rsidR="000174DD" w:rsidRPr="000174DD" w:rsidRDefault="000174DD" w:rsidP="000174DD">
            <w:pPr>
              <w:widowControl/>
              <w:rPr>
                <w:rFonts w:ascii="Times New Roman" w:eastAsia="Times New Roman" w:hAnsi="Times New Roman" w:cs="Times New Roman"/>
                <w:color w:val="000000"/>
                <w:lang w:eastAsia="es-HN"/>
              </w:rPr>
            </w:pPr>
            <w:r w:rsidRPr="000174DD">
              <w:rPr>
                <w:rFonts w:ascii="Times New Roman" w:eastAsia="Times New Roman" w:hAnsi="Times New Roman" w:cs="Times New Roman"/>
                <w:color w:val="000000"/>
                <w:lang w:eastAsia="es-HN"/>
              </w:rPr>
              <w:t xml:space="preserve">        303,917,383 </w:t>
            </w:r>
          </w:p>
        </w:tc>
        <w:tc>
          <w:tcPr>
            <w:tcW w:w="1425" w:type="dxa"/>
            <w:tcBorders>
              <w:top w:val="nil"/>
              <w:left w:val="nil"/>
              <w:bottom w:val="single" w:sz="4" w:space="0" w:color="auto"/>
              <w:right w:val="nil"/>
            </w:tcBorders>
            <w:shd w:val="clear" w:color="auto" w:fill="auto"/>
            <w:noWrap/>
            <w:vAlign w:val="bottom"/>
            <w:hideMark/>
          </w:tcPr>
          <w:p w14:paraId="10CE80D9" w14:textId="77777777" w:rsidR="000174DD" w:rsidRPr="000174DD" w:rsidRDefault="000174DD" w:rsidP="000174DD">
            <w:pPr>
              <w:widowControl/>
              <w:rPr>
                <w:rFonts w:ascii="Times New Roman" w:eastAsia="Times New Roman" w:hAnsi="Times New Roman" w:cs="Times New Roman"/>
                <w:color w:val="000000"/>
                <w:lang w:eastAsia="es-HN"/>
              </w:rPr>
            </w:pPr>
            <w:r w:rsidRPr="000174DD">
              <w:rPr>
                <w:rFonts w:ascii="Times New Roman" w:eastAsia="Times New Roman" w:hAnsi="Times New Roman" w:cs="Times New Roman"/>
                <w:color w:val="000000"/>
                <w:lang w:eastAsia="es-HN"/>
              </w:rPr>
              <w:t xml:space="preserve">        272,775,460 </w:t>
            </w:r>
          </w:p>
        </w:tc>
        <w:tc>
          <w:tcPr>
            <w:tcW w:w="1425" w:type="dxa"/>
            <w:tcBorders>
              <w:top w:val="nil"/>
              <w:left w:val="nil"/>
              <w:bottom w:val="single" w:sz="4" w:space="0" w:color="auto"/>
              <w:right w:val="nil"/>
            </w:tcBorders>
            <w:shd w:val="clear" w:color="auto" w:fill="auto"/>
            <w:noWrap/>
            <w:vAlign w:val="bottom"/>
            <w:hideMark/>
          </w:tcPr>
          <w:p w14:paraId="5D31CF9C" w14:textId="77777777" w:rsidR="000174DD" w:rsidRPr="000174DD" w:rsidRDefault="000174DD" w:rsidP="000174DD">
            <w:pPr>
              <w:widowControl/>
              <w:rPr>
                <w:rFonts w:ascii="Times New Roman" w:eastAsia="Times New Roman" w:hAnsi="Times New Roman" w:cs="Times New Roman"/>
                <w:color w:val="000000"/>
                <w:lang w:eastAsia="es-HN"/>
              </w:rPr>
            </w:pPr>
            <w:r w:rsidRPr="000174DD">
              <w:rPr>
                <w:rFonts w:ascii="Times New Roman" w:eastAsia="Times New Roman" w:hAnsi="Times New Roman" w:cs="Times New Roman"/>
                <w:color w:val="000000"/>
                <w:lang w:eastAsia="es-HN"/>
              </w:rPr>
              <w:t xml:space="preserve">        190,816,861 </w:t>
            </w:r>
          </w:p>
        </w:tc>
        <w:tc>
          <w:tcPr>
            <w:tcW w:w="1425" w:type="dxa"/>
            <w:tcBorders>
              <w:top w:val="nil"/>
              <w:left w:val="nil"/>
              <w:bottom w:val="single" w:sz="4" w:space="0" w:color="auto"/>
              <w:right w:val="nil"/>
            </w:tcBorders>
            <w:shd w:val="clear" w:color="auto" w:fill="auto"/>
            <w:noWrap/>
            <w:vAlign w:val="bottom"/>
            <w:hideMark/>
          </w:tcPr>
          <w:p w14:paraId="5AF67826" w14:textId="77777777" w:rsidR="000174DD" w:rsidRPr="000174DD" w:rsidRDefault="000174DD" w:rsidP="000174DD">
            <w:pPr>
              <w:widowControl/>
              <w:rPr>
                <w:rFonts w:ascii="Times New Roman" w:eastAsia="Times New Roman" w:hAnsi="Times New Roman" w:cs="Times New Roman"/>
                <w:color w:val="000000"/>
                <w:lang w:eastAsia="es-HN"/>
              </w:rPr>
            </w:pPr>
            <w:r w:rsidRPr="000174DD">
              <w:rPr>
                <w:rFonts w:ascii="Times New Roman" w:eastAsia="Times New Roman" w:hAnsi="Times New Roman" w:cs="Times New Roman"/>
                <w:color w:val="000000"/>
                <w:lang w:eastAsia="es-HN"/>
              </w:rPr>
              <w:t xml:space="preserve">        212,685,537 </w:t>
            </w:r>
          </w:p>
        </w:tc>
      </w:tr>
      <w:tr w:rsidR="000174DD" w:rsidRPr="000174DD" w14:paraId="4F440126" w14:textId="77777777" w:rsidTr="000174DD">
        <w:trPr>
          <w:trHeight w:val="201"/>
        </w:trPr>
        <w:tc>
          <w:tcPr>
            <w:tcW w:w="2008" w:type="dxa"/>
            <w:vMerge/>
            <w:tcBorders>
              <w:top w:val="nil"/>
              <w:left w:val="nil"/>
              <w:bottom w:val="nil"/>
              <w:right w:val="nil"/>
            </w:tcBorders>
            <w:vAlign w:val="center"/>
            <w:hideMark/>
          </w:tcPr>
          <w:p w14:paraId="1EF5FC35" w14:textId="77777777" w:rsidR="000174DD" w:rsidRPr="000174DD" w:rsidRDefault="000174DD" w:rsidP="000174DD">
            <w:pPr>
              <w:widowControl/>
              <w:rPr>
                <w:rFonts w:ascii="Times New Roman" w:eastAsia="Times New Roman" w:hAnsi="Times New Roman" w:cs="Times New Roman"/>
                <w:b/>
                <w:bCs/>
                <w:color w:val="000000"/>
                <w:lang w:eastAsia="es-HN"/>
              </w:rPr>
            </w:pPr>
          </w:p>
        </w:tc>
        <w:tc>
          <w:tcPr>
            <w:tcW w:w="343" w:type="dxa"/>
            <w:tcBorders>
              <w:top w:val="nil"/>
              <w:left w:val="nil"/>
              <w:bottom w:val="nil"/>
              <w:right w:val="nil"/>
            </w:tcBorders>
            <w:shd w:val="clear" w:color="auto" w:fill="auto"/>
            <w:noWrap/>
            <w:vAlign w:val="bottom"/>
            <w:hideMark/>
          </w:tcPr>
          <w:p w14:paraId="5DD933F3" w14:textId="77777777" w:rsidR="000174DD" w:rsidRPr="000174DD" w:rsidRDefault="000174DD" w:rsidP="000174DD">
            <w:pPr>
              <w:widowControl/>
              <w:rPr>
                <w:rFonts w:ascii="Times New Roman" w:eastAsia="Times New Roman" w:hAnsi="Times New Roman" w:cs="Times New Roman"/>
                <w:color w:val="000000"/>
                <w:lang w:eastAsia="es-HN"/>
              </w:rPr>
            </w:pPr>
          </w:p>
        </w:tc>
        <w:tc>
          <w:tcPr>
            <w:tcW w:w="1425" w:type="dxa"/>
            <w:tcBorders>
              <w:top w:val="nil"/>
              <w:left w:val="nil"/>
              <w:bottom w:val="nil"/>
              <w:right w:val="nil"/>
            </w:tcBorders>
            <w:shd w:val="clear" w:color="auto" w:fill="auto"/>
            <w:noWrap/>
            <w:vAlign w:val="bottom"/>
            <w:hideMark/>
          </w:tcPr>
          <w:p w14:paraId="70AAE20B" w14:textId="77777777" w:rsidR="000174DD" w:rsidRPr="000174DD" w:rsidRDefault="000174DD" w:rsidP="000174DD">
            <w:pPr>
              <w:widowControl/>
              <w:rPr>
                <w:rFonts w:ascii="Times New Roman" w:eastAsia="Times New Roman" w:hAnsi="Times New Roman" w:cs="Times New Roman"/>
                <w:color w:val="000000"/>
                <w:lang w:eastAsia="es-HN"/>
              </w:rPr>
            </w:pPr>
            <w:r w:rsidRPr="000174DD">
              <w:rPr>
                <w:rFonts w:ascii="Times New Roman" w:eastAsia="Times New Roman" w:hAnsi="Times New Roman" w:cs="Times New Roman"/>
                <w:color w:val="000000"/>
                <w:lang w:eastAsia="es-HN"/>
              </w:rPr>
              <w:t xml:space="preserve">        132,704,015 </w:t>
            </w:r>
          </w:p>
        </w:tc>
        <w:tc>
          <w:tcPr>
            <w:tcW w:w="1425" w:type="dxa"/>
            <w:tcBorders>
              <w:top w:val="nil"/>
              <w:left w:val="nil"/>
              <w:bottom w:val="nil"/>
              <w:right w:val="nil"/>
            </w:tcBorders>
            <w:shd w:val="clear" w:color="auto" w:fill="auto"/>
            <w:noWrap/>
            <w:vAlign w:val="bottom"/>
            <w:hideMark/>
          </w:tcPr>
          <w:p w14:paraId="66AEA7FF" w14:textId="77777777" w:rsidR="000174DD" w:rsidRPr="000174DD" w:rsidRDefault="000174DD" w:rsidP="000174DD">
            <w:pPr>
              <w:widowControl/>
              <w:rPr>
                <w:rFonts w:ascii="Times New Roman" w:eastAsia="Times New Roman" w:hAnsi="Times New Roman" w:cs="Times New Roman"/>
                <w:color w:val="000000"/>
                <w:lang w:eastAsia="es-HN"/>
              </w:rPr>
            </w:pPr>
            <w:r w:rsidRPr="000174DD">
              <w:rPr>
                <w:rFonts w:ascii="Times New Roman" w:eastAsia="Times New Roman" w:hAnsi="Times New Roman" w:cs="Times New Roman"/>
                <w:color w:val="000000"/>
                <w:lang w:eastAsia="es-HN"/>
              </w:rPr>
              <w:t xml:space="preserve">          63,803,739 </w:t>
            </w:r>
          </w:p>
        </w:tc>
        <w:tc>
          <w:tcPr>
            <w:tcW w:w="1425" w:type="dxa"/>
            <w:tcBorders>
              <w:top w:val="nil"/>
              <w:left w:val="nil"/>
              <w:bottom w:val="nil"/>
              <w:right w:val="nil"/>
            </w:tcBorders>
            <w:shd w:val="clear" w:color="auto" w:fill="auto"/>
            <w:noWrap/>
            <w:vAlign w:val="bottom"/>
            <w:hideMark/>
          </w:tcPr>
          <w:p w14:paraId="556FBFF8" w14:textId="77777777" w:rsidR="000174DD" w:rsidRPr="000174DD" w:rsidRDefault="000174DD" w:rsidP="000174DD">
            <w:pPr>
              <w:widowControl/>
              <w:rPr>
                <w:rFonts w:ascii="Times New Roman" w:eastAsia="Times New Roman" w:hAnsi="Times New Roman" w:cs="Times New Roman"/>
                <w:color w:val="000000"/>
                <w:lang w:eastAsia="es-HN"/>
              </w:rPr>
            </w:pPr>
            <w:r w:rsidRPr="000174DD">
              <w:rPr>
                <w:rFonts w:ascii="Times New Roman" w:eastAsia="Times New Roman" w:hAnsi="Times New Roman" w:cs="Times New Roman"/>
                <w:color w:val="000000"/>
                <w:lang w:eastAsia="es-HN"/>
              </w:rPr>
              <w:t xml:space="preserve">          31,525,216 </w:t>
            </w:r>
          </w:p>
        </w:tc>
        <w:tc>
          <w:tcPr>
            <w:tcW w:w="1425" w:type="dxa"/>
            <w:tcBorders>
              <w:top w:val="nil"/>
              <w:left w:val="nil"/>
              <w:bottom w:val="nil"/>
              <w:right w:val="nil"/>
            </w:tcBorders>
            <w:shd w:val="clear" w:color="auto" w:fill="auto"/>
            <w:noWrap/>
            <w:vAlign w:val="bottom"/>
            <w:hideMark/>
          </w:tcPr>
          <w:p w14:paraId="3B24813C" w14:textId="77777777" w:rsidR="000174DD" w:rsidRPr="000174DD" w:rsidRDefault="000174DD" w:rsidP="000174DD">
            <w:pPr>
              <w:widowControl/>
              <w:rPr>
                <w:rFonts w:ascii="Times New Roman" w:eastAsia="Times New Roman" w:hAnsi="Times New Roman" w:cs="Times New Roman"/>
                <w:color w:val="000000"/>
                <w:lang w:eastAsia="es-HN"/>
              </w:rPr>
            </w:pPr>
            <w:r w:rsidRPr="000174DD">
              <w:rPr>
                <w:rFonts w:ascii="Times New Roman" w:eastAsia="Times New Roman" w:hAnsi="Times New Roman" w:cs="Times New Roman"/>
                <w:color w:val="000000"/>
                <w:lang w:eastAsia="es-HN"/>
              </w:rPr>
              <w:t xml:space="preserve">          71,241,105 </w:t>
            </w:r>
          </w:p>
        </w:tc>
        <w:tc>
          <w:tcPr>
            <w:tcW w:w="1425" w:type="dxa"/>
            <w:tcBorders>
              <w:top w:val="nil"/>
              <w:left w:val="nil"/>
              <w:bottom w:val="nil"/>
              <w:right w:val="nil"/>
            </w:tcBorders>
            <w:shd w:val="clear" w:color="auto" w:fill="auto"/>
            <w:noWrap/>
            <w:vAlign w:val="bottom"/>
            <w:hideMark/>
          </w:tcPr>
          <w:p w14:paraId="027EA31B" w14:textId="77777777" w:rsidR="000174DD" w:rsidRPr="000174DD" w:rsidRDefault="000174DD" w:rsidP="000174DD">
            <w:pPr>
              <w:widowControl/>
              <w:rPr>
                <w:rFonts w:ascii="Times New Roman" w:eastAsia="Times New Roman" w:hAnsi="Times New Roman" w:cs="Times New Roman"/>
                <w:color w:val="000000"/>
                <w:lang w:eastAsia="es-HN"/>
              </w:rPr>
            </w:pPr>
            <w:r w:rsidRPr="000174DD">
              <w:rPr>
                <w:rFonts w:ascii="Times New Roman" w:eastAsia="Times New Roman" w:hAnsi="Times New Roman" w:cs="Times New Roman"/>
                <w:color w:val="000000"/>
                <w:lang w:eastAsia="es-HN"/>
              </w:rPr>
              <w:t xml:space="preserve">          62,471,814 </w:t>
            </w:r>
          </w:p>
        </w:tc>
      </w:tr>
      <w:tr w:rsidR="000174DD" w:rsidRPr="000174DD" w14:paraId="3327652F" w14:textId="77777777" w:rsidTr="000174DD">
        <w:trPr>
          <w:trHeight w:val="201"/>
        </w:trPr>
        <w:tc>
          <w:tcPr>
            <w:tcW w:w="2008" w:type="dxa"/>
            <w:tcBorders>
              <w:top w:val="nil"/>
              <w:left w:val="nil"/>
              <w:bottom w:val="nil"/>
              <w:right w:val="nil"/>
            </w:tcBorders>
            <w:shd w:val="clear" w:color="auto" w:fill="auto"/>
            <w:vAlign w:val="bottom"/>
            <w:hideMark/>
          </w:tcPr>
          <w:p w14:paraId="7EECED70" w14:textId="77777777" w:rsidR="000174DD" w:rsidRPr="000174DD" w:rsidRDefault="000174DD" w:rsidP="000174DD">
            <w:pPr>
              <w:widowControl/>
              <w:rPr>
                <w:rFonts w:ascii="Times New Roman" w:eastAsia="Times New Roman" w:hAnsi="Times New Roman" w:cs="Times New Roman"/>
                <w:color w:val="000000"/>
                <w:lang w:eastAsia="es-HN"/>
              </w:rPr>
            </w:pPr>
          </w:p>
        </w:tc>
        <w:tc>
          <w:tcPr>
            <w:tcW w:w="343" w:type="dxa"/>
            <w:tcBorders>
              <w:top w:val="nil"/>
              <w:left w:val="nil"/>
              <w:bottom w:val="nil"/>
              <w:right w:val="nil"/>
            </w:tcBorders>
            <w:shd w:val="clear" w:color="auto" w:fill="auto"/>
            <w:noWrap/>
            <w:vAlign w:val="bottom"/>
            <w:hideMark/>
          </w:tcPr>
          <w:p w14:paraId="625DE256" w14:textId="77777777" w:rsidR="000174DD" w:rsidRPr="000174DD" w:rsidRDefault="000174DD" w:rsidP="000174DD">
            <w:pPr>
              <w:widowControl/>
              <w:jc w:val="center"/>
              <w:rPr>
                <w:rFonts w:ascii="Times New Roman" w:eastAsia="Times New Roman" w:hAnsi="Times New Roman" w:cs="Times New Roman"/>
                <w:sz w:val="20"/>
                <w:szCs w:val="20"/>
                <w:lang w:eastAsia="es-HN"/>
              </w:rPr>
            </w:pPr>
          </w:p>
        </w:tc>
        <w:tc>
          <w:tcPr>
            <w:tcW w:w="1425" w:type="dxa"/>
            <w:tcBorders>
              <w:top w:val="nil"/>
              <w:left w:val="nil"/>
              <w:bottom w:val="nil"/>
              <w:right w:val="nil"/>
            </w:tcBorders>
            <w:shd w:val="clear" w:color="000000" w:fill="CAEDFB"/>
            <w:noWrap/>
            <w:vAlign w:val="bottom"/>
            <w:hideMark/>
          </w:tcPr>
          <w:p w14:paraId="46C0F8CD" w14:textId="3E557B87" w:rsidR="000174DD" w:rsidRPr="000174DD" w:rsidRDefault="000174DD" w:rsidP="00957314">
            <w:pPr>
              <w:widowControl/>
              <w:jc w:val="center"/>
              <w:rPr>
                <w:rFonts w:ascii="Times New Roman" w:eastAsia="Times New Roman" w:hAnsi="Times New Roman" w:cs="Times New Roman"/>
                <w:b/>
                <w:bCs/>
                <w:color w:val="000000"/>
                <w:lang w:eastAsia="es-HN"/>
              </w:rPr>
            </w:pPr>
            <w:r w:rsidRPr="000174DD">
              <w:rPr>
                <w:rFonts w:ascii="Times New Roman" w:eastAsia="Times New Roman" w:hAnsi="Times New Roman" w:cs="Times New Roman"/>
                <w:b/>
                <w:bCs/>
                <w:color w:val="000000"/>
                <w:lang w:eastAsia="es-HN"/>
              </w:rPr>
              <w:t>1.8</w:t>
            </w:r>
          </w:p>
        </w:tc>
        <w:tc>
          <w:tcPr>
            <w:tcW w:w="1425" w:type="dxa"/>
            <w:tcBorders>
              <w:top w:val="nil"/>
              <w:left w:val="nil"/>
              <w:bottom w:val="nil"/>
              <w:right w:val="nil"/>
            </w:tcBorders>
            <w:shd w:val="clear" w:color="000000" w:fill="CAEDFB"/>
            <w:noWrap/>
            <w:vAlign w:val="bottom"/>
            <w:hideMark/>
          </w:tcPr>
          <w:p w14:paraId="7415981A" w14:textId="3308D067" w:rsidR="000174DD" w:rsidRPr="000174DD" w:rsidRDefault="000174DD" w:rsidP="00957314">
            <w:pPr>
              <w:widowControl/>
              <w:jc w:val="center"/>
              <w:rPr>
                <w:rFonts w:ascii="Times New Roman" w:eastAsia="Times New Roman" w:hAnsi="Times New Roman" w:cs="Times New Roman"/>
                <w:b/>
                <w:bCs/>
                <w:color w:val="000000"/>
                <w:lang w:eastAsia="es-HN"/>
              </w:rPr>
            </w:pPr>
            <w:r w:rsidRPr="000174DD">
              <w:rPr>
                <w:rFonts w:ascii="Times New Roman" w:eastAsia="Times New Roman" w:hAnsi="Times New Roman" w:cs="Times New Roman"/>
                <w:b/>
                <w:bCs/>
                <w:color w:val="000000"/>
                <w:lang w:eastAsia="es-HN"/>
              </w:rPr>
              <w:t>4.8</w:t>
            </w:r>
          </w:p>
        </w:tc>
        <w:tc>
          <w:tcPr>
            <w:tcW w:w="1425" w:type="dxa"/>
            <w:tcBorders>
              <w:top w:val="nil"/>
              <w:left w:val="nil"/>
              <w:bottom w:val="nil"/>
              <w:right w:val="nil"/>
            </w:tcBorders>
            <w:shd w:val="clear" w:color="000000" w:fill="CAEDFB"/>
            <w:noWrap/>
            <w:vAlign w:val="bottom"/>
            <w:hideMark/>
          </w:tcPr>
          <w:p w14:paraId="7B791028" w14:textId="6744B1F6" w:rsidR="000174DD" w:rsidRPr="000174DD" w:rsidRDefault="000174DD" w:rsidP="00957314">
            <w:pPr>
              <w:widowControl/>
              <w:jc w:val="center"/>
              <w:rPr>
                <w:rFonts w:ascii="Times New Roman" w:eastAsia="Times New Roman" w:hAnsi="Times New Roman" w:cs="Times New Roman"/>
                <w:b/>
                <w:bCs/>
                <w:color w:val="000000"/>
                <w:lang w:eastAsia="es-HN"/>
              </w:rPr>
            </w:pPr>
            <w:r w:rsidRPr="000174DD">
              <w:rPr>
                <w:rFonts w:ascii="Times New Roman" w:eastAsia="Times New Roman" w:hAnsi="Times New Roman" w:cs="Times New Roman"/>
                <w:b/>
                <w:bCs/>
                <w:color w:val="000000"/>
                <w:lang w:eastAsia="es-HN"/>
              </w:rPr>
              <w:t>8.7</w:t>
            </w:r>
          </w:p>
        </w:tc>
        <w:tc>
          <w:tcPr>
            <w:tcW w:w="1425" w:type="dxa"/>
            <w:tcBorders>
              <w:top w:val="nil"/>
              <w:left w:val="nil"/>
              <w:bottom w:val="nil"/>
              <w:right w:val="nil"/>
            </w:tcBorders>
            <w:shd w:val="clear" w:color="000000" w:fill="CAEDFB"/>
            <w:noWrap/>
            <w:vAlign w:val="bottom"/>
            <w:hideMark/>
          </w:tcPr>
          <w:p w14:paraId="6E6DD254" w14:textId="3BA48BFD" w:rsidR="000174DD" w:rsidRPr="000174DD" w:rsidRDefault="000174DD" w:rsidP="00957314">
            <w:pPr>
              <w:widowControl/>
              <w:jc w:val="center"/>
              <w:rPr>
                <w:rFonts w:ascii="Times New Roman" w:eastAsia="Times New Roman" w:hAnsi="Times New Roman" w:cs="Times New Roman"/>
                <w:b/>
                <w:bCs/>
                <w:color w:val="000000"/>
                <w:lang w:eastAsia="es-HN"/>
              </w:rPr>
            </w:pPr>
            <w:r w:rsidRPr="000174DD">
              <w:rPr>
                <w:rFonts w:ascii="Times New Roman" w:eastAsia="Times New Roman" w:hAnsi="Times New Roman" w:cs="Times New Roman"/>
                <w:b/>
                <w:bCs/>
                <w:color w:val="000000"/>
                <w:lang w:eastAsia="es-HN"/>
              </w:rPr>
              <w:t>2.7</w:t>
            </w:r>
          </w:p>
        </w:tc>
        <w:tc>
          <w:tcPr>
            <w:tcW w:w="1425" w:type="dxa"/>
            <w:tcBorders>
              <w:top w:val="nil"/>
              <w:left w:val="nil"/>
              <w:bottom w:val="nil"/>
              <w:right w:val="nil"/>
            </w:tcBorders>
            <w:shd w:val="clear" w:color="000000" w:fill="CAEDFB"/>
            <w:noWrap/>
            <w:vAlign w:val="bottom"/>
            <w:hideMark/>
          </w:tcPr>
          <w:p w14:paraId="062ACDD7" w14:textId="0B39BBF5" w:rsidR="000174DD" w:rsidRPr="000174DD" w:rsidRDefault="000174DD" w:rsidP="00957314">
            <w:pPr>
              <w:widowControl/>
              <w:jc w:val="center"/>
              <w:rPr>
                <w:rFonts w:ascii="Times New Roman" w:eastAsia="Times New Roman" w:hAnsi="Times New Roman" w:cs="Times New Roman"/>
                <w:b/>
                <w:bCs/>
                <w:color w:val="000000"/>
                <w:lang w:eastAsia="es-HN"/>
              </w:rPr>
            </w:pPr>
            <w:r w:rsidRPr="000174DD">
              <w:rPr>
                <w:rFonts w:ascii="Times New Roman" w:eastAsia="Times New Roman" w:hAnsi="Times New Roman" w:cs="Times New Roman"/>
                <w:b/>
                <w:bCs/>
                <w:color w:val="000000"/>
                <w:lang w:eastAsia="es-HN"/>
              </w:rPr>
              <w:t>3.4</w:t>
            </w:r>
          </w:p>
        </w:tc>
      </w:tr>
    </w:tbl>
    <w:p w14:paraId="5BAE260B" w14:textId="004149F4" w:rsidR="000A3A8B" w:rsidRPr="008953AC" w:rsidRDefault="000A3A8B" w:rsidP="003E2058">
      <w:pPr>
        <w:spacing w:before="240" w:after="240" w:line="360" w:lineRule="auto"/>
        <w:ind w:firstLine="720"/>
        <w:jc w:val="both"/>
        <w:rPr>
          <w:rFonts w:ascii="Times New Roman" w:hAnsi="Times New Roman" w:cs="Times New Roman"/>
          <w:noProof/>
          <w:sz w:val="24"/>
          <w:szCs w:val="24"/>
        </w:rPr>
      </w:pPr>
      <w:r w:rsidRPr="008953AC">
        <w:rPr>
          <w:rFonts w:ascii="Times New Roman" w:hAnsi="Times New Roman" w:cs="Times New Roman"/>
          <w:sz w:val="24"/>
          <w:szCs w:val="24"/>
        </w:rPr>
        <w:t xml:space="preserve">Fuente: Elaboración propia con datos de microfinanciera </w:t>
      </w:r>
      <w:r w:rsidR="00E5074B" w:rsidRPr="008953AC">
        <w:rPr>
          <w:rFonts w:ascii="Times New Roman" w:hAnsi="Times New Roman" w:cs="Times New Roman"/>
          <w:sz w:val="24"/>
          <w:szCs w:val="24"/>
        </w:rPr>
        <w:t>“XYZ”</w:t>
      </w:r>
      <w:r w:rsidRPr="008953AC">
        <w:rPr>
          <w:rFonts w:ascii="Times New Roman" w:hAnsi="Times New Roman" w:cs="Times New Roman"/>
          <w:noProof/>
          <w:sz w:val="24"/>
          <w:szCs w:val="24"/>
        </w:rPr>
        <w:t>.</w:t>
      </w:r>
    </w:p>
    <w:p w14:paraId="14CB9A6A" w14:textId="77777777" w:rsidR="00071E34" w:rsidRDefault="00071E34" w:rsidP="00071E34">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Los resultados obtenidos como</w:t>
      </w:r>
      <w:r w:rsidRPr="00071E34">
        <w:rPr>
          <w:rFonts w:ascii="Times New Roman" w:hAnsi="Times New Roman" w:cs="Times New Roman"/>
          <w:sz w:val="24"/>
          <w:szCs w:val="24"/>
        </w:rPr>
        <w:t xml:space="preserve"> ratios de endeudamiento a largo plazo muestra</w:t>
      </w:r>
      <w:r>
        <w:rPr>
          <w:rFonts w:ascii="Times New Roman" w:hAnsi="Times New Roman" w:cs="Times New Roman"/>
          <w:sz w:val="24"/>
          <w:szCs w:val="24"/>
        </w:rPr>
        <w:t>n</w:t>
      </w:r>
      <w:r w:rsidRPr="00071E34">
        <w:rPr>
          <w:rFonts w:ascii="Times New Roman" w:hAnsi="Times New Roman" w:cs="Times New Roman"/>
          <w:sz w:val="24"/>
          <w:szCs w:val="24"/>
        </w:rPr>
        <w:t xml:space="preserve"> que la empresa ha experimentado fluctuaciones significativas en su estructura de financiamiento a lo largo de los años. Mientras que algunos años muestran niveles altos de apalancamiento, otros indican mejoras en la gestión de la deuda.</w:t>
      </w:r>
    </w:p>
    <w:p w14:paraId="415F90C2" w14:textId="77777777" w:rsidR="00071E34" w:rsidRDefault="00071E34" w:rsidP="00071E34">
      <w:pPr>
        <w:spacing w:line="360" w:lineRule="auto"/>
        <w:ind w:firstLine="720"/>
        <w:jc w:val="both"/>
        <w:rPr>
          <w:rFonts w:ascii="Times New Roman" w:hAnsi="Times New Roman" w:cs="Times New Roman"/>
          <w:sz w:val="24"/>
          <w:szCs w:val="24"/>
        </w:rPr>
      </w:pPr>
    </w:p>
    <w:p w14:paraId="0132BDF1" w14:textId="77777777" w:rsidR="00071E34" w:rsidRDefault="00071E34" w:rsidP="00071E34">
      <w:pPr>
        <w:spacing w:line="360" w:lineRule="auto"/>
        <w:ind w:firstLine="720"/>
        <w:jc w:val="both"/>
        <w:rPr>
          <w:rFonts w:ascii="Times New Roman" w:hAnsi="Times New Roman" w:cs="Times New Roman"/>
          <w:sz w:val="24"/>
          <w:szCs w:val="24"/>
        </w:rPr>
      </w:pPr>
    </w:p>
    <w:p w14:paraId="23DBD3F8" w14:textId="77777777" w:rsidR="00071E34" w:rsidRDefault="00071E34" w:rsidP="00071E34">
      <w:pPr>
        <w:spacing w:line="360" w:lineRule="auto"/>
        <w:ind w:firstLine="720"/>
        <w:jc w:val="both"/>
        <w:rPr>
          <w:rFonts w:ascii="Times New Roman" w:hAnsi="Times New Roman" w:cs="Times New Roman"/>
          <w:sz w:val="24"/>
          <w:szCs w:val="24"/>
        </w:rPr>
      </w:pPr>
    </w:p>
    <w:p w14:paraId="4C030442" w14:textId="77777777" w:rsidR="00071E34" w:rsidRDefault="00071E34" w:rsidP="00071E34">
      <w:pPr>
        <w:spacing w:line="360" w:lineRule="auto"/>
        <w:ind w:firstLine="720"/>
        <w:jc w:val="both"/>
        <w:rPr>
          <w:rFonts w:ascii="Times New Roman" w:hAnsi="Times New Roman" w:cs="Times New Roman"/>
          <w:sz w:val="24"/>
          <w:szCs w:val="24"/>
        </w:rPr>
      </w:pPr>
    </w:p>
    <w:p w14:paraId="3786E852" w14:textId="77777777" w:rsidR="00071E34" w:rsidRDefault="00071E34" w:rsidP="00071E34">
      <w:pPr>
        <w:spacing w:line="360" w:lineRule="auto"/>
        <w:ind w:firstLine="720"/>
        <w:jc w:val="both"/>
        <w:rPr>
          <w:rFonts w:ascii="Times New Roman" w:hAnsi="Times New Roman" w:cs="Times New Roman"/>
          <w:sz w:val="24"/>
          <w:szCs w:val="24"/>
        </w:rPr>
      </w:pPr>
    </w:p>
    <w:p w14:paraId="795389A8" w14:textId="77777777" w:rsidR="00071E34" w:rsidRDefault="00071E34" w:rsidP="00071E34">
      <w:pPr>
        <w:spacing w:line="360" w:lineRule="auto"/>
        <w:ind w:firstLine="720"/>
        <w:jc w:val="both"/>
        <w:rPr>
          <w:rFonts w:ascii="Times New Roman" w:hAnsi="Times New Roman" w:cs="Times New Roman"/>
          <w:sz w:val="24"/>
          <w:szCs w:val="24"/>
        </w:rPr>
      </w:pPr>
    </w:p>
    <w:p w14:paraId="1FA58E05" w14:textId="77777777" w:rsidR="00071E34" w:rsidRDefault="00071E34" w:rsidP="003E2058">
      <w:pPr>
        <w:spacing w:line="360" w:lineRule="auto"/>
        <w:jc w:val="both"/>
        <w:rPr>
          <w:rFonts w:ascii="Times New Roman" w:hAnsi="Times New Roman" w:cs="Times New Roman"/>
          <w:sz w:val="24"/>
          <w:szCs w:val="24"/>
        </w:rPr>
      </w:pPr>
    </w:p>
    <w:p w14:paraId="0D6C00C2" w14:textId="435F940B" w:rsidR="000174DD" w:rsidRDefault="0010645D" w:rsidP="00071E34">
      <w:pPr>
        <w:spacing w:line="360" w:lineRule="auto"/>
        <w:ind w:firstLine="720"/>
        <w:jc w:val="center"/>
        <w:rPr>
          <w:rFonts w:ascii="Times New Roman" w:hAnsi="Times New Roman" w:cs="Times New Roman"/>
          <w:sz w:val="24"/>
          <w:szCs w:val="24"/>
        </w:rPr>
      </w:pPr>
      <w:r>
        <w:rPr>
          <w:noProof/>
        </w:rPr>
        <w:drawing>
          <wp:inline distT="0" distB="0" distL="0" distR="0" wp14:anchorId="7D652A56" wp14:editId="7F5072C2">
            <wp:extent cx="4434840" cy="2971800"/>
            <wp:effectExtent l="0" t="0" r="3810" b="0"/>
            <wp:docPr id="1217753714" name="Gráfico 1">
              <a:extLst xmlns:a="http://schemas.openxmlformats.org/drawingml/2006/main">
                <a:ext uri="{FF2B5EF4-FFF2-40B4-BE49-F238E27FC236}">
                  <a16:creationId xmlns:a16="http://schemas.microsoft.com/office/drawing/2014/main" id="{8828AE06-0755-AC52-6209-8E6178B8B5A7}"/>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14:paraId="64B31A52" w14:textId="77777777" w:rsidR="00DF41E4" w:rsidRDefault="000A3A8B" w:rsidP="008953AC">
      <w:pPr>
        <w:spacing w:line="360" w:lineRule="auto"/>
        <w:ind w:firstLine="720"/>
        <w:jc w:val="both"/>
        <w:rPr>
          <w:rFonts w:ascii="Times New Roman" w:hAnsi="Times New Roman" w:cs="Times New Roman"/>
          <w:sz w:val="24"/>
          <w:szCs w:val="24"/>
          <w:lang w:val="es-ES"/>
        </w:rPr>
      </w:pPr>
      <w:r w:rsidRPr="008953AC">
        <w:rPr>
          <w:rFonts w:ascii="Times New Roman" w:hAnsi="Times New Roman" w:cs="Times New Roman"/>
          <w:sz w:val="24"/>
          <w:szCs w:val="24"/>
          <w:lang w:val="es-ES"/>
        </w:rPr>
        <w:t>Figura 11. Ratio de Endeudamiento.</w:t>
      </w:r>
    </w:p>
    <w:p w14:paraId="6AEBA3CF" w14:textId="3AC95828" w:rsidR="000A3A8B" w:rsidRPr="008953AC" w:rsidRDefault="00DF41E4" w:rsidP="008953AC">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lang w:val="es-ES"/>
        </w:rPr>
        <w:t xml:space="preserve">Fuente: </w:t>
      </w:r>
      <w:r w:rsidR="000A3A8B" w:rsidRPr="008953AC">
        <w:rPr>
          <w:rFonts w:ascii="Times New Roman" w:hAnsi="Times New Roman" w:cs="Times New Roman"/>
          <w:sz w:val="24"/>
          <w:szCs w:val="24"/>
        </w:rPr>
        <w:t xml:space="preserve">Elaboración propia con datos de microfinanciera </w:t>
      </w:r>
      <w:r w:rsidR="00E5074B" w:rsidRPr="008953AC">
        <w:rPr>
          <w:rFonts w:ascii="Times New Roman" w:hAnsi="Times New Roman" w:cs="Times New Roman"/>
          <w:sz w:val="24"/>
          <w:szCs w:val="24"/>
        </w:rPr>
        <w:t>“XYZ”</w:t>
      </w:r>
      <w:r w:rsidR="008953AC">
        <w:rPr>
          <w:rFonts w:ascii="Times New Roman" w:hAnsi="Times New Roman" w:cs="Times New Roman"/>
          <w:sz w:val="24"/>
          <w:szCs w:val="24"/>
        </w:rPr>
        <w:t>.</w:t>
      </w:r>
    </w:p>
    <w:p w14:paraId="37BB91B4" w14:textId="77777777" w:rsidR="00071E34" w:rsidRDefault="00071E34" w:rsidP="000A3A8B">
      <w:pPr>
        <w:spacing w:line="360" w:lineRule="auto"/>
        <w:jc w:val="both"/>
        <w:rPr>
          <w:rFonts w:ascii="Times New Roman" w:hAnsi="Times New Roman" w:cs="Times New Roman"/>
          <w:sz w:val="24"/>
          <w:szCs w:val="24"/>
        </w:rPr>
      </w:pPr>
    </w:p>
    <w:p w14:paraId="705A1055" w14:textId="28C0FE02" w:rsidR="000D1C99" w:rsidRDefault="000D1C99" w:rsidP="00071E34">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Los valores mostrados en la gráfica 11, i</w:t>
      </w:r>
      <w:r w:rsidRPr="000D1C99">
        <w:rPr>
          <w:rFonts w:ascii="Times New Roman" w:hAnsi="Times New Roman" w:cs="Times New Roman"/>
          <w:sz w:val="24"/>
          <w:szCs w:val="24"/>
        </w:rPr>
        <w:t>ndican un alto nivel de deuda a largo plazo en relación con el patrimonio neto de la empresa, lo que podría implicar una mayor carga financiera y riesgo</w:t>
      </w:r>
      <w:r>
        <w:rPr>
          <w:rFonts w:ascii="Times New Roman" w:hAnsi="Times New Roman" w:cs="Times New Roman"/>
          <w:sz w:val="24"/>
          <w:szCs w:val="24"/>
        </w:rPr>
        <w:t xml:space="preserve">. </w:t>
      </w:r>
      <w:r w:rsidRPr="000D1C99">
        <w:rPr>
          <w:rFonts w:ascii="Times New Roman" w:hAnsi="Times New Roman" w:cs="Times New Roman"/>
          <w:sz w:val="24"/>
          <w:szCs w:val="24"/>
        </w:rPr>
        <w:t>E</w:t>
      </w:r>
      <w:r>
        <w:rPr>
          <w:rFonts w:ascii="Times New Roman" w:hAnsi="Times New Roman" w:cs="Times New Roman"/>
          <w:sz w:val="24"/>
          <w:szCs w:val="24"/>
        </w:rPr>
        <w:t>n el</w:t>
      </w:r>
      <w:r w:rsidRPr="000D1C99">
        <w:rPr>
          <w:rFonts w:ascii="Times New Roman" w:hAnsi="Times New Roman" w:cs="Times New Roman"/>
          <w:sz w:val="24"/>
          <w:szCs w:val="24"/>
        </w:rPr>
        <w:t xml:space="preserve"> año</w:t>
      </w:r>
      <w:r>
        <w:rPr>
          <w:rFonts w:ascii="Times New Roman" w:hAnsi="Times New Roman" w:cs="Times New Roman"/>
          <w:sz w:val="24"/>
          <w:szCs w:val="24"/>
        </w:rPr>
        <w:t xml:space="preserve"> 2021se </w:t>
      </w:r>
      <w:r w:rsidRPr="000D1C99">
        <w:rPr>
          <w:rFonts w:ascii="Times New Roman" w:hAnsi="Times New Roman" w:cs="Times New Roman"/>
          <w:sz w:val="24"/>
          <w:szCs w:val="24"/>
        </w:rPr>
        <w:t xml:space="preserve">muestra el nivel más alto de endeudamiento a largo plazo, </w:t>
      </w:r>
      <w:r>
        <w:rPr>
          <w:rFonts w:ascii="Times New Roman" w:hAnsi="Times New Roman" w:cs="Times New Roman"/>
          <w:sz w:val="24"/>
          <w:szCs w:val="24"/>
        </w:rPr>
        <w:t>esto como resultado</w:t>
      </w:r>
      <w:r w:rsidRPr="000D1C99">
        <w:rPr>
          <w:rFonts w:ascii="Times New Roman" w:hAnsi="Times New Roman" w:cs="Times New Roman"/>
          <w:sz w:val="24"/>
          <w:szCs w:val="24"/>
        </w:rPr>
        <w:t xml:space="preserve"> de decisiones de financiamiento estratégicas</w:t>
      </w:r>
      <w:r>
        <w:rPr>
          <w:rFonts w:ascii="Times New Roman" w:hAnsi="Times New Roman" w:cs="Times New Roman"/>
          <w:sz w:val="24"/>
          <w:szCs w:val="24"/>
        </w:rPr>
        <w:t xml:space="preserve">, además </w:t>
      </w:r>
      <w:r w:rsidR="00D2206D">
        <w:rPr>
          <w:rFonts w:ascii="Times New Roman" w:hAnsi="Times New Roman" w:cs="Times New Roman"/>
          <w:sz w:val="24"/>
          <w:szCs w:val="24"/>
        </w:rPr>
        <w:t>de las</w:t>
      </w:r>
      <w:r w:rsidRPr="000D1C99">
        <w:rPr>
          <w:rFonts w:ascii="Times New Roman" w:hAnsi="Times New Roman" w:cs="Times New Roman"/>
          <w:sz w:val="24"/>
          <w:szCs w:val="24"/>
        </w:rPr>
        <w:t xml:space="preserve"> necesidades operativas</w:t>
      </w:r>
      <w:r>
        <w:rPr>
          <w:rFonts w:ascii="Times New Roman" w:hAnsi="Times New Roman" w:cs="Times New Roman"/>
          <w:sz w:val="24"/>
          <w:szCs w:val="24"/>
        </w:rPr>
        <w:t xml:space="preserve"> que enfrento la IMF en ese momento</w:t>
      </w:r>
      <w:r w:rsidRPr="000D1C99">
        <w:rPr>
          <w:rFonts w:ascii="Times New Roman" w:hAnsi="Times New Roman" w:cs="Times New Roman"/>
          <w:sz w:val="24"/>
          <w:szCs w:val="24"/>
        </w:rPr>
        <w:t>.</w:t>
      </w:r>
      <w:r>
        <w:rPr>
          <w:rFonts w:ascii="Times New Roman" w:hAnsi="Times New Roman" w:cs="Times New Roman"/>
          <w:sz w:val="24"/>
          <w:szCs w:val="24"/>
        </w:rPr>
        <w:t xml:space="preserve"> </w:t>
      </w:r>
      <w:r w:rsidRPr="000D1C99">
        <w:rPr>
          <w:rFonts w:ascii="Times New Roman" w:hAnsi="Times New Roman" w:cs="Times New Roman"/>
          <w:sz w:val="24"/>
          <w:szCs w:val="24"/>
        </w:rPr>
        <w:t xml:space="preserve">La disminución notable </w:t>
      </w:r>
      <w:r>
        <w:rPr>
          <w:rFonts w:ascii="Times New Roman" w:hAnsi="Times New Roman" w:cs="Times New Roman"/>
          <w:sz w:val="24"/>
          <w:szCs w:val="24"/>
        </w:rPr>
        <w:t xml:space="preserve">de </w:t>
      </w:r>
      <w:proofErr w:type="gramStart"/>
      <w:r>
        <w:rPr>
          <w:rFonts w:ascii="Times New Roman" w:hAnsi="Times New Roman" w:cs="Times New Roman"/>
          <w:sz w:val="24"/>
          <w:szCs w:val="24"/>
        </w:rPr>
        <w:t>este ratio</w:t>
      </w:r>
      <w:proofErr w:type="gramEnd"/>
      <w:r>
        <w:rPr>
          <w:rFonts w:ascii="Times New Roman" w:hAnsi="Times New Roman" w:cs="Times New Roman"/>
          <w:sz w:val="24"/>
          <w:szCs w:val="24"/>
        </w:rPr>
        <w:t xml:space="preserve"> </w:t>
      </w:r>
      <w:r w:rsidRPr="000D1C99">
        <w:rPr>
          <w:rFonts w:ascii="Times New Roman" w:hAnsi="Times New Roman" w:cs="Times New Roman"/>
          <w:sz w:val="24"/>
          <w:szCs w:val="24"/>
        </w:rPr>
        <w:t>en 2023 sugiere que la empresa ha realizado esfuerzos para reducir su carga de deuda a largo plazo, lo cual es una señal positiva.</w:t>
      </w:r>
    </w:p>
    <w:p w14:paraId="18840B87" w14:textId="77777777" w:rsidR="00F425B8" w:rsidRDefault="00F425B8" w:rsidP="00195CA2">
      <w:pPr>
        <w:pStyle w:val="Ttulo5"/>
        <w:spacing w:line="360" w:lineRule="auto"/>
        <w:ind w:firstLine="1440"/>
        <w:rPr>
          <w:rFonts w:ascii="Times New Roman" w:hAnsi="Times New Roman" w:cs="Times New Roman"/>
          <w:b/>
          <w:bCs/>
          <w:color w:val="000000" w:themeColor="text1"/>
          <w:sz w:val="24"/>
          <w:szCs w:val="24"/>
        </w:rPr>
      </w:pPr>
    </w:p>
    <w:p w14:paraId="044E76E9" w14:textId="4F80BA9D" w:rsidR="00B77490" w:rsidRPr="00B77490" w:rsidRDefault="00B77490" w:rsidP="00195CA2">
      <w:pPr>
        <w:pStyle w:val="Ttulo5"/>
        <w:spacing w:line="360" w:lineRule="auto"/>
        <w:ind w:firstLine="1440"/>
        <w:rPr>
          <w:rFonts w:ascii="Times New Roman" w:hAnsi="Times New Roman" w:cs="Times New Roman"/>
          <w:b/>
          <w:bCs/>
        </w:rPr>
      </w:pPr>
      <w:bookmarkStart w:id="296" w:name="_Toc175171441"/>
      <w:r w:rsidRPr="00B77490">
        <w:rPr>
          <w:rFonts w:ascii="Times New Roman" w:hAnsi="Times New Roman" w:cs="Times New Roman"/>
          <w:b/>
          <w:bCs/>
          <w:color w:val="000000" w:themeColor="text1"/>
          <w:sz w:val="24"/>
          <w:szCs w:val="24"/>
        </w:rPr>
        <w:t>4.2.3.1.3. RATIO DE SOLVENCIA</w:t>
      </w:r>
      <w:bookmarkEnd w:id="296"/>
    </w:p>
    <w:p w14:paraId="51347A9F" w14:textId="77777777" w:rsidR="00B77490" w:rsidRDefault="00B77490" w:rsidP="006C0B8D">
      <w:pPr>
        <w:spacing w:line="360" w:lineRule="auto"/>
        <w:ind w:firstLine="720"/>
        <w:jc w:val="both"/>
        <w:rPr>
          <w:rFonts w:ascii="Times New Roman" w:hAnsi="Times New Roman" w:cs="Times New Roman"/>
          <w:sz w:val="24"/>
          <w:szCs w:val="24"/>
        </w:rPr>
      </w:pPr>
      <w:r w:rsidRPr="00B77490">
        <w:rPr>
          <w:rFonts w:ascii="Times New Roman" w:hAnsi="Times New Roman" w:cs="Times New Roman"/>
          <w:sz w:val="24"/>
          <w:szCs w:val="24"/>
        </w:rPr>
        <w:t>Este indicador financiero proporciona información sobre la capacidad que tiene la empresa para cubrir con sus obligaciones financieras a largo plazo, es decir, que evalúa la capacidad de la empresa para mantenerse solvente y continuar operando a largo plazo, incluso en situaciones económicas adversas.</w:t>
      </w:r>
    </w:p>
    <w:p w14:paraId="0194B7EA" w14:textId="77777777" w:rsidR="00A90B85" w:rsidRPr="00A90B85" w:rsidRDefault="00A90B85" w:rsidP="006C0B8D">
      <w:pPr>
        <w:spacing w:line="360" w:lineRule="auto"/>
        <w:ind w:firstLine="720"/>
        <w:jc w:val="both"/>
        <w:rPr>
          <w:rFonts w:ascii="Times New Roman" w:hAnsi="Times New Roman" w:cs="Times New Roman"/>
          <w:sz w:val="24"/>
          <w:szCs w:val="24"/>
        </w:rPr>
      </w:pPr>
      <w:r w:rsidRPr="00A90B85">
        <w:rPr>
          <w:rFonts w:ascii="Times New Roman" w:hAnsi="Times New Roman" w:cs="Times New Roman"/>
          <w:sz w:val="24"/>
          <w:szCs w:val="24"/>
        </w:rPr>
        <w:t>Para calcular este indicador, se utilizó la siguiente formula:</w:t>
      </w:r>
    </w:p>
    <w:p w14:paraId="648B5F4C" w14:textId="416044B1" w:rsidR="00A90B85" w:rsidRPr="00BA4F50" w:rsidRDefault="00A90B85" w:rsidP="006C0B8D">
      <w:pPr>
        <w:spacing w:line="360" w:lineRule="auto"/>
        <w:ind w:firstLine="720"/>
        <w:jc w:val="both"/>
        <w:rPr>
          <w:rFonts w:ascii="Times New Roman" w:hAnsi="Times New Roman" w:cs="Times New Roman"/>
          <w:b/>
          <w:bCs/>
          <w:i/>
          <w:iCs/>
          <w:sz w:val="24"/>
          <w:szCs w:val="24"/>
        </w:rPr>
      </w:pPr>
      <w:r w:rsidRPr="00BA4F50">
        <w:rPr>
          <w:rFonts w:ascii="Times New Roman" w:hAnsi="Times New Roman" w:cs="Times New Roman"/>
          <w:b/>
          <w:bCs/>
          <w:i/>
          <w:iCs/>
          <w:sz w:val="24"/>
          <w:szCs w:val="24"/>
        </w:rPr>
        <w:t>Ratio de Solvencia = Activos / Pasivos</w:t>
      </w:r>
    </w:p>
    <w:p w14:paraId="33A09F4A" w14:textId="77777777" w:rsidR="00272B2F" w:rsidRDefault="00272B2F" w:rsidP="00A90B85">
      <w:pPr>
        <w:spacing w:line="360" w:lineRule="auto"/>
        <w:ind w:firstLine="720"/>
        <w:jc w:val="both"/>
        <w:rPr>
          <w:rFonts w:ascii="Times New Roman" w:hAnsi="Times New Roman" w:cs="Times New Roman"/>
          <w:sz w:val="24"/>
          <w:szCs w:val="24"/>
        </w:rPr>
      </w:pPr>
    </w:p>
    <w:p w14:paraId="71F6B74B" w14:textId="16991BAF" w:rsidR="000A3A8B" w:rsidRPr="00783048" w:rsidRDefault="000A3A8B" w:rsidP="00783048">
      <w:pPr>
        <w:spacing w:line="360" w:lineRule="auto"/>
        <w:ind w:firstLine="720"/>
        <w:jc w:val="both"/>
        <w:rPr>
          <w:rFonts w:ascii="Times New Roman" w:hAnsi="Times New Roman" w:cs="Times New Roman"/>
          <w:sz w:val="24"/>
          <w:szCs w:val="24"/>
        </w:rPr>
      </w:pPr>
      <w:r w:rsidRPr="00783048">
        <w:rPr>
          <w:rFonts w:ascii="Times New Roman" w:hAnsi="Times New Roman" w:cs="Times New Roman"/>
          <w:sz w:val="24"/>
          <w:szCs w:val="24"/>
        </w:rPr>
        <w:t xml:space="preserve">Tabla 12. Ratio de Solvencia microfinanciera </w:t>
      </w:r>
      <w:r w:rsidR="00E5074B" w:rsidRPr="00783048">
        <w:rPr>
          <w:rFonts w:ascii="Times New Roman" w:hAnsi="Times New Roman" w:cs="Times New Roman"/>
          <w:sz w:val="24"/>
          <w:szCs w:val="24"/>
        </w:rPr>
        <w:t>“XYZ”</w:t>
      </w:r>
      <w:r w:rsidRPr="00783048">
        <w:rPr>
          <w:rFonts w:ascii="Times New Roman" w:hAnsi="Times New Roman" w:cs="Times New Roman"/>
          <w:sz w:val="24"/>
          <w:szCs w:val="24"/>
        </w:rPr>
        <w:t xml:space="preserve"> periodo 2019-2023</w:t>
      </w:r>
      <w:r w:rsidR="00783048">
        <w:rPr>
          <w:rFonts w:ascii="Times New Roman" w:hAnsi="Times New Roman" w:cs="Times New Roman"/>
          <w:sz w:val="24"/>
          <w:szCs w:val="24"/>
        </w:rPr>
        <w:t>.</w:t>
      </w:r>
    </w:p>
    <w:tbl>
      <w:tblPr>
        <w:tblW w:w="9803" w:type="dxa"/>
        <w:jc w:val="center"/>
        <w:tblCellMar>
          <w:left w:w="70" w:type="dxa"/>
          <w:right w:w="70" w:type="dxa"/>
        </w:tblCellMar>
        <w:tblLook w:val="04A0" w:firstRow="1" w:lastRow="0" w:firstColumn="1" w:lastColumn="0" w:noHBand="0" w:noVBand="1"/>
      </w:tblPr>
      <w:tblGrid>
        <w:gridCol w:w="2095"/>
        <w:gridCol w:w="265"/>
        <w:gridCol w:w="1489"/>
        <w:gridCol w:w="1489"/>
        <w:gridCol w:w="1489"/>
        <w:gridCol w:w="1489"/>
        <w:gridCol w:w="1489"/>
      </w:tblGrid>
      <w:tr w:rsidR="0014683D" w:rsidRPr="0014683D" w14:paraId="6DF1EA80" w14:textId="77777777" w:rsidTr="001C26FB">
        <w:trPr>
          <w:trHeight w:val="337"/>
          <w:jc w:val="center"/>
        </w:trPr>
        <w:tc>
          <w:tcPr>
            <w:tcW w:w="2095" w:type="dxa"/>
            <w:tcBorders>
              <w:top w:val="nil"/>
              <w:left w:val="nil"/>
              <w:bottom w:val="nil"/>
              <w:right w:val="nil"/>
            </w:tcBorders>
            <w:shd w:val="clear" w:color="auto" w:fill="auto"/>
            <w:noWrap/>
            <w:vAlign w:val="bottom"/>
            <w:hideMark/>
          </w:tcPr>
          <w:p w14:paraId="0F38485A" w14:textId="77777777" w:rsidR="0014683D" w:rsidRPr="0014683D" w:rsidRDefault="0014683D" w:rsidP="0014683D">
            <w:pPr>
              <w:widowControl/>
              <w:rPr>
                <w:rFonts w:ascii="Times New Roman" w:eastAsia="Times New Roman" w:hAnsi="Times New Roman" w:cs="Times New Roman"/>
                <w:sz w:val="24"/>
                <w:szCs w:val="24"/>
                <w:lang w:eastAsia="es-HN"/>
              </w:rPr>
            </w:pPr>
          </w:p>
        </w:tc>
        <w:tc>
          <w:tcPr>
            <w:tcW w:w="263" w:type="dxa"/>
            <w:tcBorders>
              <w:top w:val="nil"/>
              <w:left w:val="nil"/>
              <w:bottom w:val="nil"/>
              <w:right w:val="nil"/>
            </w:tcBorders>
            <w:shd w:val="clear" w:color="auto" w:fill="auto"/>
            <w:noWrap/>
            <w:vAlign w:val="bottom"/>
            <w:hideMark/>
          </w:tcPr>
          <w:p w14:paraId="7D3C53F9" w14:textId="77777777" w:rsidR="0014683D" w:rsidRPr="0014683D" w:rsidRDefault="0014683D" w:rsidP="0014683D">
            <w:pPr>
              <w:widowControl/>
              <w:rPr>
                <w:rFonts w:ascii="Times New Roman" w:eastAsia="Times New Roman" w:hAnsi="Times New Roman" w:cs="Times New Roman"/>
                <w:sz w:val="20"/>
                <w:szCs w:val="20"/>
                <w:lang w:eastAsia="es-HN"/>
              </w:rPr>
            </w:pPr>
          </w:p>
        </w:tc>
        <w:tc>
          <w:tcPr>
            <w:tcW w:w="1489" w:type="dxa"/>
            <w:tcBorders>
              <w:top w:val="nil"/>
              <w:left w:val="nil"/>
              <w:bottom w:val="nil"/>
              <w:right w:val="nil"/>
            </w:tcBorders>
            <w:shd w:val="clear" w:color="auto" w:fill="auto"/>
            <w:noWrap/>
            <w:vAlign w:val="bottom"/>
            <w:hideMark/>
          </w:tcPr>
          <w:p w14:paraId="0E6E68E7" w14:textId="77777777" w:rsidR="0014683D" w:rsidRPr="0014683D" w:rsidRDefault="0014683D" w:rsidP="0014683D">
            <w:pPr>
              <w:widowControl/>
              <w:jc w:val="center"/>
              <w:rPr>
                <w:rFonts w:ascii="Times New Roman" w:eastAsia="Times New Roman" w:hAnsi="Times New Roman" w:cs="Times New Roman"/>
                <w:b/>
                <w:bCs/>
                <w:color w:val="000000"/>
                <w:lang w:eastAsia="es-HN"/>
              </w:rPr>
            </w:pPr>
            <w:r w:rsidRPr="0014683D">
              <w:rPr>
                <w:rFonts w:ascii="Times New Roman" w:eastAsia="Times New Roman" w:hAnsi="Times New Roman" w:cs="Times New Roman"/>
                <w:b/>
                <w:bCs/>
                <w:color w:val="000000"/>
                <w:lang w:eastAsia="es-HN"/>
              </w:rPr>
              <w:t>2019</w:t>
            </w:r>
          </w:p>
        </w:tc>
        <w:tc>
          <w:tcPr>
            <w:tcW w:w="1489" w:type="dxa"/>
            <w:tcBorders>
              <w:top w:val="nil"/>
              <w:left w:val="nil"/>
              <w:bottom w:val="nil"/>
              <w:right w:val="nil"/>
            </w:tcBorders>
            <w:shd w:val="clear" w:color="auto" w:fill="auto"/>
            <w:noWrap/>
            <w:vAlign w:val="bottom"/>
            <w:hideMark/>
          </w:tcPr>
          <w:p w14:paraId="3CBB19B2" w14:textId="77777777" w:rsidR="0014683D" w:rsidRPr="0014683D" w:rsidRDefault="0014683D" w:rsidP="0014683D">
            <w:pPr>
              <w:widowControl/>
              <w:jc w:val="center"/>
              <w:rPr>
                <w:rFonts w:ascii="Times New Roman" w:eastAsia="Times New Roman" w:hAnsi="Times New Roman" w:cs="Times New Roman"/>
                <w:b/>
                <w:bCs/>
                <w:color w:val="000000"/>
                <w:lang w:eastAsia="es-HN"/>
              </w:rPr>
            </w:pPr>
            <w:r w:rsidRPr="0014683D">
              <w:rPr>
                <w:rFonts w:ascii="Times New Roman" w:eastAsia="Times New Roman" w:hAnsi="Times New Roman" w:cs="Times New Roman"/>
                <w:b/>
                <w:bCs/>
                <w:color w:val="000000"/>
                <w:lang w:eastAsia="es-HN"/>
              </w:rPr>
              <w:t>2020</w:t>
            </w:r>
          </w:p>
        </w:tc>
        <w:tc>
          <w:tcPr>
            <w:tcW w:w="1489" w:type="dxa"/>
            <w:tcBorders>
              <w:top w:val="nil"/>
              <w:left w:val="nil"/>
              <w:bottom w:val="nil"/>
              <w:right w:val="nil"/>
            </w:tcBorders>
            <w:shd w:val="clear" w:color="auto" w:fill="auto"/>
            <w:noWrap/>
            <w:vAlign w:val="bottom"/>
            <w:hideMark/>
          </w:tcPr>
          <w:p w14:paraId="70D588D8" w14:textId="77777777" w:rsidR="0014683D" w:rsidRPr="0014683D" w:rsidRDefault="0014683D" w:rsidP="0014683D">
            <w:pPr>
              <w:widowControl/>
              <w:jc w:val="center"/>
              <w:rPr>
                <w:rFonts w:ascii="Times New Roman" w:eastAsia="Times New Roman" w:hAnsi="Times New Roman" w:cs="Times New Roman"/>
                <w:b/>
                <w:bCs/>
                <w:color w:val="000000"/>
                <w:lang w:eastAsia="es-HN"/>
              </w:rPr>
            </w:pPr>
            <w:r w:rsidRPr="0014683D">
              <w:rPr>
                <w:rFonts w:ascii="Times New Roman" w:eastAsia="Times New Roman" w:hAnsi="Times New Roman" w:cs="Times New Roman"/>
                <w:b/>
                <w:bCs/>
                <w:color w:val="000000"/>
                <w:lang w:eastAsia="es-HN"/>
              </w:rPr>
              <w:t>2021</w:t>
            </w:r>
          </w:p>
        </w:tc>
        <w:tc>
          <w:tcPr>
            <w:tcW w:w="1489" w:type="dxa"/>
            <w:tcBorders>
              <w:top w:val="nil"/>
              <w:left w:val="nil"/>
              <w:bottom w:val="nil"/>
              <w:right w:val="nil"/>
            </w:tcBorders>
            <w:shd w:val="clear" w:color="auto" w:fill="auto"/>
            <w:noWrap/>
            <w:vAlign w:val="bottom"/>
            <w:hideMark/>
          </w:tcPr>
          <w:p w14:paraId="4AEFB5BD" w14:textId="77777777" w:rsidR="0014683D" w:rsidRPr="0014683D" w:rsidRDefault="0014683D" w:rsidP="0014683D">
            <w:pPr>
              <w:widowControl/>
              <w:jc w:val="center"/>
              <w:rPr>
                <w:rFonts w:ascii="Times New Roman" w:eastAsia="Times New Roman" w:hAnsi="Times New Roman" w:cs="Times New Roman"/>
                <w:b/>
                <w:bCs/>
                <w:color w:val="000000"/>
                <w:lang w:eastAsia="es-HN"/>
              </w:rPr>
            </w:pPr>
            <w:r w:rsidRPr="0014683D">
              <w:rPr>
                <w:rFonts w:ascii="Times New Roman" w:eastAsia="Times New Roman" w:hAnsi="Times New Roman" w:cs="Times New Roman"/>
                <w:b/>
                <w:bCs/>
                <w:color w:val="000000"/>
                <w:lang w:eastAsia="es-HN"/>
              </w:rPr>
              <w:t>2022</w:t>
            </w:r>
          </w:p>
        </w:tc>
        <w:tc>
          <w:tcPr>
            <w:tcW w:w="1489" w:type="dxa"/>
            <w:tcBorders>
              <w:top w:val="nil"/>
              <w:left w:val="nil"/>
              <w:bottom w:val="nil"/>
              <w:right w:val="nil"/>
            </w:tcBorders>
            <w:shd w:val="clear" w:color="auto" w:fill="auto"/>
            <w:noWrap/>
            <w:vAlign w:val="bottom"/>
            <w:hideMark/>
          </w:tcPr>
          <w:p w14:paraId="691BE375" w14:textId="77777777" w:rsidR="0014683D" w:rsidRPr="0014683D" w:rsidRDefault="0014683D" w:rsidP="0014683D">
            <w:pPr>
              <w:widowControl/>
              <w:jc w:val="center"/>
              <w:rPr>
                <w:rFonts w:ascii="Times New Roman" w:eastAsia="Times New Roman" w:hAnsi="Times New Roman" w:cs="Times New Roman"/>
                <w:b/>
                <w:bCs/>
                <w:color w:val="000000"/>
                <w:lang w:eastAsia="es-HN"/>
              </w:rPr>
            </w:pPr>
            <w:r w:rsidRPr="0014683D">
              <w:rPr>
                <w:rFonts w:ascii="Times New Roman" w:eastAsia="Times New Roman" w:hAnsi="Times New Roman" w:cs="Times New Roman"/>
                <w:b/>
                <w:bCs/>
                <w:color w:val="000000"/>
                <w:lang w:eastAsia="es-HN"/>
              </w:rPr>
              <w:t>2023</w:t>
            </w:r>
          </w:p>
        </w:tc>
      </w:tr>
      <w:tr w:rsidR="0014683D" w:rsidRPr="0014683D" w14:paraId="68B34788" w14:textId="77777777" w:rsidTr="001C26FB">
        <w:trPr>
          <w:trHeight w:val="337"/>
          <w:jc w:val="center"/>
        </w:trPr>
        <w:tc>
          <w:tcPr>
            <w:tcW w:w="2095" w:type="dxa"/>
            <w:vMerge w:val="restart"/>
            <w:tcBorders>
              <w:top w:val="nil"/>
              <w:left w:val="nil"/>
              <w:bottom w:val="nil"/>
              <w:right w:val="nil"/>
            </w:tcBorders>
            <w:shd w:val="clear" w:color="auto" w:fill="auto"/>
            <w:noWrap/>
            <w:vAlign w:val="center"/>
            <w:hideMark/>
          </w:tcPr>
          <w:p w14:paraId="74BE1906" w14:textId="77777777" w:rsidR="0014683D" w:rsidRPr="0014683D" w:rsidRDefault="0014683D" w:rsidP="0014683D">
            <w:pPr>
              <w:widowControl/>
              <w:jc w:val="center"/>
              <w:rPr>
                <w:rFonts w:ascii="Times New Roman" w:eastAsia="Times New Roman" w:hAnsi="Times New Roman" w:cs="Times New Roman"/>
                <w:b/>
                <w:bCs/>
                <w:color w:val="000000"/>
                <w:lang w:eastAsia="es-HN"/>
              </w:rPr>
            </w:pPr>
            <w:r w:rsidRPr="0014683D">
              <w:rPr>
                <w:rFonts w:ascii="Times New Roman" w:eastAsia="Times New Roman" w:hAnsi="Times New Roman" w:cs="Times New Roman"/>
                <w:b/>
                <w:bCs/>
                <w:color w:val="000000"/>
                <w:lang w:eastAsia="es-HN"/>
              </w:rPr>
              <w:t xml:space="preserve">Ratio de Solvencia </w:t>
            </w:r>
          </w:p>
        </w:tc>
        <w:tc>
          <w:tcPr>
            <w:tcW w:w="263" w:type="dxa"/>
            <w:tcBorders>
              <w:top w:val="nil"/>
              <w:left w:val="nil"/>
              <w:bottom w:val="nil"/>
              <w:right w:val="nil"/>
            </w:tcBorders>
            <w:shd w:val="clear" w:color="auto" w:fill="auto"/>
            <w:noWrap/>
            <w:vAlign w:val="bottom"/>
            <w:hideMark/>
          </w:tcPr>
          <w:p w14:paraId="3BD2E401" w14:textId="77777777" w:rsidR="0014683D" w:rsidRPr="0014683D" w:rsidRDefault="0014683D" w:rsidP="0014683D">
            <w:pPr>
              <w:widowControl/>
              <w:rPr>
                <w:rFonts w:ascii="Times New Roman" w:eastAsia="Times New Roman" w:hAnsi="Times New Roman" w:cs="Times New Roman"/>
                <w:color w:val="000000"/>
                <w:lang w:eastAsia="es-HN"/>
              </w:rPr>
            </w:pPr>
            <w:r w:rsidRPr="0014683D">
              <w:rPr>
                <w:rFonts w:ascii="Times New Roman" w:eastAsia="Times New Roman" w:hAnsi="Times New Roman" w:cs="Times New Roman"/>
                <w:color w:val="000000"/>
                <w:lang w:eastAsia="es-HN"/>
              </w:rPr>
              <w:t>=</w:t>
            </w:r>
          </w:p>
        </w:tc>
        <w:tc>
          <w:tcPr>
            <w:tcW w:w="1489" w:type="dxa"/>
            <w:tcBorders>
              <w:top w:val="nil"/>
              <w:left w:val="nil"/>
              <w:bottom w:val="single" w:sz="4" w:space="0" w:color="auto"/>
              <w:right w:val="nil"/>
            </w:tcBorders>
            <w:shd w:val="clear" w:color="auto" w:fill="auto"/>
            <w:noWrap/>
            <w:vAlign w:val="bottom"/>
            <w:hideMark/>
          </w:tcPr>
          <w:p w14:paraId="2481D8B3" w14:textId="77777777" w:rsidR="0014683D" w:rsidRPr="0014683D" w:rsidRDefault="0014683D" w:rsidP="0014683D">
            <w:pPr>
              <w:widowControl/>
              <w:rPr>
                <w:rFonts w:ascii="Times New Roman" w:eastAsia="Times New Roman" w:hAnsi="Times New Roman" w:cs="Times New Roman"/>
                <w:color w:val="000000"/>
                <w:lang w:eastAsia="es-HN"/>
              </w:rPr>
            </w:pPr>
            <w:r w:rsidRPr="0014683D">
              <w:rPr>
                <w:rFonts w:ascii="Times New Roman" w:eastAsia="Times New Roman" w:hAnsi="Times New Roman" w:cs="Times New Roman"/>
                <w:color w:val="000000"/>
                <w:lang w:eastAsia="es-HN"/>
              </w:rPr>
              <w:t xml:space="preserve">        721,737,676 </w:t>
            </w:r>
          </w:p>
        </w:tc>
        <w:tc>
          <w:tcPr>
            <w:tcW w:w="1489" w:type="dxa"/>
            <w:tcBorders>
              <w:top w:val="nil"/>
              <w:left w:val="nil"/>
              <w:bottom w:val="single" w:sz="4" w:space="0" w:color="auto"/>
              <w:right w:val="nil"/>
            </w:tcBorders>
            <w:shd w:val="clear" w:color="auto" w:fill="auto"/>
            <w:noWrap/>
            <w:vAlign w:val="bottom"/>
            <w:hideMark/>
          </w:tcPr>
          <w:p w14:paraId="246318CE" w14:textId="77777777" w:rsidR="0014683D" w:rsidRPr="0014683D" w:rsidRDefault="0014683D" w:rsidP="0014683D">
            <w:pPr>
              <w:widowControl/>
              <w:rPr>
                <w:rFonts w:ascii="Times New Roman" w:eastAsia="Times New Roman" w:hAnsi="Times New Roman" w:cs="Times New Roman"/>
                <w:color w:val="000000"/>
                <w:lang w:eastAsia="es-HN"/>
              </w:rPr>
            </w:pPr>
            <w:r w:rsidRPr="0014683D">
              <w:rPr>
                <w:rFonts w:ascii="Times New Roman" w:eastAsia="Times New Roman" w:hAnsi="Times New Roman" w:cs="Times New Roman"/>
                <w:color w:val="000000"/>
                <w:lang w:eastAsia="es-HN"/>
              </w:rPr>
              <w:t xml:space="preserve">        515,392,357 </w:t>
            </w:r>
          </w:p>
        </w:tc>
        <w:tc>
          <w:tcPr>
            <w:tcW w:w="1489" w:type="dxa"/>
            <w:tcBorders>
              <w:top w:val="nil"/>
              <w:left w:val="nil"/>
              <w:bottom w:val="single" w:sz="4" w:space="0" w:color="auto"/>
              <w:right w:val="nil"/>
            </w:tcBorders>
            <w:shd w:val="clear" w:color="auto" w:fill="auto"/>
            <w:noWrap/>
            <w:vAlign w:val="bottom"/>
            <w:hideMark/>
          </w:tcPr>
          <w:p w14:paraId="08BB5F25" w14:textId="77777777" w:rsidR="0014683D" w:rsidRPr="0014683D" w:rsidRDefault="0014683D" w:rsidP="0014683D">
            <w:pPr>
              <w:widowControl/>
              <w:rPr>
                <w:rFonts w:ascii="Times New Roman" w:eastAsia="Times New Roman" w:hAnsi="Times New Roman" w:cs="Times New Roman"/>
                <w:color w:val="000000"/>
                <w:lang w:eastAsia="es-HN"/>
              </w:rPr>
            </w:pPr>
            <w:r w:rsidRPr="0014683D">
              <w:rPr>
                <w:rFonts w:ascii="Times New Roman" w:eastAsia="Times New Roman" w:hAnsi="Times New Roman" w:cs="Times New Roman"/>
                <w:color w:val="000000"/>
                <w:lang w:eastAsia="es-HN"/>
              </w:rPr>
              <w:t xml:space="preserve">        349,587,800 </w:t>
            </w:r>
          </w:p>
        </w:tc>
        <w:tc>
          <w:tcPr>
            <w:tcW w:w="1489" w:type="dxa"/>
            <w:tcBorders>
              <w:top w:val="nil"/>
              <w:left w:val="nil"/>
              <w:bottom w:val="single" w:sz="4" w:space="0" w:color="auto"/>
              <w:right w:val="nil"/>
            </w:tcBorders>
            <w:shd w:val="clear" w:color="auto" w:fill="auto"/>
            <w:noWrap/>
            <w:vAlign w:val="bottom"/>
            <w:hideMark/>
          </w:tcPr>
          <w:p w14:paraId="173DCCC9" w14:textId="77777777" w:rsidR="0014683D" w:rsidRPr="0014683D" w:rsidRDefault="0014683D" w:rsidP="0014683D">
            <w:pPr>
              <w:widowControl/>
              <w:rPr>
                <w:rFonts w:ascii="Times New Roman" w:eastAsia="Times New Roman" w:hAnsi="Times New Roman" w:cs="Times New Roman"/>
                <w:color w:val="000000"/>
                <w:lang w:eastAsia="es-HN"/>
              </w:rPr>
            </w:pPr>
            <w:r w:rsidRPr="0014683D">
              <w:rPr>
                <w:rFonts w:ascii="Times New Roman" w:eastAsia="Times New Roman" w:hAnsi="Times New Roman" w:cs="Times New Roman"/>
                <w:color w:val="000000"/>
                <w:lang w:eastAsia="es-HN"/>
              </w:rPr>
              <w:t xml:space="preserve">        352,126,389 </w:t>
            </w:r>
          </w:p>
        </w:tc>
        <w:tc>
          <w:tcPr>
            <w:tcW w:w="1489" w:type="dxa"/>
            <w:tcBorders>
              <w:top w:val="nil"/>
              <w:left w:val="nil"/>
              <w:bottom w:val="single" w:sz="4" w:space="0" w:color="auto"/>
              <w:right w:val="nil"/>
            </w:tcBorders>
            <w:shd w:val="clear" w:color="auto" w:fill="auto"/>
            <w:noWrap/>
            <w:vAlign w:val="bottom"/>
            <w:hideMark/>
          </w:tcPr>
          <w:p w14:paraId="38E5F34B" w14:textId="77777777" w:rsidR="0014683D" w:rsidRPr="0014683D" w:rsidRDefault="0014683D" w:rsidP="0014683D">
            <w:pPr>
              <w:widowControl/>
              <w:rPr>
                <w:rFonts w:ascii="Times New Roman" w:eastAsia="Times New Roman" w:hAnsi="Times New Roman" w:cs="Times New Roman"/>
                <w:color w:val="000000"/>
                <w:lang w:eastAsia="es-HN"/>
              </w:rPr>
            </w:pPr>
            <w:r w:rsidRPr="0014683D">
              <w:rPr>
                <w:rFonts w:ascii="Times New Roman" w:eastAsia="Times New Roman" w:hAnsi="Times New Roman" w:cs="Times New Roman"/>
                <w:color w:val="000000"/>
                <w:lang w:eastAsia="es-HN"/>
              </w:rPr>
              <w:t xml:space="preserve">        349,308,403 </w:t>
            </w:r>
          </w:p>
        </w:tc>
      </w:tr>
      <w:tr w:rsidR="0014683D" w:rsidRPr="0014683D" w14:paraId="5F4B065A" w14:textId="77777777" w:rsidTr="001C26FB">
        <w:trPr>
          <w:trHeight w:val="337"/>
          <w:jc w:val="center"/>
        </w:trPr>
        <w:tc>
          <w:tcPr>
            <w:tcW w:w="2095" w:type="dxa"/>
            <w:vMerge/>
            <w:tcBorders>
              <w:top w:val="nil"/>
              <w:left w:val="nil"/>
              <w:bottom w:val="nil"/>
              <w:right w:val="nil"/>
            </w:tcBorders>
            <w:vAlign w:val="center"/>
            <w:hideMark/>
          </w:tcPr>
          <w:p w14:paraId="40CC0A97" w14:textId="77777777" w:rsidR="0014683D" w:rsidRPr="0014683D" w:rsidRDefault="0014683D" w:rsidP="0014683D">
            <w:pPr>
              <w:widowControl/>
              <w:rPr>
                <w:rFonts w:ascii="Times New Roman" w:eastAsia="Times New Roman" w:hAnsi="Times New Roman" w:cs="Times New Roman"/>
                <w:b/>
                <w:bCs/>
                <w:color w:val="000000"/>
                <w:lang w:eastAsia="es-HN"/>
              </w:rPr>
            </w:pPr>
          </w:p>
        </w:tc>
        <w:tc>
          <w:tcPr>
            <w:tcW w:w="263" w:type="dxa"/>
            <w:tcBorders>
              <w:top w:val="nil"/>
              <w:left w:val="nil"/>
              <w:bottom w:val="nil"/>
              <w:right w:val="nil"/>
            </w:tcBorders>
            <w:shd w:val="clear" w:color="auto" w:fill="auto"/>
            <w:noWrap/>
            <w:vAlign w:val="bottom"/>
            <w:hideMark/>
          </w:tcPr>
          <w:p w14:paraId="6EBF290E" w14:textId="77777777" w:rsidR="0014683D" w:rsidRPr="0014683D" w:rsidRDefault="0014683D" w:rsidP="0014683D">
            <w:pPr>
              <w:widowControl/>
              <w:rPr>
                <w:rFonts w:ascii="Times New Roman" w:eastAsia="Times New Roman" w:hAnsi="Times New Roman" w:cs="Times New Roman"/>
                <w:color w:val="000000"/>
                <w:lang w:eastAsia="es-HN"/>
              </w:rPr>
            </w:pPr>
          </w:p>
        </w:tc>
        <w:tc>
          <w:tcPr>
            <w:tcW w:w="1489" w:type="dxa"/>
            <w:tcBorders>
              <w:top w:val="nil"/>
              <w:left w:val="nil"/>
              <w:bottom w:val="nil"/>
              <w:right w:val="nil"/>
            </w:tcBorders>
            <w:shd w:val="clear" w:color="auto" w:fill="auto"/>
            <w:noWrap/>
            <w:vAlign w:val="bottom"/>
            <w:hideMark/>
          </w:tcPr>
          <w:p w14:paraId="3696F4FF" w14:textId="77777777" w:rsidR="0014683D" w:rsidRPr="0014683D" w:rsidRDefault="0014683D" w:rsidP="0014683D">
            <w:pPr>
              <w:widowControl/>
              <w:rPr>
                <w:rFonts w:ascii="Times New Roman" w:eastAsia="Times New Roman" w:hAnsi="Times New Roman" w:cs="Times New Roman"/>
                <w:color w:val="000000"/>
                <w:lang w:eastAsia="es-HN"/>
              </w:rPr>
            </w:pPr>
            <w:r w:rsidRPr="0014683D">
              <w:rPr>
                <w:rFonts w:ascii="Times New Roman" w:eastAsia="Times New Roman" w:hAnsi="Times New Roman" w:cs="Times New Roman"/>
                <w:color w:val="000000"/>
                <w:lang w:eastAsia="es-HN"/>
              </w:rPr>
              <w:t xml:space="preserve">        589,033,661 </w:t>
            </w:r>
          </w:p>
        </w:tc>
        <w:tc>
          <w:tcPr>
            <w:tcW w:w="1489" w:type="dxa"/>
            <w:tcBorders>
              <w:top w:val="nil"/>
              <w:left w:val="nil"/>
              <w:bottom w:val="nil"/>
              <w:right w:val="nil"/>
            </w:tcBorders>
            <w:shd w:val="clear" w:color="auto" w:fill="auto"/>
            <w:noWrap/>
            <w:vAlign w:val="bottom"/>
            <w:hideMark/>
          </w:tcPr>
          <w:p w14:paraId="5841BEAA" w14:textId="77777777" w:rsidR="0014683D" w:rsidRPr="0014683D" w:rsidRDefault="0014683D" w:rsidP="0014683D">
            <w:pPr>
              <w:widowControl/>
              <w:rPr>
                <w:rFonts w:ascii="Times New Roman" w:eastAsia="Times New Roman" w:hAnsi="Times New Roman" w:cs="Times New Roman"/>
                <w:color w:val="000000"/>
                <w:lang w:eastAsia="es-HN"/>
              </w:rPr>
            </w:pPr>
            <w:r w:rsidRPr="0014683D">
              <w:rPr>
                <w:rFonts w:ascii="Times New Roman" w:eastAsia="Times New Roman" w:hAnsi="Times New Roman" w:cs="Times New Roman"/>
                <w:color w:val="000000"/>
                <w:lang w:eastAsia="es-HN"/>
              </w:rPr>
              <w:t xml:space="preserve">        451,588,618 </w:t>
            </w:r>
          </w:p>
        </w:tc>
        <w:tc>
          <w:tcPr>
            <w:tcW w:w="1489" w:type="dxa"/>
            <w:tcBorders>
              <w:top w:val="nil"/>
              <w:left w:val="nil"/>
              <w:bottom w:val="nil"/>
              <w:right w:val="nil"/>
            </w:tcBorders>
            <w:shd w:val="clear" w:color="auto" w:fill="auto"/>
            <w:noWrap/>
            <w:vAlign w:val="bottom"/>
            <w:hideMark/>
          </w:tcPr>
          <w:p w14:paraId="6D3C6C67" w14:textId="77777777" w:rsidR="0014683D" w:rsidRPr="0014683D" w:rsidRDefault="0014683D" w:rsidP="0014683D">
            <w:pPr>
              <w:widowControl/>
              <w:rPr>
                <w:rFonts w:ascii="Times New Roman" w:eastAsia="Times New Roman" w:hAnsi="Times New Roman" w:cs="Times New Roman"/>
                <w:color w:val="000000"/>
                <w:lang w:eastAsia="es-HN"/>
              </w:rPr>
            </w:pPr>
            <w:r w:rsidRPr="0014683D">
              <w:rPr>
                <w:rFonts w:ascii="Times New Roman" w:eastAsia="Times New Roman" w:hAnsi="Times New Roman" w:cs="Times New Roman"/>
                <w:color w:val="000000"/>
                <w:lang w:eastAsia="es-HN"/>
              </w:rPr>
              <w:t xml:space="preserve">        318,062,584 </w:t>
            </w:r>
          </w:p>
        </w:tc>
        <w:tc>
          <w:tcPr>
            <w:tcW w:w="1489" w:type="dxa"/>
            <w:tcBorders>
              <w:top w:val="nil"/>
              <w:left w:val="nil"/>
              <w:bottom w:val="nil"/>
              <w:right w:val="nil"/>
            </w:tcBorders>
            <w:shd w:val="clear" w:color="auto" w:fill="auto"/>
            <w:noWrap/>
            <w:vAlign w:val="bottom"/>
            <w:hideMark/>
          </w:tcPr>
          <w:p w14:paraId="421793CB" w14:textId="77777777" w:rsidR="0014683D" w:rsidRPr="0014683D" w:rsidRDefault="0014683D" w:rsidP="0014683D">
            <w:pPr>
              <w:widowControl/>
              <w:rPr>
                <w:rFonts w:ascii="Times New Roman" w:eastAsia="Times New Roman" w:hAnsi="Times New Roman" w:cs="Times New Roman"/>
                <w:color w:val="000000"/>
                <w:lang w:eastAsia="es-HN"/>
              </w:rPr>
            </w:pPr>
            <w:r w:rsidRPr="0014683D">
              <w:rPr>
                <w:rFonts w:ascii="Times New Roman" w:eastAsia="Times New Roman" w:hAnsi="Times New Roman" w:cs="Times New Roman"/>
                <w:color w:val="000000"/>
                <w:lang w:eastAsia="es-HN"/>
              </w:rPr>
              <w:t xml:space="preserve">        280,885,284 </w:t>
            </w:r>
          </w:p>
        </w:tc>
        <w:tc>
          <w:tcPr>
            <w:tcW w:w="1489" w:type="dxa"/>
            <w:tcBorders>
              <w:top w:val="nil"/>
              <w:left w:val="nil"/>
              <w:bottom w:val="nil"/>
              <w:right w:val="nil"/>
            </w:tcBorders>
            <w:shd w:val="clear" w:color="auto" w:fill="auto"/>
            <w:noWrap/>
            <w:vAlign w:val="bottom"/>
            <w:hideMark/>
          </w:tcPr>
          <w:p w14:paraId="1D8DADA3" w14:textId="77777777" w:rsidR="0014683D" w:rsidRPr="0014683D" w:rsidRDefault="0014683D" w:rsidP="0014683D">
            <w:pPr>
              <w:widowControl/>
              <w:rPr>
                <w:rFonts w:ascii="Times New Roman" w:eastAsia="Times New Roman" w:hAnsi="Times New Roman" w:cs="Times New Roman"/>
                <w:color w:val="000000"/>
                <w:lang w:eastAsia="es-HN"/>
              </w:rPr>
            </w:pPr>
            <w:r w:rsidRPr="0014683D">
              <w:rPr>
                <w:rFonts w:ascii="Times New Roman" w:eastAsia="Times New Roman" w:hAnsi="Times New Roman" w:cs="Times New Roman"/>
                <w:color w:val="000000"/>
                <w:lang w:eastAsia="es-HN"/>
              </w:rPr>
              <w:t xml:space="preserve">        286,836,589 </w:t>
            </w:r>
          </w:p>
        </w:tc>
      </w:tr>
      <w:tr w:rsidR="0014683D" w:rsidRPr="0014683D" w14:paraId="71BBD892" w14:textId="77777777" w:rsidTr="001C26FB">
        <w:trPr>
          <w:trHeight w:val="219"/>
          <w:jc w:val="center"/>
        </w:trPr>
        <w:tc>
          <w:tcPr>
            <w:tcW w:w="2095" w:type="dxa"/>
            <w:tcBorders>
              <w:top w:val="nil"/>
              <w:left w:val="nil"/>
              <w:bottom w:val="nil"/>
              <w:right w:val="nil"/>
            </w:tcBorders>
            <w:shd w:val="clear" w:color="auto" w:fill="auto"/>
            <w:noWrap/>
            <w:vAlign w:val="center"/>
            <w:hideMark/>
          </w:tcPr>
          <w:p w14:paraId="5C3F971D" w14:textId="77777777" w:rsidR="0014683D" w:rsidRPr="0014683D" w:rsidRDefault="0014683D" w:rsidP="0014683D">
            <w:pPr>
              <w:widowControl/>
              <w:rPr>
                <w:rFonts w:ascii="Times New Roman" w:eastAsia="Times New Roman" w:hAnsi="Times New Roman" w:cs="Times New Roman"/>
                <w:color w:val="000000"/>
                <w:lang w:eastAsia="es-HN"/>
              </w:rPr>
            </w:pPr>
          </w:p>
        </w:tc>
        <w:tc>
          <w:tcPr>
            <w:tcW w:w="263" w:type="dxa"/>
            <w:tcBorders>
              <w:top w:val="nil"/>
              <w:left w:val="nil"/>
              <w:bottom w:val="nil"/>
              <w:right w:val="nil"/>
            </w:tcBorders>
            <w:shd w:val="clear" w:color="auto" w:fill="auto"/>
            <w:noWrap/>
            <w:vAlign w:val="bottom"/>
            <w:hideMark/>
          </w:tcPr>
          <w:p w14:paraId="0E952D5F" w14:textId="77777777" w:rsidR="0014683D" w:rsidRPr="0014683D" w:rsidRDefault="0014683D" w:rsidP="0014683D">
            <w:pPr>
              <w:widowControl/>
              <w:jc w:val="center"/>
              <w:rPr>
                <w:rFonts w:ascii="Times New Roman" w:eastAsia="Times New Roman" w:hAnsi="Times New Roman" w:cs="Times New Roman"/>
                <w:sz w:val="20"/>
                <w:szCs w:val="20"/>
                <w:lang w:eastAsia="es-HN"/>
              </w:rPr>
            </w:pPr>
          </w:p>
        </w:tc>
        <w:tc>
          <w:tcPr>
            <w:tcW w:w="1489" w:type="dxa"/>
            <w:tcBorders>
              <w:top w:val="nil"/>
              <w:left w:val="nil"/>
              <w:bottom w:val="nil"/>
              <w:right w:val="nil"/>
            </w:tcBorders>
            <w:shd w:val="clear" w:color="auto" w:fill="auto"/>
            <w:noWrap/>
            <w:vAlign w:val="bottom"/>
            <w:hideMark/>
          </w:tcPr>
          <w:p w14:paraId="0BFA5654" w14:textId="77777777" w:rsidR="0014683D" w:rsidRPr="0014683D" w:rsidRDefault="0014683D" w:rsidP="0014683D">
            <w:pPr>
              <w:widowControl/>
              <w:rPr>
                <w:rFonts w:ascii="Times New Roman" w:eastAsia="Times New Roman" w:hAnsi="Times New Roman" w:cs="Times New Roman"/>
                <w:sz w:val="20"/>
                <w:szCs w:val="20"/>
                <w:lang w:eastAsia="es-HN"/>
              </w:rPr>
            </w:pPr>
          </w:p>
        </w:tc>
        <w:tc>
          <w:tcPr>
            <w:tcW w:w="1489" w:type="dxa"/>
            <w:tcBorders>
              <w:top w:val="nil"/>
              <w:left w:val="nil"/>
              <w:bottom w:val="nil"/>
              <w:right w:val="nil"/>
            </w:tcBorders>
            <w:shd w:val="clear" w:color="auto" w:fill="auto"/>
            <w:noWrap/>
            <w:vAlign w:val="bottom"/>
            <w:hideMark/>
          </w:tcPr>
          <w:p w14:paraId="1DCE8C90" w14:textId="77777777" w:rsidR="0014683D" w:rsidRPr="0014683D" w:rsidRDefault="0014683D" w:rsidP="0014683D">
            <w:pPr>
              <w:widowControl/>
              <w:rPr>
                <w:rFonts w:ascii="Times New Roman" w:eastAsia="Times New Roman" w:hAnsi="Times New Roman" w:cs="Times New Roman"/>
                <w:sz w:val="20"/>
                <w:szCs w:val="20"/>
                <w:lang w:eastAsia="es-HN"/>
              </w:rPr>
            </w:pPr>
          </w:p>
        </w:tc>
        <w:tc>
          <w:tcPr>
            <w:tcW w:w="1489" w:type="dxa"/>
            <w:tcBorders>
              <w:top w:val="nil"/>
              <w:left w:val="nil"/>
              <w:bottom w:val="nil"/>
              <w:right w:val="nil"/>
            </w:tcBorders>
            <w:shd w:val="clear" w:color="auto" w:fill="auto"/>
            <w:noWrap/>
            <w:vAlign w:val="bottom"/>
            <w:hideMark/>
          </w:tcPr>
          <w:p w14:paraId="17F3450F" w14:textId="77777777" w:rsidR="0014683D" w:rsidRPr="0014683D" w:rsidRDefault="0014683D" w:rsidP="0014683D">
            <w:pPr>
              <w:widowControl/>
              <w:rPr>
                <w:rFonts w:ascii="Times New Roman" w:eastAsia="Times New Roman" w:hAnsi="Times New Roman" w:cs="Times New Roman"/>
                <w:sz w:val="20"/>
                <w:szCs w:val="20"/>
                <w:lang w:eastAsia="es-HN"/>
              </w:rPr>
            </w:pPr>
          </w:p>
        </w:tc>
        <w:tc>
          <w:tcPr>
            <w:tcW w:w="1489" w:type="dxa"/>
            <w:tcBorders>
              <w:top w:val="nil"/>
              <w:left w:val="nil"/>
              <w:bottom w:val="nil"/>
              <w:right w:val="nil"/>
            </w:tcBorders>
            <w:shd w:val="clear" w:color="auto" w:fill="auto"/>
            <w:noWrap/>
            <w:vAlign w:val="bottom"/>
            <w:hideMark/>
          </w:tcPr>
          <w:p w14:paraId="6AAD14A2" w14:textId="77777777" w:rsidR="0014683D" w:rsidRPr="0014683D" w:rsidRDefault="0014683D" w:rsidP="0014683D">
            <w:pPr>
              <w:widowControl/>
              <w:rPr>
                <w:rFonts w:ascii="Times New Roman" w:eastAsia="Times New Roman" w:hAnsi="Times New Roman" w:cs="Times New Roman"/>
                <w:sz w:val="20"/>
                <w:szCs w:val="20"/>
                <w:lang w:eastAsia="es-HN"/>
              </w:rPr>
            </w:pPr>
          </w:p>
        </w:tc>
        <w:tc>
          <w:tcPr>
            <w:tcW w:w="1489" w:type="dxa"/>
            <w:tcBorders>
              <w:top w:val="nil"/>
              <w:left w:val="nil"/>
              <w:bottom w:val="nil"/>
              <w:right w:val="nil"/>
            </w:tcBorders>
            <w:shd w:val="clear" w:color="auto" w:fill="auto"/>
            <w:noWrap/>
            <w:vAlign w:val="bottom"/>
            <w:hideMark/>
          </w:tcPr>
          <w:p w14:paraId="0CFD6FEF" w14:textId="77777777" w:rsidR="0014683D" w:rsidRPr="0014683D" w:rsidRDefault="0014683D" w:rsidP="0014683D">
            <w:pPr>
              <w:widowControl/>
              <w:rPr>
                <w:rFonts w:ascii="Times New Roman" w:eastAsia="Times New Roman" w:hAnsi="Times New Roman" w:cs="Times New Roman"/>
                <w:sz w:val="20"/>
                <w:szCs w:val="20"/>
                <w:lang w:eastAsia="es-HN"/>
              </w:rPr>
            </w:pPr>
          </w:p>
        </w:tc>
      </w:tr>
      <w:tr w:rsidR="0014683D" w:rsidRPr="0014683D" w14:paraId="38DB2692" w14:textId="77777777" w:rsidTr="001C26FB">
        <w:trPr>
          <w:trHeight w:val="337"/>
          <w:jc w:val="center"/>
        </w:trPr>
        <w:tc>
          <w:tcPr>
            <w:tcW w:w="2095" w:type="dxa"/>
            <w:tcBorders>
              <w:top w:val="nil"/>
              <w:left w:val="nil"/>
              <w:bottom w:val="nil"/>
              <w:right w:val="nil"/>
            </w:tcBorders>
            <w:shd w:val="clear" w:color="auto" w:fill="auto"/>
            <w:noWrap/>
            <w:vAlign w:val="bottom"/>
            <w:hideMark/>
          </w:tcPr>
          <w:p w14:paraId="4E705472" w14:textId="77777777" w:rsidR="0014683D" w:rsidRPr="0014683D" w:rsidRDefault="0014683D" w:rsidP="0014683D">
            <w:pPr>
              <w:widowControl/>
              <w:rPr>
                <w:rFonts w:ascii="Times New Roman" w:eastAsia="Times New Roman" w:hAnsi="Times New Roman" w:cs="Times New Roman"/>
                <w:sz w:val="20"/>
                <w:szCs w:val="20"/>
                <w:lang w:eastAsia="es-HN"/>
              </w:rPr>
            </w:pPr>
          </w:p>
        </w:tc>
        <w:tc>
          <w:tcPr>
            <w:tcW w:w="263" w:type="dxa"/>
            <w:tcBorders>
              <w:top w:val="nil"/>
              <w:left w:val="nil"/>
              <w:bottom w:val="nil"/>
              <w:right w:val="nil"/>
            </w:tcBorders>
            <w:shd w:val="clear" w:color="auto" w:fill="auto"/>
            <w:noWrap/>
            <w:vAlign w:val="bottom"/>
            <w:hideMark/>
          </w:tcPr>
          <w:p w14:paraId="4664798C" w14:textId="77777777" w:rsidR="0014683D" w:rsidRPr="0014683D" w:rsidRDefault="0014683D" w:rsidP="0014683D">
            <w:pPr>
              <w:widowControl/>
              <w:rPr>
                <w:rFonts w:ascii="Times New Roman" w:eastAsia="Times New Roman" w:hAnsi="Times New Roman" w:cs="Times New Roman"/>
                <w:sz w:val="20"/>
                <w:szCs w:val="20"/>
                <w:lang w:eastAsia="es-HN"/>
              </w:rPr>
            </w:pPr>
          </w:p>
        </w:tc>
        <w:tc>
          <w:tcPr>
            <w:tcW w:w="1489" w:type="dxa"/>
            <w:tcBorders>
              <w:top w:val="nil"/>
              <w:left w:val="nil"/>
              <w:bottom w:val="nil"/>
              <w:right w:val="nil"/>
            </w:tcBorders>
            <w:shd w:val="clear" w:color="000000" w:fill="CAEDFB"/>
            <w:noWrap/>
            <w:vAlign w:val="bottom"/>
            <w:hideMark/>
          </w:tcPr>
          <w:p w14:paraId="1797CB6D" w14:textId="7F66636B" w:rsidR="0014683D" w:rsidRPr="0014683D" w:rsidRDefault="0014683D" w:rsidP="0014683D">
            <w:pPr>
              <w:widowControl/>
              <w:jc w:val="center"/>
              <w:rPr>
                <w:rFonts w:ascii="Times New Roman" w:eastAsia="Times New Roman" w:hAnsi="Times New Roman" w:cs="Times New Roman"/>
                <w:b/>
                <w:bCs/>
                <w:color w:val="000000"/>
                <w:lang w:eastAsia="es-HN"/>
              </w:rPr>
            </w:pPr>
            <w:r w:rsidRPr="0014683D">
              <w:rPr>
                <w:rFonts w:ascii="Times New Roman" w:eastAsia="Times New Roman" w:hAnsi="Times New Roman" w:cs="Times New Roman"/>
                <w:b/>
                <w:bCs/>
                <w:color w:val="000000"/>
                <w:lang w:eastAsia="es-HN"/>
              </w:rPr>
              <w:t>1.2</w:t>
            </w:r>
          </w:p>
        </w:tc>
        <w:tc>
          <w:tcPr>
            <w:tcW w:w="1489" w:type="dxa"/>
            <w:tcBorders>
              <w:top w:val="nil"/>
              <w:left w:val="nil"/>
              <w:bottom w:val="nil"/>
              <w:right w:val="nil"/>
            </w:tcBorders>
            <w:shd w:val="clear" w:color="000000" w:fill="CAEDFB"/>
            <w:noWrap/>
            <w:vAlign w:val="bottom"/>
            <w:hideMark/>
          </w:tcPr>
          <w:p w14:paraId="3563C6BA" w14:textId="3CA0EAED" w:rsidR="0014683D" w:rsidRPr="0014683D" w:rsidRDefault="0014683D" w:rsidP="0014683D">
            <w:pPr>
              <w:widowControl/>
              <w:jc w:val="center"/>
              <w:rPr>
                <w:rFonts w:ascii="Times New Roman" w:eastAsia="Times New Roman" w:hAnsi="Times New Roman" w:cs="Times New Roman"/>
                <w:b/>
                <w:bCs/>
                <w:color w:val="000000"/>
                <w:lang w:eastAsia="es-HN"/>
              </w:rPr>
            </w:pPr>
            <w:r w:rsidRPr="0014683D">
              <w:rPr>
                <w:rFonts w:ascii="Times New Roman" w:eastAsia="Times New Roman" w:hAnsi="Times New Roman" w:cs="Times New Roman"/>
                <w:b/>
                <w:bCs/>
                <w:color w:val="000000"/>
                <w:lang w:eastAsia="es-HN"/>
              </w:rPr>
              <w:t>1.1</w:t>
            </w:r>
          </w:p>
        </w:tc>
        <w:tc>
          <w:tcPr>
            <w:tcW w:w="1489" w:type="dxa"/>
            <w:tcBorders>
              <w:top w:val="nil"/>
              <w:left w:val="nil"/>
              <w:bottom w:val="nil"/>
              <w:right w:val="nil"/>
            </w:tcBorders>
            <w:shd w:val="clear" w:color="000000" w:fill="CAEDFB"/>
            <w:noWrap/>
            <w:vAlign w:val="bottom"/>
            <w:hideMark/>
          </w:tcPr>
          <w:p w14:paraId="4FCB94E7" w14:textId="273CE544" w:rsidR="0014683D" w:rsidRPr="0014683D" w:rsidRDefault="0014683D" w:rsidP="0014683D">
            <w:pPr>
              <w:widowControl/>
              <w:jc w:val="center"/>
              <w:rPr>
                <w:rFonts w:ascii="Times New Roman" w:eastAsia="Times New Roman" w:hAnsi="Times New Roman" w:cs="Times New Roman"/>
                <w:b/>
                <w:bCs/>
                <w:color w:val="000000"/>
                <w:lang w:eastAsia="es-HN"/>
              </w:rPr>
            </w:pPr>
            <w:r w:rsidRPr="0014683D">
              <w:rPr>
                <w:rFonts w:ascii="Times New Roman" w:eastAsia="Times New Roman" w:hAnsi="Times New Roman" w:cs="Times New Roman"/>
                <w:b/>
                <w:bCs/>
                <w:color w:val="000000"/>
                <w:lang w:eastAsia="es-HN"/>
              </w:rPr>
              <w:t>1.1</w:t>
            </w:r>
          </w:p>
        </w:tc>
        <w:tc>
          <w:tcPr>
            <w:tcW w:w="1489" w:type="dxa"/>
            <w:tcBorders>
              <w:top w:val="nil"/>
              <w:left w:val="nil"/>
              <w:bottom w:val="nil"/>
              <w:right w:val="nil"/>
            </w:tcBorders>
            <w:shd w:val="clear" w:color="000000" w:fill="CAEDFB"/>
            <w:noWrap/>
            <w:vAlign w:val="bottom"/>
            <w:hideMark/>
          </w:tcPr>
          <w:p w14:paraId="501C38C2" w14:textId="7A0B95A0" w:rsidR="0014683D" w:rsidRPr="0014683D" w:rsidRDefault="0014683D" w:rsidP="0014683D">
            <w:pPr>
              <w:widowControl/>
              <w:jc w:val="center"/>
              <w:rPr>
                <w:rFonts w:ascii="Times New Roman" w:eastAsia="Times New Roman" w:hAnsi="Times New Roman" w:cs="Times New Roman"/>
                <w:b/>
                <w:bCs/>
                <w:color w:val="000000"/>
                <w:lang w:eastAsia="es-HN"/>
              </w:rPr>
            </w:pPr>
            <w:r w:rsidRPr="0014683D">
              <w:rPr>
                <w:rFonts w:ascii="Times New Roman" w:eastAsia="Times New Roman" w:hAnsi="Times New Roman" w:cs="Times New Roman"/>
                <w:b/>
                <w:bCs/>
                <w:color w:val="000000"/>
                <w:lang w:eastAsia="es-HN"/>
              </w:rPr>
              <w:t>1.3</w:t>
            </w:r>
          </w:p>
        </w:tc>
        <w:tc>
          <w:tcPr>
            <w:tcW w:w="1489" w:type="dxa"/>
            <w:tcBorders>
              <w:top w:val="nil"/>
              <w:left w:val="nil"/>
              <w:bottom w:val="nil"/>
              <w:right w:val="nil"/>
            </w:tcBorders>
            <w:shd w:val="clear" w:color="000000" w:fill="CAEDFB"/>
            <w:noWrap/>
            <w:vAlign w:val="bottom"/>
            <w:hideMark/>
          </w:tcPr>
          <w:p w14:paraId="65BA5852" w14:textId="7F755A91" w:rsidR="0014683D" w:rsidRPr="0014683D" w:rsidRDefault="0014683D" w:rsidP="0014683D">
            <w:pPr>
              <w:widowControl/>
              <w:jc w:val="center"/>
              <w:rPr>
                <w:rFonts w:ascii="Times New Roman" w:eastAsia="Times New Roman" w:hAnsi="Times New Roman" w:cs="Times New Roman"/>
                <w:b/>
                <w:bCs/>
                <w:color w:val="000000"/>
                <w:lang w:eastAsia="es-HN"/>
              </w:rPr>
            </w:pPr>
            <w:r w:rsidRPr="0014683D">
              <w:rPr>
                <w:rFonts w:ascii="Times New Roman" w:eastAsia="Times New Roman" w:hAnsi="Times New Roman" w:cs="Times New Roman"/>
                <w:b/>
                <w:bCs/>
                <w:color w:val="000000"/>
                <w:lang w:eastAsia="es-HN"/>
              </w:rPr>
              <w:t>1.2</w:t>
            </w:r>
          </w:p>
        </w:tc>
      </w:tr>
    </w:tbl>
    <w:p w14:paraId="1678FE29" w14:textId="55781A59" w:rsidR="000A3A8B" w:rsidRPr="00783048" w:rsidRDefault="000A3A8B" w:rsidP="003E2058">
      <w:pPr>
        <w:spacing w:before="240" w:after="240" w:line="360" w:lineRule="auto"/>
        <w:ind w:firstLine="720"/>
        <w:rPr>
          <w:rFonts w:ascii="Times New Roman" w:hAnsi="Times New Roman" w:cs="Times New Roman"/>
          <w:noProof/>
          <w:sz w:val="24"/>
          <w:szCs w:val="24"/>
        </w:rPr>
      </w:pPr>
      <w:r w:rsidRPr="00783048">
        <w:rPr>
          <w:rFonts w:ascii="Times New Roman" w:hAnsi="Times New Roman" w:cs="Times New Roman"/>
          <w:sz w:val="24"/>
          <w:szCs w:val="24"/>
        </w:rPr>
        <w:t xml:space="preserve">Fuente: Elaboración propia con datos de microfinanciera </w:t>
      </w:r>
      <w:r w:rsidR="00E5074B" w:rsidRPr="00783048">
        <w:rPr>
          <w:rFonts w:ascii="Times New Roman" w:hAnsi="Times New Roman" w:cs="Times New Roman"/>
          <w:sz w:val="24"/>
          <w:szCs w:val="24"/>
        </w:rPr>
        <w:t>“XYZ”</w:t>
      </w:r>
      <w:r w:rsidRPr="00783048">
        <w:rPr>
          <w:rFonts w:ascii="Times New Roman" w:hAnsi="Times New Roman" w:cs="Times New Roman"/>
          <w:noProof/>
          <w:sz w:val="24"/>
          <w:szCs w:val="24"/>
        </w:rPr>
        <w:t>.</w:t>
      </w:r>
    </w:p>
    <w:p w14:paraId="04080EA4" w14:textId="795FC3E7" w:rsidR="00354FC7" w:rsidRDefault="00354FC7" w:rsidP="00354FC7">
      <w:pPr>
        <w:spacing w:after="240" w:line="360" w:lineRule="auto"/>
        <w:ind w:firstLine="720"/>
        <w:jc w:val="both"/>
        <w:rPr>
          <w:rFonts w:ascii="Times New Roman" w:hAnsi="Times New Roman" w:cs="Times New Roman"/>
          <w:noProof/>
          <w:sz w:val="24"/>
          <w:szCs w:val="24"/>
        </w:rPr>
      </w:pPr>
      <w:r w:rsidRPr="00354FC7">
        <w:rPr>
          <w:rFonts w:ascii="Times New Roman" w:hAnsi="Times New Roman" w:cs="Times New Roman"/>
          <w:noProof/>
          <w:sz w:val="24"/>
          <w:szCs w:val="24"/>
        </w:rPr>
        <w:t xml:space="preserve">A pesar que la IMF ha enfrentado situaciones complejas </w:t>
      </w:r>
      <w:r w:rsidR="0014683D">
        <w:rPr>
          <w:rFonts w:ascii="Times New Roman" w:hAnsi="Times New Roman" w:cs="Times New Roman"/>
          <w:noProof/>
          <w:sz w:val="24"/>
          <w:szCs w:val="24"/>
        </w:rPr>
        <w:t xml:space="preserve">durante el periodo </w:t>
      </w:r>
      <w:r w:rsidR="00571644">
        <w:rPr>
          <w:rFonts w:ascii="Times New Roman" w:hAnsi="Times New Roman" w:cs="Times New Roman"/>
          <w:noProof/>
          <w:sz w:val="24"/>
          <w:szCs w:val="24"/>
        </w:rPr>
        <w:t>2019-2013</w:t>
      </w:r>
      <w:r w:rsidR="0014683D">
        <w:rPr>
          <w:rFonts w:ascii="Times New Roman" w:hAnsi="Times New Roman" w:cs="Times New Roman"/>
          <w:noProof/>
          <w:sz w:val="24"/>
          <w:szCs w:val="24"/>
        </w:rPr>
        <w:t xml:space="preserve">, </w:t>
      </w:r>
      <w:r w:rsidR="001C26FB">
        <w:rPr>
          <w:rFonts w:ascii="Times New Roman" w:hAnsi="Times New Roman" w:cs="Times New Roman"/>
          <w:noProof/>
          <w:sz w:val="24"/>
          <w:szCs w:val="24"/>
        </w:rPr>
        <w:t xml:space="preserve">se logra observar un indice de </w:t>
      </w:r>
      <w:r w:rsidR="0014683D">
        <w:rPr>
          <w:rFonts w:ascii="Times New Roman" w:hAnsi="Times New Roman" w:cs="Times New Roman"/>
          <w:noProof/>
          <w:sz w:val="24"/>
          <w:szCs w:val="24"/>
        </w:rPr>
        <w:t xml:space="preserve">solvencia </w:t>
      </w:r>
      <w:r w:rsidR="001C26FB">
        <w:rPr>
          <w:rFonts w:ascii="Times New Roman" w:hAnsi="Times New Roman" w:cs="Times New Roman"/>
          <w:noProof/>
          <w:sz w:val="24"/>
          <w:szCs w:val="24"/>
        </w:rPr>
        <w:t xml:space="preserve">aceptable, puesto que los activos con los que cuenta la </w:t>
      </w:r>
      <w:r w:rsidR="00571644">
        <w:rPr>
          <w:rFonts w:ascii="Times New Roman" w:hAnsi="Times New Roman" w:cs="Times New Roman"/>
          <w:noProof/>
          <w:sz w:val="24"/>
          <w:szCs w:val="24"/>
        </w:rPr>
        <w:t>institución</w:t>
      </w:r>
      <w:r w:rsidR="001C26FB">
        <w:rPr>
          <w:rFonts w:ascii="Times New Roman" w:hAnsi="Times New Roman" w:cs="Times New Roman"/>
          <w:noProof/>
          <w:sz w:val="24"/>
          <w:szCs w:val="24"/>
        </w:rPr>
        <w:t xml:space="preserve"> son suficientes para cubrir </w:t>
      </w:r>
      <w:r w:rsidR="00571644">
        <w:rPr>
          <w:rFonts w:ascii="Times New Roman" w:hAnsi="Times New Roman" w:cs="Times New Roman"/>
          <w:noProof/>
          <w:sz w:val="24"/>
          <w:szCs w:val="24"/>
        </w:rPr>
        <w:t xml:space="preserve">el total de </w:t>
      </w:r>
      <w:r w:rsidR="001C26FB">
        <w:rPr>
          <w:rFonts w:ascii="Times New Roman" w:hAnsi="Times New Roman" w:cs="Times New Roman"/>
          <w:noProof/>
          <w:sz w:val="24"/>
          <w:szCs w:val="24"/>
        </w:rPr>
        <w:t>sus pasivos, sin embargo, este nivel de solvencia es</w:t>
      </w:r>
      <w:r w:rsidR="00CE59EA">
        <w:rPr>
          <w:rFonts w:ascii="Times New Roman" w:hAnsi="Times New Roman" w:cs="Times New Roman"/>
          <w:noProof/>
          <w:sz w:val="24"/>
          <w:szCs w:val="24"/>
        </w:rPr>
        <w:t xml:space="preserve"> muy </w:t>
      </w:r>
      <w:r w:rsidR="001C26FB">
        <w:rPr>
          <w:rFonts w:ascii="Times New Roman" w:hAnsi="Times New Roman" w:cs="Times New Roman"/>
          <w:noProof/>
          <w:sz w:val="24"/>
          <w:szCs w:val="24"/>
        </w:rPr>
        <w:t>ajustado</w:t>
      </w:r>
      <w:r w:rsidR="00CE59EA">
        <w:rPr>
          <w:rFonts w:ascii="Times New Roman" w:hAnsi="Times New Roman" w:cs="Times New Roman"/>
          <w:noProof/>
          <w:sz w:val="24"/>
          <w:szCs w:val="24"/>
        </w:rPr>
        <w:t>.</w:t>
      </w:r>
    </w:p>
    <w:p w14:paraId="0BF5747B" w14:textId="6F9AD24C" w:rsidR="00354FC7" w:rsidRDefault="0014683D" w:rsidP="00F20E91">
      <w:pPr>
        <w:spacing w:line="360" w:lineRule="auto"/>
        <w:jc w:val="center"/>
        <w:rPr>
          <w:noProof/>
        </w:rPr>
      </w:pPr>
      <w:r>
        <w:rPr>
          <w:noProof/>
        </w:rPr>
        <w:drawing>
          <wp:inline distT="0" distB="0" distL="0" distR="0" wp14:anchorId="21828FFE" wp14:editId="726C11D9">
            <wp:extent cx="4572000" cy="2743200"/>
            <wp:effectExtent l="0" t="0" r="0" b="0"/>
            <wp:docPr id="2125940228" name="Gráfico 1">
              <a:extLst xmlns:a="http://schemas.openxmlformats.org/drawingml/2006/main">
                <a:ext uri="{FF2B5EF4-FFF2-40B4-BE49-F238E27FC236}">
                  <a16:creationId xmlns:a16="http://schemas.microsoft.com/office/drawing/2014/main" id="{61E95DFB-561A-6E00-0AB4-24199DA45E1C}"/>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p>
    <w:p w14:paraId="1CA754F3" w14:textId="77777777" w:rsidR="00DF41E4" w:rsidRDefault="000A3A8B" w:rsidP="00783048">
      <w:pPr>
        <w:spacing w:line="360" w:lineRule="auto"/>
        <w:ind w:firstLine="720"/>
        <w:jc w:val="both"/>
        <w:rPr>
          <w:rFonts w:ascii="Times New Roman" w:hAnsi="Times New Roman" w:cs="Times New Roman"/>
          <w:sz w:val="24"/>
          <w:szCs w:val="24"/>
          <w:lang w:val="es-ES"/>
        </w:rPr>
      </w:pPr>
      <w:r w:rsidRPr="00783048">
        <w:rPr>
          <w:rFonts w:ascii="Times New Roman" w:hAnsi="Times New Roman" w:cs="Times New Roman"/>
          <w:sz w:val="24"/>
          <w:szCs w:val="24"/>
          <w:lang w:val="es-ES"/>
        </w:rPr>
        <w:t>Figura 12. Ratio de Solvencia.</w:t>
      </w:r>
    </w:p>
    <w:p w14:paraId="0FBEBEFD" w14:textId="06B184EC" w:rsidR="000A3A8B" w:rsidRPr="00783048" w:rsidRDefault="00DF41E4" w:rsidP="00783048">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lang w:val="es-ES"/>
        </w:rPr>
        <w:t xml:space="preserve">Fuente: </w:t>
      </w:r>
      <w:r w:rsidR="000A3A8B" w:rsidRPr="00783048">
        <w:rPr>
          <w:rFonts w:ascii="Times New Roman" w:hAnsi="Times New Roman" w:cs="Times New Roman"/>
          <w:sz w:val="24"/>
          <w:szCs w:val="24"/>
        </w:rPr>
        <w:t xml:space="preserve">Elaboración propia con datos de microfinanciera </w:t>
      </w:r>
      <w:r w:rsidR="00E5074B" w:rsidRPr="00783048">
        <w:rPr>
          <w:rFonts w:ascii="Times New Roman" w:hAnsi="Times New Roman" w:cs="Times New Roman"/>
          <w:sz w:val="24"/>
          <w:szCs w:val="24"/>
        </w:rPr>
        <w:t>“XYZ”</w:t>
      </w:r>
      <w:r w:rsidR="00783048">
        <w:rPr>
          <w:rFonts w:ascii="Times New Roman" w:hAnsi="Times New Roman" w:cs="Times New Roman"/>
          <w:sz w:val="24"/>
          <w:szCs w:val="24"/>
        </w:rPr>
        <w:t>.</w:t>
      </w:r>
    </w:p>
    <w:p w14:paraId="0A57322A" w14:textId="77777777" w:rsidR="000A3A8B" w:rsidRDefault="000A3A8B" w:rsidP="00195CA2">
      <w:pPr>
        <w:spacing w:line="360" w:lineRule="auto"/>
        <w:jc w:val="both"/>
        <w:rPr>
          <w:rFonts w:ascii="Times New Roman" w:hAnsi="Times New Roman" w:cs="Times New Roman"/>
          <w:b/>
          <w:bCs/>
          <w:sz w:val="24"/>
          <w:szCs w:val="24"/>
        </w:rPr>
      </w:pPr>
    </w:p>
    <w:p w14:paraId="650CF916" w14:textId="6EB17AB8" w:rsidR="00571644" w:rsidRDefault="00571644" w:rsidP="00571644">
      <w:pPr>
        <w:spacing w:line="360" w:lineRule="auto"/>
        <w:ind w:firstLine="720"/>
        <w:jc w:val="both"/>
        <w:rPr>
          <w:rFonts w:ascii="Times New Roman" w:hAnsi="Times New Roman" w:cs="Times New Roman"/>
          <w:sz w:val="24"/>
          <w:szCs w:val="24"/>
        </w:rPr>
      </w:pPr>
      <w:r w:rsidRPr="003F7B12">
        <w:rPr>
          <w:rFonts w:ascii="Times New Roman" w:hAnsi="Times New Roman" w:cs="Times New Roman"/>
          <w:sz w:val="24"/>
          <w:szCs w:val="24"/>
        </w:rPr>
        <w:t xml:space="preserve">Al mostrarse un índice de solvencia tan ajustado como se observa en la </w:t>
      </w:r>
      <w:r w:rsidR="00CE59EA" w:rsidRPr="003F7B12">
        <w:rPr>
          <w:rFonts w:ascii="Times New Roman" w:hAnsi="Times New Roman" w:cs="Times New Roman"/>
          <w:sz w:val="24"/>
          <w:szCs w:val="24"/>
        </w:rPr>
        <w:t>gráfica</w:t>
      </w:r>
      <w:r w:rsidRPr="003F7B12">
        <w:rPr>
          <w:rFonts w:ascii="Times New Roman" w:hAnsi="Times New Roman" w:cs="Times New Roman"/>
          <w:sz w:val="24"/>
          <w:szCs w:val="24"/>
        </w:rPr>
        <w:t xml:space="preserve"> 12,</w:t>
      </w:r>
      <w:r w:rsidR="00CE59EA" w:rsidRPr="003F7B12">
        <w:rPr>
          <w:rFonts w:ascii="Times New Roman" w:hAnsi="Times New Roman" w:cs="Times New Roman"/>
          <w:sz w:val="24"/>
          <w:szCs w:val="24"/>
        </w:rPr>
        <w:t xml:space="preserve"> para los años 2020 y 2021</w:t>
      </w:r>
      <w:r w:rsidRPr="003F7B12">
        <w:rPr>
          <w:rFonts w:ascii="Times New Roman" w:hAnsi="Times New Roman" w:cs="Times New Roman"/>
          <w:sz w:val="24"/>
          <w:szCs w:val="24"/>
        </w:rPr>
        <w:t xml:space="preserve"> la institución </w:t>
      </w:r>
      <w:r w:rsidR="00CE59EA" w:rsidRPr="003F7B12">
        <w:rPr>
          <w:rFonts w:ascii="Times New Roman" w:hAnsi="Times New Roman" w:cs="Times New Roman"/>
          <w:sz w:val="24"/>
          <w:szCs w:val="24"/>
        </w:rPr>
        <w:t xml:space="preserve">pudo haber enfrentado serios problemas de insolvencia, aunque para los años 2022 y 2023 todavía se muestra </w:t>
      </w:r>
      <w:r w:rsidRPr="003F7B12">
        <w:rPr>
          <w:rFonts w:ascii="Times New Roman" w:hAnsi="Times New Roman" w:cs="Times New Roman"/>
          <w:sz w:val="24"/>
          <w:szCs w:val="24"/>
        </w:rPr>
        <w:t xml:space="preserve">cierta tensión financiera, </w:t>
      </w:r>
      <w:r w:rsidR="00CE59EA" w:rsidRPr="003F7B12">
        <w:rPr>
          <w:rFonts w:ascii="Times New Roman" w:hAnsi="Times New Roman" w:cs="Times New Roman"/>
          <w:sz w:val="24"/>
          <w:szCs w:val="24"/>
        </w:rPr>
        <w:t>la IMF ha logrado establecer un margen</w:t>
      </w:r>
      <w:r w:rsidR="00084E01">
        <w:rPr>
          <w:rFonts w:ascii="Times New Roman" w:hAnsi="Times New Roman" w:cs="Times New Roman"/>
          <w:sz w:val="24"/>
          <w:szCs w:val="24"/>
        </w:rPr>
        <w:t>.</w:t>
      </w:r>
    </w:p>
    <w:p w14:paraId="45BCB402" w14:textId="41EE2022" w:rsidR="00F20E91" w:rsidRDefault="003F7B12" w:rsidP="003F7B12">
      <w:pPr>
        <w:spacing w:line="360" w:lineRule="auto"/>
        <w:ind w:firstLine="720"/>
        <w:jc w:val="both"/>
        <w:rPr>
          <w:rFonts w:ascii="Times New Roman" w:hAnsi="Times New Roman" w:cs="Times New Roman"/>
          <w:sz w:val="24"/>
          <w:szCs w:val="24"/>
        </w:rPr>
      </w:pPr>
      <w:proofErr w:type="gramStart"/>
      <w:r w:rsidRPr="003F7B12">
        <w:rPr>
          <w:rFonts w:ascii="Times New Roman" w:hAnsi="Times New Roman" w:cs="Times New Roman"/>
          <w:sz w:val="24"/>
          <w:szCs w:val="24"/>
        </w:rPr>
        <w:lastRenderedPageBreak/>
        <w:t>Un ratio</w:t>
      </w:r>
      <w:proofErr w:type="gramEnd"/>
      <w:r w:rsidRPr="003F7B12">
        <w:rPr>
          <w:rFonts w:ascii="Times New Roman" w:hAnsi="Times New Roman" w:cs="Times New Roman"/>
          <w:sz w:val="24"/>
          <w:szCs w:val="24"/>
        </w:rPr>
        <w:t xml:space="preserve"> de solvencia ajustado a 1 es un indicativo de una situación financiera delicada, donde la empresa tiene justo lo necesario para cubrir sus pasivos a largo plazo. Es esencial que la empresa tome medidas para mejorar su solvencia, ya que mantener un margen de seguridad más amplio no solo reduce el riesgo financiero, sino que también mejora la confianza de inversores y prestamistas, facilitando el crecimiento y la estabilidad a largo plazo.</w:t>
      </w:r>
    </w:p>
    <w:p w14:paraId="090E56A7" w14:textId="77777777" w:rsidR="003F7B12" w:rsidRPr="003F7B12" w:rsidRDefault="003F7B12" w:rsidP="003F7B12">
      <w:pPr>
        <w:spacing w:line="360" w:lineRule="auto"/>
        <w:ind w:firstLine="720"/>
        <w:jc w:val="both"/>
        <w:rPr>
          <w:rFonts w:ascii="Times New Roman" w:hAnsi="Times New Roman" w:cs="Times New Roman"/>
          <w:sz w:val="24"/>
          <w:szCs w:val="24"/>
        </w:rPr>
      </w:pPr>
    </w:p>
    <w:p w14:paraId="704D9E66" w14:textId="77777777" w:rsidR="00B77490" w:rsidRPr="00B77490" w:rsidRDefault="00B77490" w:rsidP="00195CA2">
      <w:pPr>
        <w:pStyle w:val="Ttulo5"/>
        <w:spacing w:line="360" w:lineRule="auto"/>
        <w:ind w:firstLine="1440"/>
        <w:rPr>
          <w:rFonts w:ascii="Times New Roman" w:hAnsi="Times New Roman" w:cs="Times New Roman"/>
          <w:b/>
          <w:bCs/>
          <w:color w:val="000000" w:themeColor="text1"/>
          <w:sz w:val="24"/>
          <w:szCs w:val="24"/>
        </w:rPr>
      </w:pPr>
      <w:bookmarkStart w:id="297" w:name="_Toc175171442"/>
      <w:r w:rsidRPr="00B77490">
        <w:rPr>
          <w:rFonts w:ascii="Times New Roman" w:hAnsi="Times New Roman" w:cs="Times New Roman"/>
          <w:b/>
          <w:bCs/>
          <w:color w:val="000000" w:themeColor="text1"/>
          <w:sz w:val="24"/>
          <w:szCs w:val="24"/>
        </w:rPr>
        <w:t>4.2.3.1.4. RATIO DE APALANCAMIENTO</w:t>
      </w:r>
      <w:bookmarkEnd w:id="297"/>
    </w:p>
    <w:p w14:paraId="00ED49A1" w14:textId="39E92839" w:rsidR="00B77490" w:rsidRDefault="00B77490" w:rsidP="0010645D">
      <w:pPr>
        <w:spacing w:line="360" w:lineRule="auto"/>
        <w:ind w:firstLine="720"/>
        <w:jc w:val="both"/>
        <w:rPr>
          <w:rFonts w:ascii="Times New Roman" w:hAnsi="Times New Roman" w:cs="Times New Roman"/>
          <w:sz w:val="24"/>
          <w:szCs w:val="24"/>
        </w:rPr>
      </w:pPr>
      <w:r w:rsidRPr="00B77490">
        <w:rPr>
          <w:rFonts w:ascii="Times New Roman" w:hAnsi="Times New Roman" w:cs="Times New Roman"/>
          <w:sz w:val="24"/>
          <w:szCs w:val="24"/>
        </w:rPr>
        <w:tab/>
        <w:t xml:space="preserve">Este indicador también es conocido como ratio de endeudamiento, y es fundamental debido a que mide la proporción de activos de la empresa financiados mediante una deuda, en comparación con su patrimonio. A través, de </w:t>
      </w:r>
      <w:proofErr w:type="gramStart"/>
      <w:r w:rsidRPr="00B77490">
        <w:rPr>
          <w:rFonts w:ascii="Times New Roman" w:hAnsi="Times New Roman" w:cs="Times New Roman"/>
          <w:sz w:val="24"/>
          <w:szCs w:val="24"/>
        </w:rPr>
        <w:t>este ratio</w:t>
      </w:r>
      <w:proofErr w:type="gramEnd"/>
      <w:r w:rsidRPr="00B77490">
        <w:rPr>
          <w:rFonts w:ascii="Times New Roman" w:hAnsi="Times New Roman" w:cs="Times New Roman"/>
          <w:sz w:val="24"/>
          <w:szCs w:val="24"/>
        </w:rPr>
        <w:t xml:space="preserve"> se puede identificar el nivel de apalancamiento financiero de la empresa y su grado de dependencia del financiamiento externo.</w:t>
      </w:r>
    </w:p>
    <w:p w14:paraId="7C2EA95C" w14:textId="77777777" w:rsidR="00BA4F50" w:rsidRDefault="00BA4F50" w:rsidP="00BA4F50">
      <w:pPr>
        <w:spacing w:line="360" w:lineRule="auto"/>
        <w:ind w:firstLine="720"/>
        <w:jc w:val="both"/>
        <w:rPr>
          <w:rFonts w:ascii="Times New Roman" w:hAnsi="Times New Roman" w:cs="Times New Roman"/>
        </w:rPr>
      </w:pPr>
      <w:r>
        <w:rPr>
          <w:rFonts w:ascii="Times New Roman" w:hAnsi="Times New Roman" w:cs="Times New Roman"/>
        </w:rPr>
        <w:t>Para el cálculo de este indicador, se utilizó la siguiente formula:</w:t>
      </w:r>
    </w:p>
    <w:p w14:paraId="25241CCB" w14:textId="0F331E0D" w:rsidR="00BA4F50" w:rsidRDefault="00BA4F50" w:rsidP="00BA4F50">
      <w:pPr>
        <w:spacing w:line="360" w:lineRule="auto"/>
        <w:ind w:firstLine="720"/>
        <w:jc w:val="both"/>
        <w:rPr>
          <w:rFonts w:ascii="Times New Roman" w:hAnsi="Times New Roman" w:cs="Times New Roman"/>
          <w:b/>
          <w:bCs/>
          <w:i/>
          <w:iCs/>
        </w:rPr>
      </w:pPr>
      <w:r w:rsidRPr="00EC205E">
        <w:rPr>
          <w:rFonts w:ascii="Times New Roman" w:hAnsi="Times New Roman" w:cs="Times New Roman"/>
          <w:b/>
          <w:bCs/>
          <w:i/>
          <w:iCs/>
        </w:rPr>
        <w:t xml:space="preserve">Ratio de </w:t>
      </w:r>
      <w:r w:rsidR="00AB74B0">
        <w:rPr>
          <w:rFonts w:ascii="Times New Roman" w:hAnsi="Times New Roman" w:cs="Times New Roman"/>
          <w:b/>
          <w:bCs/>
          <w:i/>
          <w:iCs/>
        </w:rPr>
        <w:t>Apalancamiento</w:t>
      </w:r>
      <w:r w:rsidRPr="00EC205E">
        <w:rPr>
          <w:rFonts w:ascii="Times New Roman" w:hAnsi="Times New Roman" w:cs="Times New Roman"/>
          <w:b/>
          <w:bCs/>
          <w:i/>
          <w:iCs/>
        </w:rPr>
        <w:t xml:space="preserve"> = Activos / P</w:t>
      </w:r>
      <w:r>
        <w:rPr>
          <w:rFonts w:ascii="Times New Roman" w:hAnsi="Times New Roman" w:cs="Times New Roman"/>
          <w:b/>
          <w:bCs/>
          <w:i/>
          <w:iCs/>
        </w:rPr>
        <w:t>atrimonio Neto</w:t>
      </w:r>
    </w:p>
    <w:p w14:paraId="75B0014C" w14:textId="77777777" w:rsidR="00BA4F50" w:rsidRDefault="00BA4F50" w:rsidP="00BA4F50">
      <w:pPr>
        <w:spacing w:line="360" w:lineRule="auto"/>
        <w:ind w:firstLine="720"/>
        <w:jc w:val="both"/>
        <w:rPr>
          <w:rFonts w:ascii="Times New Roman" w:hAnsi="Times New Roman" w:cs="Times New Roman"/>
          <w:sz w:val="24"/>
          <w:szCs w:val="24"/>
        </w:rPr>
      </w:pPr>
    </w:p>
    <w:p w14:paraId="4B9D152D" w14:textId="6BC0D4C8" w:rsidR="00BA4F50" w:rsidRDefault="009140A7" w:rsidP="003E2058">
      <w:pPr>
        <w:spacing w:line="360" w:lineRule="auto"/>
        <w:ind w:firstLine="720"/>
        <w:jc w:val="both"/>
        <w:rPr>
          <w:rFonts w:ascii="Times New Roman" w:hAnsi="Times New Roman" w:cs="Times New Roman"/>
          <w:sz w:val="24"/>
          <w:szCs w:val="24"/>
        </w:rPr>
      </w:pPr>
      <w:r w:rsidRPr="00783048">
        <w:rPr>
          <w:rFonts w:ascii="Times New Roman" w:hAnsi="Times New Roman" w:cs="Times New Roman"/>
          <w:sz w:val="24"/>
          <w:szCs w:val="24"/>
        </w:rPr>
        <w:t xml:space="preserve">Tabla 13. Ratio de Apalancamiento microfinanciera </w:t>
      </w:r>
      <w:r w:rsidR="00E5074B" w:rsidRPr="00783048">
        <w:rPr>
          <w:rFonts w:ascii="Times New Roman" w:hAnsi="Times New Roman" w:cs="Times New Roman"/>
          <w:sz w:val="24"/>
          <w:szCs w:val="24"/>
        </w:rPr>
        <w:t>“XYZ”</w:t>
      </w:r>
      <w:r w:rsidRPr="00783048">
        <w:rPr>
          <w:rFonts w:ascii="Times New Roman" w:hAnsi="Times New Roman" w:cs="Times New Roman"/>
          <w:sz w:val="24"/>
          <w:szCs w:val="24"/>
        </w:rPr>
        <w:t xml:space="preserve"> periodo 2019-2023</w:t>
      </w:r>
      <w:r w:rsidR="00783048">
        <w:rPr>
          <w:rFonts w:ascii="Times New Roman" w:hAnsi="Times New Roman" w:cs="Times New Roman"/>
          <w:sz w:val="24"/>
          <w:szCs w:val="24"/>
        </w:rPr>
        <w:t>.</w:t>
      </w:r>
    </w:p>
    <w:tbl>
      <w:tblPr>
        <w:tblW w:w="9549" w:type="dxa"/>
        <w:tblCellMar>
          <w:left w:w="70" w:type="dxa"/>
          <w:right w:w="70" w:type="dxa"/>
        </w:tblCellMar>
        <w:tblLook w:val="04A0" w:firstRow="1" w:lastRow="0" w:firstColumn="1" w:lastColumn="0" w:noHBand="0" w:noVBand="1"/>
      </w:tblPr>
      <w:tblGrid>
        <w:gridCol w:w="2024"/>
        <w:gridCol w:w="345"/>
        <w:gridCol w:w="1436"/>
        <w:gridCol w:w="1436"/>
        <w:gridCol w:w="1436"/>
        <w:gridCol w:w="1436"/>
        <w:gridCol w:w="1436"/>
      </w:tblGrid>
      <w:tr w:rsidR="0010645D" w:rsidRPr="0010645D" w14:paraId="3E05A355" w14:textId="77777777" w:rsidTr="005141F0">
        <w:trPr>
          <w:trHeight w:val="225"/>
        </w:trPr>
        <w:tc>
          <w:tcPr>
            <w:tcW w:w="2024" w:type="dxa"/>
            <w:tcBorders>
              <w:top w:val="nil"/>
              <w:left w:val="nil"/>
              <w:bottom w:val="nil"/>
              <w:right w:val="nil"/>
            </w:tcBorders>
            <w:shd w:val="clear" w:color="auto" w:fill="auto"/>
            <w:noWrap/>
            <w:vAlign w:val="bottom"/>
            <w:hideMark/>
          </w:tcPr>
          <w:p w14:paraId="2320EA8C" w14:textId="77777777" w:rsidR="0010645D" w:rsidRPr="0010645D" w:rsidRDefault="0010645D" w:rsidP="0010645D">
            <w:pPr>
              <w:widowControl/>
              <w:rPr>
                <w:rFonts w:ascii="Times New Roman" w:eastAsia="Times New Roman" w:hAnsi="Times New Roman" w:cs="Times New Roman"/>
                <w:sz w:val="24"/>
                <w:szCs w:val="24"/>
                <w:lang w:eastAsia="es-HN"/>
              </w:rPr>
            </w:pPr>
          </w:p>
        </w:tc>
        <w:tc>
          <w:tcPr>
            <w:tcW w:w="345" w:type="dxa"/>
            <w:tcBorders>
              <w:top w:val="nil"/>
              <w:left w:val="nil"/>
              <w:bottom w:val="nil"/>
              <w:right w:val="nil"/>
            </w:tcBorders>
            <w:shd w:val="clear" w:color="auto" w:fill="auto"/>
            <w:noWrap/>
            <w:vAlign w:val="bottom"/>
            <w:hideMark/>
          </w:tcPr>
          <w:p w14:paraId="40D2D38D" w14:textId="77777777" w:rsidR="0010645D" w:rsidRPr="0010645D" w:rsidRDefault="0010645D" w:rsidP="0010645D">
            <w:pPr>
              <w:widowControl/>
              <w:rPr>
                <w:rFonts w:ascii="Times New Roman" w:eastAsia="Times New Roman" w:hAnsi="Times New Roman" w:cs="Times New Roman"/>
                <w:sz w:val="20"/>
                <w:szCs w:val="20"/>
                <w:lang w:eastAsia="es-HN"/>
              </w:rPr>
            </w:pPr>
          </w:p>
        </w:tc>
        <w:tc>
          <w:tcPr>
            <w:tcW w:w="1436" w:type="dxa"/>
            <w:tcBorders>
              <w:top w:val="nil"/>
              <w:left w:val="nil"/>
              <w:bottom w:val="nil"/>
              <w:right w:val="nil"/>
            </w:tcBorders>
            <w:shd w:val="clear" w:color="auto" w:fill="auto"/>
            <w:noWrap/>
            <w:vAlign w:val="bottom"/>
            <w:hideMark/>
          </w:tcPr>
          <w:p w14:paraId="730AA821" w14:textId="77777777" w:rsidR="0010645D" w:rsidRPr="0010645D" w:rsidRDefault="0010645D" w:rsidP="0010645D">
            <w:pPr>
              <w:widowControl/>
              <w:jc w:val="center"/>
              <w:rPr>
                <w:rFonts w:ascii="Times New Roman" w:eastAsia="Times New Roman" w:hAnsi="Times New Roman" w:cs="Times New Roman"/>
                <w:b/>
                <w:bCs/>
                <w:color w:val="000000"/>
                <w:lang w:eastAsia="es-HN"/>
              </w:rPr>
            </w:pPr>
            <w:r w:rsidRPr="0010645D">
              <w:rPr>
                <w:rFonts w:ascii="Times New Roman" w:eastAsia="Times New Roman" w:hAnsi="Times New Roman" w:cs="Times New Roman"/>
                <w:b/>
                <w:bCs/>
                <w:color w:val="000000"/>
                <w:lang w:eastAsia="es-HN"/>
              </w:rPr>
              <w:t>2019</w:t>
            </w:r>
          </w:p>
        </w:tc>
        <w:tc>
          <w:tcPr>
            <w:tcW w:w="1436" w:type="dxa"/>
            <w:tcBorders>
              <w:top w:val="nil"/>
              <w:left w:val="nil"/>
              <w:bottom w:val="nil"/>
              <w:right w:val="nil"/>
            </w:tcBorders>
            <w:shd w:val="clear" w:color="auto" w:fill="auto"/>
            <w:noWrap/>
            <w:vAlign w:val="bottom"/>
            <w:hideMark/>
          </w:tcPr>
          <w:p w14:paraId="7AE0E701" w14:textId="77777777" w:rsidR="0010645D" w:rsidRPr="0010645D" w:rsidRDefault="0010645D" w:rsidP="0010645D">
            <w:pPr>
              <w:widowControl/>
              <w:jc w:val="center"/>
              <w:rPr>
                <w:rFonts w:ascii="Times New Roman" w:eastAsia="Times New Roman" w:hAnsi="Times New Roman" w:cs="Times New Roman"/>
                <w:b/>
                <w:bCs/>
                <w:color w:val="000000"/>
                <w:lang w:eastAsia="es-HN"/>
              </w:rPr>
            </w:pPr>
            <w:r w:rsidRPr="0010645D">
              <w:rPr>
                <w:rFonts w:ascii="Times New Roman" w:eastAsia="Times New Roman" w:hAnsi="Times New Roman" w:cs="Times New Roman"/>
                <w:b/>
                <w:bCs/>
                <w:color w:val="000000"/>
                <w:lang w:eastAsia="es-HN"/>
              </w:rPr>
              <w:t>2020</w:t>
            </w:r>
          </w:p>
        </w:tc>
        <w:tc>
          <w:tcPr>
            <w:tcW w:w="1436" w:type="dxa"/>
            <w:tcBorders>
              <w:top w:val="nil"/>
              <w:left w:val="nil"/>
              <w:bottom w:val="nil"/>
              <w:right w:val="nil"/>
            </w:tcBorders>
            <w:shd w:val="clear" w:color="auto" w:fill="auto"/>
            <w:noWrap/>
            <w:vAlign w:val="bottom"/>
            <w:hideMark/>
          </w:tcPr>
          <w:p w14:paraId="210B1CA8" w14:textId="77777777" w:rsidR="0010645D" w:rsidRPr="0010645D" w:rsidRDefault="0010645D" w:rsidP="0010645D">
            <w:pPr>
              <w:widowControl/>
              <w:jc w:val="center"/>
              <w:rPr>
                <w:rFonts w:ascii="Times New Roman" w:eastAsia="Times New Roman" w:hAnsi="Times New Roman" w:cs="Times New Roman"/>
                <w:b/>
                <w:bCs/>
                <w:color w:val="000000"/>
                <w:lang w:eastAsia="es-HN"/>
              </w:rPr>
            </w:pPr>
            <w:r w:rsidRPr="0010645D">
              <w:rPr>
                <w:rFonts w:ascii="Times New Roman" w:eastAsia="Times New Roman" w:hAnsi="Times New Roman" w:cs="Times New Roman"/>
                <w:b/>
                <w:bCs/>
                <w:color w:val="000000"/>
                <w:lang w:eastAsia="es-HN"/>
              </w:rPr>
              <w:t>2021</w:t>
            </w:r>
          </w:p>
        </w:tc>
        <w:tc>
          <w:tcPr>
            <w:tcW w:w="1436" w:type="dxa"/>
            <w:tcBorders>
              <w:top w:val="nil"/>
              <w:left w:val="nil"/>
              <w:bottom w:val="nil"/>
              <w:right w:val="nil"/>
            </w:tcBorders>
            <w:shd w:val="clear" w:color="auto" w:fill="auto"/>
            <w:noWrap/>
            <w:vAlign w:val="bottom"/>
            <w:hideMark/>
          </w:tcPr>
          <w:p w14:paraId="42572648" w14:textId="77777777" w:rsidR="0010645D" w:rsidRPr="0010645D" w:rsidRDefault="0010645D" w:rsidP="0010645D">
            <w:pPr>
              <w:widowControl/>
              <w:jc w:val="center"/>
              <w:rPr>
                <w:rFonts w:ascii="Times New Roman" w:eastAsia="Times New Roman" w:hAnsi="Times New Roman" w:cs="Times New Roman"/>
                <w:b/>
                <w:bCs/>
                <w:color w:val="000000"/>
                <w:lang w:eastAsia="es-HN"/>
              </w:rPr>
            </w:pPr>
            <w:r w:rsidRPr="0010645D">
              <w:rPr>
                <w:rFonts w:ascii="Times New Roman" w:eastAsia="Times New Roman" w:hAnsi="Times New Roman" w:cs="Times New Roman"/>
                <w:b/>
                <w:bCs/>
                <w:color w:val="000000"/>
                <w:lang w:eastAsia="es-HN"/>
              </w:rPr>
              <w:t>2022</w:t>
            </w:r>
          </w:p>
        </w:tc>
        <w:tc>
          <w:tcPr>
            <w:tcW w:w="1436" w:type="dxa"/>
            <w:tcBorders>
              <w:top w:val="nil"/>
              <w:left w:val="nil"/>
              <w:bottom w:val="nil"/>
              <w:right w:val="nil"/>
            </w:tcBorders>
            <w:shd w:val="clear" w:color="auto" w:fill="auto"/>
            <w:noWrap/>
            <w:vAlign w:val="bottom"/>
            <w:hideMark/>
          </w:tcPr>
          <w:p w14:paraId="24647C6A" w14:textId="77777777" w:rsidR="0010645D" w:rsidRPr="0010645D" w:rsidRDefault="0010645D" w:rsidP="0010645D">
            <w:pPr>
              <w:widowControl/>
              <w:jc w:val="center"/>
              <w:rPr>
                <w:rFonts w:ascii="Times New Roman" w:eastAsia="Times New Roman" w:hAnsi="Times New Roman" w:cs="Times New Roman"/>
                <w:b/>
                <w:bCs/>
                <w:color w:val="000000"/>
                <w:lang w:eastAsia="es-HN"/>
              </w:rPr>
            </w:pPr>
            <w:r w:rsidRPr="0010645D">
              <w:rPr>
                <w:rFonts w:ascii="Times New Roman" w:eastAsia="Times New Roman" w:hAnsi="Times New Roman" w:cs="Times New Roman"/>
                <w:b/>
                <w:bCs/>
                <w:color w:val="000000"/>
                <w:lang w:eastAsia="es-HN"/>
              </w:rPr>
              <w:t>2023</w:t>
            </w:r>
          </w:p>
        </w:tc>
      </w:tr>
      <w:tr w:rsidR="0010645D" w:rsidRPr="0010645D" w14:paraId="6BE1F872" w14:textId="77777777" w:rsidTr="005141F0">
        <w:trPr>
          <w:trHeight w:val="225"/>
        </w:trPr>
        <w:tc>
          <w:tcPr>
            <w:tcW w:w="2024" w:type="dxa"/>
            <w:vMerge w:val="restart"/>
            <w:tcBorders>
              <w:top w:val="nil"/>
              <w:left w:val="nil"/>
              <w:bottom w:val="nil"/>
              <w:right w:val="nil"/>
            </w:tcBorders>
            <w:shd w:val="clear" w:color="auto" w:fill="auto"/>
            <w:vAlign w:val="center"/>
            <w:hideMark/>
          </w:tcPr>
          <w:p w14:paraId="7957CFE3" w14:textId="77777777" w:rsidR="0010645D" w:rsidRPr="0010645D" w:rsidRDefault="0010645D" w:rsidP="0010645D">
            <w:pPr>
              <w:widowControl/>
              <w:jc w:val="center"/>
              <w:rPr>
                <w:rFonts w:ascii="Times New Roman" w:eastAsia="Times New Roman" w:hAnsi="Times New Roman" w:cs="Times New Roman"/>
                <w:b/>
                <w:bCs/>
                <w:color w:val="000000"/>
                <w:lang w:eastAsia="es-HN"/>
              </w:rPr>
            </w:pPr>
            <w:r w:rsidRPr="0010645D">
              <w:rPr>
                <w:rFonts w:ascii="Times New Roman" w:eastAsia="Times New Roman" w:hAnsi="Times New Roman" w:cs="Times New Roman"/>
                <w:b/>
                <w:bCs/>
                <w:color w:val="000000"/>
                <w:lang w:eastAsia="es-HN"/>
              </w:rPr>
              <w:t xml:space="preserve">Ratio de Apalancamiento Financiero </w:t>
            </w:r>
          </w:p>
        </w:tc>
        <w:tc>
          <w:tcPr>
            <w:tcW w:w="345" w:type="dxa"/>
            <w:tcBorders>
              <w:top w:val="nil"/>
              <w:left w:val="nil"/>
              <w:bottom w:val="nil"/>
              <w:right w:val="nil"/>
            </w:tcBorders>
            <w:shd w:val="clear" w:color="auto" w:fill="auto"/>
            <w:noWrap/>
            <w:vAlign w:val="bottom"/>
            <w:hideMark/>
          </w:tcPr>
          <w:p w14:paraId="38CF39C4" w14:textId="77777777" w:rsidR="0010645D" w:rsidRPr="0010645D" w:rsidRDefault="0010645D" w:rsidP="0010645D">
            <w:pPr>
              <w:widowControl/>
              <w:jc w:val="center"/>
              <w:rPr>
                <w:rFonts w:ascii="Times New Roman" w:eastAsia="Times New Roman" w:hAnsi="Times New Roman" w:cs="Times New Roman"/>
                <w:color w:val="000000"/>
                <w:lang w:eastAsia="es-HN"/>
              </w:rPr>
            </w:pPr>
            <w:r w:rsidRPr="0010645D">
              <w:rPr>
                <w:rFonts w:ascii="Times New Roman" w:eastAsia="Times New Roman" w:hAnsi="Times New Roman" w:cs="Times New Roman"/>
                <w:color w:val="000000"/>
                <w:lang w:eastAsia="es-HN"/>
              </w:rPr>
              <w:t>=</w:t>
            </w:r>
          </w:p>
        </w:tc>
        <w:tc>
          <w:tcPr>
            <w:tcW w:w="1436" w:type="dxa"/>
            <w:tcBorders>
              <w:top w:val="nil"/>
              <w:left w:val="nil"/>
              <w:bottom w:val="single" w:sz="4" w:space="0" w:color="auto"/>
              <w:right w:val="nil"/>
            </w:tcBorders>
            <w:shd w:val="clear" w:color="auto" w:fill="auto"/>
            <w:noWrap/>
            <w:vAlign w:val="bottom"/>
            <w:hideMark/>
          </w:tcPr>
          <w:p w14:paraId="00E7E940" w14:textId="77777777" w:rsidR="0010645D" w:rsidRPr="0010645D" w:rsidRDefault="0010645D" w:rsidP="0010645D">
            <w:pPr>
              <w:widowControl/>
              <w:rPr>
                <w:rFonts w:ascii="Times New Roman" w:eastAsia="Times New Roman" w:hAnsi="Times New Roman" w:cs="Times New Roman"/>
                <w:color w:val="000000"/>
                <w:lang w:eastAsia="es-HN"/>
              </w:rPr>
            </w:pPr>
            <w:r w:rsidRPr="0010645D">
              <w:rPr>
                <w:rFonts w:ascii="Times New Roman" w:eastAsia="Times New Roman" w:hAnsi="Times New Roman" w:cs="Times New Roman"/>
                <w:color w:val="000000"/>
                <w:lang w:eastAsia="es-HN"/>
              </w:rPr>
              <w:t xml:space="preserve">        721,737,676 </w:t>
            </w:r>
          </w:p>
        </w:tc>
        <w:tc>
          <w:tcPr>
            <w:tcW w:w="1436" w:type="dxa"/>
            <w:tcBorders>
              <w:top w:val="nil"/>
              <w:left w:val="nil"/>
              <w:bottom w:val="single" w:sz="4" w:space="0" w:color="auto"/>
              <w:right w:val="nil"/>
            </w:tcBorders>
            <w:shd w:val="clear" w:color="auto" w:fill="auto"/>
            <w:noWrap/>
            <w:vAlign w:val="bottom"/>
            <w:hideMark/>
          </w:tcPr>
          <w:p w14:paraId="5BEBF5F2" w14:textId="77777777" w:rsidR="0010645D" w:rsidRPr="0010645D" w:rsidRDefault="0010645D" w:rsidP="0010645D">
            <w:pPr>
              <w:widowControl/>
              <w:rPr>
                <w:rFonts w:ascii="Times New Roman" w:eastAsia="Times New Roman" w:hAnsi="Times New Roman" w:cs="Times New Roman"/>
                <w:color w:val="000000"/>
                <w:lang w:eastAsia="es-HN"/>
              </w:rPr>
            </w:pPr>
            <w:r w:rsidRPr="0010645D">
              <w:rPr>
                <w:rFonts w:ascii="Times New Roman" w:eastAsia="Times New Roman" w:hAnsi="Times New Roman" w:cs="Times New Roman"/>
                <w:color w:val="000000"/>
                <w:lang w:eastAsia="es-HN"/>
              </w:rPr>
              <w:t xml:space="preserve">        515,392,357 </w:t>
            </w:r>
          </w:p>
        </w:tc>
        <w:tc>
          <w:tcPr>
            <w:tcW w:w="1436" w:type="dxa"/>
            <w:tcBorders>
              <w:top w:val="nil"/>
              <w:left w:val="nil"/>
              <w:bottom w:val="single" w:sz="4" w:space="0" w:color="auto"/>
              <w:right w:val="nil"/>
            </w:tcBorders>
            <w:shd w:val="clear" w:color="auto" w:fill="auto"/>
            <w:noWrap/>
            <w:vAlign w:val="bottom"/>
            <w:hideMark/>
          </w:tcPr>
          <w:p w14:paraId="06471983" w14:textId="77777777" w:rsidR="0010645D" w:rsidRPr="0010645D" w:rsidRDefault="0010645D" w:rsidP="0010645D">
            <w:pPr>
              <w:widowControl/>
              <w:rPr>
                <w:rFonts w:ascii="Times New Roman" w:eastAsia="Times New Roman" w:hAnsi="Times New Roman" w:cs="Times New Roman"/>
                <w:color w:val="000000"/>
                <w:lang w:eastAsia="es-HN"/>
              </w:rPr>
            </w:pPr>
            <w:r w:rsidRPr="0010645D">
              <w:rPr>
                <w:rFonts w:ascii="Times New Roman" w:eastAsia="Times New Roman" w:hAnsi="Times New Roman" w:cs="Times New Roman"/>
                <w:color w:val="000000"/>
                <w:lang w:eastAsia="es-HN"/>
              </w:rPr>
              <w:t xml:space="preserve">        349,587,800 </w:t>
            </w:r>
          </w:p>
        </w:tc>
        <w:tc>
          <w:tcPr>
            <w:tcW w:w="1436" w:type="dxa"/>
            <w:tcBorders>
              <w:top w:val="nil"/>
              <w:left w:val="nil"/>
              <w:bottom w:val="single" w:sz="4" w:space="0" w:color="auto"/>
              <w:right w:val="nil"/>
            </w:tcBorders>
            <w:shd w:val="clear" w:color="auto" w:fill="auto"/>
            <w:noWrap/>
            <w:vAlign w:val="bottom"/>
            <w:hideMark/>
          </w:tcPr>
          <w:p w14:paraId="70AA784D" w14:textId="77777777" w:rsidR="0010645D" w:rsidRPr="0010645D" w:rsidRDefault="0010645D" w:rsidP="0010645D">
            <w:pPr>
              <w:widowControl/>
              <w:rPr>
                <w:rFonts w:ascii="Times New Roman" w:eastAsia="Times New Roman" w:hAnsi="Times New Roman" w:cs="Times New Roman"/>
                <w:color w:val="000000"/>
                <w:lang w:eastAsia="es-HN"/>
              </w:rPr>
            </w:pPr>
            <w:r w:rsidRPr="0010645D">
              <w:rPr>
                <w:rFonts w:ascii="Times New Roman" w:eastAsia="Times New Roman" w:hAnsi="Times New Roman" w:cs="Times New Roman"/>
                <w:color w:val="000000"/>
                <w:lang w:eastAsia="es-HN"/>
              </w:rPr>
              <w:t xml:space="preserve">        352,126,389 </w:t>
            </w:r>
          </w:p>
        </w:tc>
        <w:tc>
          <w:tcPr>
            <w:tcW w:w="1436" w:type="dxa"/>
            <w:tcBorders>
              <w:top w:val="nil"/>
              <w:left w:val="nil"/>
              <w:bottom w:val="single" w:sz="4" w:space="0" w:color="auto"/>
              <w:right w:val="nil"/>
            </w:tcBorders>
            <w:shd w:val="clear" w:color="auto" w:fill="auto"/>
            <w:noWrap/>
            <w:vAlign w:val="bottom"/>
            <w:hideMark/>
          </w:tcPr>
          <w:p w14:paraId="56D60746" w14:textId="77777777" w:rsidR="0010645D" w:rsidRPr="0010645D" w:rsidRDefault="0010645D" w:rsidP="0010645D">
            <w:pPr>
              <w:widowControl/>
              <w:rPr>
                <w:rFonts w:ascii="Times New Roman" w:eastAsia="Times New Roman" w:hAnsi="Times New Roman" w:cs="Times New Roman"/>
                <w:color w:val="000000"/>
                <w:lang w:eastAsia="es-HN"/>
              </w:rPr>
            </w:pPr>
            <w:r w:rsidRPr="0010645D">
              <w:rPr>
                <w:rFonts w:ascii="Times New Roman" w:eastAsia="Times New Roman" w:hAnsi="Times New Roman" w:cs="Times New Roman"/>
                <w:color w:val="000000"/>
                <w:lang w:eastAsia="es-HN"/>
              </w:rPr>
              <w:t xml:space="preserve">        349,308,403 </w:t>
            </w:r>
          </w:p>
        </w:tc>
      </w:tr>
      <w:tr w:rsidR="0010645D" w:rsidRPr="0010645D" w14:paraId="0368E71F" w14:textId="77777777" w:rsidTr="005141F0">
        <w:trPr>
          <w:trHeight w:val="225"/>
        </w:trPr>
        <w:tc>
          <w:tcPr>
            <w:tcW w:w="2024" w:type="dxa"/>
            <w:vMerge/>
            <w:tcBorders>
              <w:top w:val="nil"/>
              <w:left w:val="nil"/>
              <w:bottom w:val="nil"/>
              <w:right w:val="nil"/>
            </w:tcBorders>
            <w:vAlign w:val="center"/>
            <w:hideMark/>
          </w:tcPr>
          <w:p w14:paraId="57051C75" w14:textId="77777777" w:rsidR="0010645D" w:rsidRPr="0010645D" w:rsidRDefault="0010645D" w:rsidP="0010645D">
            <w:pPr>
              <w:widowControl/>
              <w:rPr>
                <w:rFonts w:ascii="Times New Roman" w:eastAsia="Times New Roman" w:hAnsi="Times New Roman" w:cs="Times New Roman"/>
                <w:b/>
                <w:bCs/>
                <w:color w:val="000000"/>
                <w:lang w:eastAsia="es-HN"/>
              </w:rPr>
            </w:pPr>
          </w:p>
        </w:tc>
        <w:tc>
          <w:tcPr>
            <w:tcW w:w="345" w:type="dxa"/>
            <w:tcBorders>
              <w:top w:val="nil"/>
              <w:left w:val="nil"/>
              <w:bottom w:val="nil"/>
              <w:right w:val="nil"/>
            </w:tcBorders>
            <w:shd w:val="clear" w:color="auto" w:fill="auto"/>
            <w:noWrap/>
            <w:vAlign w:val="bottom"/>
            <w:hideMark/>
          </w:tcPr>
          <w:p w14:paraId="7A2195D5" w14:textId="77777777" w:rsidR="0010645D" w:rsidRPr="0010645D" w:rsidRDefault="0010645D" w:rsidP="0010645D">
            <w:pPr>
              <w:widowControl/>
              <w:rPr>
                <w:rFonts w:ascii="Times New Roman" w:eastAsia="Times New Roman" w:hAnsi="Times New Roman" w:cs="Times New Roman"/>
                <w:color w:val="000000"/>
                <w:lang w:eastAsia="es-HN"/>
              </w:rPr>
            </w:pPr>
          </w:p>
        </w:tc>
        <w:tc>
          <w:tcPr>
            <w:tcW w:w="1436" w:type="dxa"/>
            <w:tcBorders>
              <w:top w:val="nil"/>
              <w:left w:val="nil"/>
              <w:bottom w:val="nil"/>
              <w:right w:val="nil"/>
            </w:tcBorders>
            <w:shd w:val="clear" w:color="auto" w:fill="auto"/>
            <w:noWrap/>
            <w:vAlign w:val="bottom"/>
            <w:hideMark/>
          </w:tcPr>
          <w:p w14:paraId="757E0AB5" w14:textId="77777777" w:rsidR="0010645D" w:rsidRPr="0010645D" w:rsidRDefault="0010645D" w:rsidP="0010645D">
            <w:pPr>
              <w:widowControl/>
              <w:rPr>
                <w:rFonts w:ascii="Times New Roman" w:eastAsia="Times New Roman" w:hAnsi="Times New Roman" w:cs="Times New Roman"/>
                <w:color w:val="000000"/>
                <w:lang w:eastAsia="es-HN"/>
              </w:rPr>
            </w:pPr>
            <w:r w:rsidRPr="0010645D">
              <w:rPr>
                <w:rFonts w:ascii="Times New Roman" w:eastAsia="Times New Roman" w:hAnsi="Times New Roman" w:cs="Times New Roman"/>
                <w:color w:val="000000"/>
                <w:lang w:eastAsia="es-HN"/>
              </w:rPr>
              <w:t xml:space="preserve">        132,704,015 </w:t>
            </w:r>
          </w:p>
        </w:tc>
        <w:tc>
          <w:tcPr>
            <w:tcW w:w="1436" w:type="dxa"/>
            <w:tcBorders>
              <w:top w:val="nil"/>
              <w:left w:val="nil"/>
              <w:bottom w:val="nil"/>
              <w:right w:val="nil"/>
            </w:tcBorders>
            <w:shd w:val="clear" w:color="auto" w:fill="auto"/>
            <w:noWrap/>
            <w:vAlign w:val="bottom"/>
            <w:hideMark/>
          </w:tcPr>
          <w:p w14:paraId="7F6DA52E" w14:textId="77777777" w:rsidR="0010645D" w:rsidRPr="0010645D" w:rsidRDefault="0010645D" w:rsidP="0010645D">
            <w:pPr>
              <w:widowControl/>
              <w:rPr>
                <w:rFonts w:ascii="Times New Roman" w:eastAsia="Times New Roman" w:hAnsi="Times New Roman" w:cs="Times New Roman"/>
                <w:color w:val="000000"/>
                <w:lang w:eastAsia="es-HN"/>
              </w:rPr>
            </w:pPr>
            <w:r w:rsidRPr="0010645D">
              <w:rPr>
                <w:rFonts w:ascii="Times New Roman" w:eastAsia="Times New Roman" w:hAnsi="Times New Roman" w:cs="Times New Roman"/>
                <w:color w:val="000000"/>
                <w:lang w:eastAsia="es-HN"/>
              </w:rPr>
              <w:t xml:space="preserve">          63,803,739 </w:t>
            </w:r>
          </w:p>
        </w:tc>
        <w:tc>
          <w:tcPr>
            <w:tcW w:w="1436" w:type="dxa"/>
            <w:tcBorders>
              <w:top w:val="nil"/>
              <w:left w:val="nil"/>
              <w:bottom w:val="nil"/>
              <w:right w:val="nil"/>
            </w:tcBorders>
            <w:shd w:val="clear" w:color="auto" w:fill="auto"/>
            <w:noWrap/>
            <w:vAlign w:val="bottom"/>
            <w:hideMark/>
          </w:tcPr>
          <w:p w14:paraId="2C66D76A" w14:textId="77777777" w:rsidR="0010645D" w:rsidRPr="0010645D" w:rsidRDefault="0010645D" w:rsidP="0010645D">
            <w:pPr>
              <w:widowControl/>
              <w:rPr>
                <w:rFonts w:ascii="Times New Roman" w:eastAsia="Times New Roman" w:hAnsi="Times New Roman" w:cs="Times New Roman"/>
                <w:color w:val="000000"/>
                <w:lang w:eastAsia="es-HN"/>
              </w:rPr>
            </w:pPr>
            <w:r w:rsidRPr="0010645D">
              <w:rPr>
                <w:rFonts w:ascii="Times New Roman" w:eastAsia="Times New Roman" w:hAnsi="Times New Roman" w:cs="Times New Roman"/>
                <w:color w:val="000000"/>
                <w:lang w:eastAsia="es-HN"/>
              </w:rPr>
              <w:t xml:space="preserve">          31,525,216 </w:t>
            </w:r>
          </w:p>
        </w:tc>
        <w:tc>
          <w:tcPr>
            <w:tcW w:w="1436" w:type="dxa"/>
            <w:tcBorders>
              <w:top w:val="nil"/>
              <w:left w:val="nil"/>
              <w:bottom w:val="nil"/>
              <w:right w:val="nil"/>
            </w:tcBorders>
            <w:shd w:val="clear" w:color="auto" w:fill="auto"/>
            <w:noWrap/>
            <w:vAlign w:val="bottom"/>
            <w:hideMark/>
          </w:tcPr>
          <w:p w14:paraId="0062C12C" w14:textId="77777777" w:rsidR="0010645D" w:rsidRPr="0010645D" w:rsidRDefault="0010645D" w:rsidP="0010645D">
            <w:pPr>
              <w:widowControl/>
              <w:rPr>
                <w:rFonts w:ascii="Times New Roman" w:eastAsia="Times New Roman" w:hAnsi="Times New Roman" w:cs="Times New Roman"/>
                <w:color w:val="000000"/>
                <w:lang w:eastAsia="es-HN"/>
              </w:rPr>
            </w:pPr>
            <w:r w:rsidRPr="0010645D">
              <w:rPr>
                <w:rFonts w:ascii="Times New Roman" w:eastAsia="Times New Roman" w:hAnsi="Times New Roman" w:cs="Times New Roman"/>
                <w:color w:val="000000"/>
                <w:lang w:eastAsia="es-HN"/>
              </w:rPr>
              <w:t xml:space="preserve">          71,241,105 </w:t>
            </w:r>
          </w:p>
        </w:tc>
        <w:tc>
          <w:tcPr>
            <w:tcW w:w="1436" w:type="dxa"/>
            <w:tcBorders>
              <w:top w:val="nil"/>
              <w:left w:val="nil"/>
              <w:bottom w:val="nil"/>
              <w:right w:val="nil"/>
            </w:tcBorders>
            <w:shd w:val="clear" w:color="auto" w:fill="auto"/>
            <w:noWrap/>
            <w:vAlign w:val="bottom"/>
            <w:hideMark/>
          </w:tcPr>
          <w:p w14:paraId="67996948" w14:textId="77777777" w:rsidR="0010645D" w:rsidRPr="0010645D" w:rsidRDefault="0010645D" w:rsidP="0010645D">
            <w:pPr>
              <w:widowControl/>
              <w:rPr>
                <w:rFonts w:ascii="Times New Roman" w:eastAsia="Times New Roman" w:hAnsi="Times New Roman" w:cs="Times New Roman"/>
                <w:color w:val="000000"/>
                <w:lang w:eastAsia="es-HN"/>
              </w:rPr>
            </w:pPr>
            <w:r w:rsidRPr="0010645D">
              <w:rPr>
                <w:rFonts w:ascii="Times New Roman" w:eastAsia="Times New Roman" w:hAnsi="Times New Roman" w:cs="Times New Roman"/>
                <w:color w:val="000000"/>
                <w:lang w:eastAsia="es-HN"/>
              </w:rPr>
              <w:t xml:space="preserve">          62,471,814 </w:t>
            </w:r>
          </w:p>
        </w:tc>
      </w:tr>
      <w:tr w:rsidR="0010645D" w:rsidRPr="0010645D" w14:paraId="35A34326" w14:textId="77777777" w:rsidTr="005141F0">
        <w:trPr>
          <w:trHeight w:val="225"/>
        </w:trPr>
        <w:tc>
          <w:tcPr>
            <w:tcW w:w="2024" w:type="dxa"/>
            <w:vMerge/>
            <w:tcBorders>
              <w:top w:val="nil"/>
              <w:left w:val="nil"/>
              <w:bottom w:val="nil"/>
              <w:right w:val="nil"/>
            </w:tcBorders>
            <w:vAlign w:val="center"/>
            <w:hideMark/>
          </w:tcPr>
          <w:p w14:paraId="6A774AB4" w14:textId="77777777" w:rsidR="0010645D" w:rsidRPr="0010645D" w:rsidRDefault="0010645D" w:rsidP="0010645D">
            <w:pPr>
              <w:widowControl/>
              <w:rPr>
                <w:rFonts w:ascii="Times New Roman" w:eastAsia="Times New Roman" w:hAnsi="Times New Roman" w:cs="Times New Roman"/>
                <w:b/>
                <w:bCs/>
                <w:color w:val="000000"/>
                <w:lang w:eastAsia="es-HN"/>
              </w:rPr>
            </w:pPr>
          </w:p>
        </w:tc>
        <w:tc>
          <w:tcPr>
            <w:tcW w:w="345" w:type="dxa"/>
            <w:tcBorders>
              <w:top w:val="nil"/>
              <w:left w:val="nil"/>
              <w:bottom w:val="nil"/>
              <w:right w:val="nil"/>
            </w:tcBorders>
            <w:shd w:val="clear" w:color="auto" w:fill="auto"/>
            <w:noWrap/>
            <w:vAlign w:val="bottom"/>
            <w:hideMark/>
          </w:tcPr>
          <w:p w14:paraId="7D79CF4D" w14:textId="77777777" w:rsidR="0010645D" w:rsidRPr="0010645D" w:rsidRDefault="0010645D" w:rsidP="0010645D">
            <w:pPr>
              <w:widowControl/>
              <w:rPr>
                <w:rFonts w:ascii="Times New Roman" w:eastAsia="Times New Roman" w:hAnsi="Times New Roman" w:cs="Times New Roman"/>
                <w:color w:val="000000"/>
                <w:lang w:eastAsia="es-HN"/>
              </w:rPr>
            </w:pPr>
          </w:p>
        </w:tc>
        <w:tc>
          <w:tcPr>
            <w:tcW w:w="1436" w:type="dxa"/>
            <w:tcBorders>
              <w:top w:val="nil"/>
              <w:left w:val="nil"/>
              <w:bottom w:val="nil"/>
              <w:right w:val="nil"/>
            </w:tcBorders>
            <w:shd w:val="clear" w:color="000000" w:fill="CAEDFB"/>
            <w:noWrap/>
            <w:vAlign w:val="bottom"/>
            <w:hideMark/>
          </w:tcPr>
          <w:p w14:paraId="4512BD1A" w14:textId="1978F03F" w:rsidR="0010645D" w:rsidRPr="0010645D" w:rsidRDefault="0010645D" w:rsidP="006C0B8D">
            <w:pPr>
              <w:widowControl/>
              <w:jc w:val="center"/>
              <w:rPr>
                <w:rFonts w:ascii="Times New Roman" w:eastAsia="Times New Roman" w:hAnsi="Times New Roman" w:cs="Times New Roman"/>
                <w:b/>
                <w:bCs/>
                <w:color w:val="000000"/>
                <w:lang w:eastAsia="es-HN"/>
              </w:rPr>
            </w:pPr>
            <w:r w:rsidRPr="0010645D">
              <w:rPr>
                <w:rFonts w:ascii="Times New Roman" w:eastAsia="Times New Roman" w:hAnsi="Times New Roman" w:cs="Times New Roman"/>
                <w:b/>
                <w:bCs/>
                <w:color w:val="000000"/>
                <w:lang w:eastAsia="es-HN"/>
              </w:rPr>
              <w:t>5.4</w:t>
            </w:r>
          </w:p>
        </w:tc>
        <w:tc>
          <w:tcPr>
            <w:tcW w:w="1436" w:type="dxa"/>
            <w:tcBorders>
              <w:top w:val="nil"/>
              <w:left w:val="nil"/>
              <w:bottom w:val="nil"/>
              <w:right w:val="nil"/>
            </w:tcBorders>
            <w:shd w:val="clear" w:color="000000" w:fill="CAEDFB"/>
            <w:noWrap/>
            <w:vAlign w:val="bottom"/>
            <w:hideMark/>
          </w:tcPr>
          <w:p w14:paraId="7AED594C" w14:textId="17400754" w:rsidR="0010645D" w:rsidRPr="0010645D" w:rsidRDefault="0010645D" w:rsidP="006C0B8D">
            <w:pPr>
              <w:widowControl/>
              <w:jc w:val="center"/>
              <w:rPr>
                <w:rFonts w:ascii="Times New Roman" w:eastAsia="Times New Roman" w:hAnsi="Times New Roman" w:cs="Times New Roman"/>
                <w:b/>
                <w:bCs/>
                <w:color w:val="000000"/>
                <w:lang w:eastAsia="es-HN"/>
              </w:rPr>
            </w:pPr>
            <w:r w:rsidRPr="0010645D">
              <w:rPr>
                <w:rFonts w:ascii="Times New Roman" w:eastAsia="Times New Roman" w:hAnsi="Times New Roman" w:cs="Times New Roman"/>
                <w:b/>
                <w:bCs/>
                <w:color w:val="000000"/>
                <w:lang w:eastAsia="es-HN"/>
              </w:rPr>
              <w:t>8.1</w:t>
            </w:r>
          </w:p>
        </w:tc>
        <w:tc>
          <w:tcPr>
            <w:tcW w:w="1436" w:type="dxa"/>
            <w:tcBorders>
              <w:top w:val="nil"/>
              <w:left w:val="nil"/>
              <w:bottom w:val="nil"/>
              <w:right w:val="nil"/>
            </w:tcBorders>
            <w:shd w:val="clear" w:color="000000" w:fill="CAEDFB"/>
            <w:noWrap/>
            <w:vAlign w:val="bottom"/>
            <w:hideMark/>
          </w:tcPr>
          <w:p w14:paraId="7E87A40E" w14:textId="736C88A9" w:rsidR="0010645D" w:rsidRPr="0010645D" w:rsidRDefault="0010645D" w:rsidP="006C0B8D">
            <w:pPr>
              <w:widowControl/>
              <w:jc w:val="center"/>
              <w:rPr>
                <w:rFonts w:ascii="Times New Roman" w:eastAsia="Times New Roman" w:hAnsi="Times New Roman" w:cs="Times New Roman"/>
                <w:b/>
                <w:bCs/>
                <w:color w:val="000000"/>
                <w:lang w:eastAsia="es-HN"/>
              </w:rPr>
            </w:pPr>
            <w:r w:rsidRPr="0010645D">
              <w:rPr>
                <w:rFonts w:ascii="Times New Roman" w:eastAsia="Times New Roman" w:hAnsi="Times New Roman" w:cs="Times New Roman"/>
                <w:b/>
                <w:bCs/>
                <w:color w:val="000000"/>
                <w:lang w:eastAsia="es-HN"/>
              </w:rPr>
              <w:t>11.1</w:t>
            </w:r>
          </w:p>
        </w:tc>
        <w:tc>
          <w:tcPr>
            <w:tcW w:w="1436" w:type="dxa"/>
            <w:tcBorders>
              <w:top w:val="nil"/>
              <w:left w:val="nil"/>
              <w:bottom w:val="nil"/>
              <w:right w:val="nil"/>
            </w:tcBorders>
            <w:shd w:val="clear" w:color="000000" w:fill="CAEDFB"/>
            <w:noWrap/>
            <w:vAlign w:val="bottom"/>
            <w:hideMark/>
          </w:tcPr>
          <w:p w14:paraId="34AD9935" w14:textId="5CA8404D" w:rsidR="0010645D" w:rsidRPr="0010645D" w:rsidRDefault="0010645D" w:rsidP="006C0B8D">
            <w:pPr>
              <w:widowControl/>
              <w:jc w:val="center"/>
              <w:rPr>
                <w:rFonts w:ascii="Times New Roman" w:eastAsia="Times New Roman" w:hAnsi="Times New Roman" w:cs="Times New Roman"/>
                <w:b/>
                <w:bCs/>
                <w:color w:val="000000"/>
                <w:lang w:eastAsia="es-HN"/>
              </w:rPr>
            </w:pPr>
            <w:r w:rsidRPr="0010645D">
              <w:rPr>
                <w:rFonts w:ascii="Times New Roman" w:eastAsia="Times New Roman" w:hAnsi="Times New Roman" w:cs="Times New Roman"/>
                <w:b/>
                <w:bCs/>
                <w:color w:val="000000"/>
                <w:lang w:eastAsia="es-HN"/>
              </w:rPr>
              <w:t>4.9</w:t>
            </w:r>
          </w:p>
        </w:tc>
        <w:tc>
          <w:tcPr>
            <w:tcW w:w="1436" w:type="dxa"/>
            <w:tcBorders>
              <w:top w:val="nil"/>
              <w:left w:val="nil"/>
              <w:bottom w:val="nil"/>
              <w:right w:val="nil"/>
            </w:tcBorders>
            <w:shd w:val="clear" w:color="000000" w:fill="CAEDFB"/>
            <w:noWrap/>
            <w:vAlign w:val="bottom"/>
            <w:hideMark/>
          </w:tcPr>
          <w:p w14:paraId="02DB644B" w14:textId="4C4D2F1E" w:rsidR="0010645D" w:rsidRPr="0010645D" w:rsidRDefault="0010645D" w:rsidP="006C0B8D">
            <w:pPr>
              <w:widowControl/>
              <w:jc w:val="center"/>
              <w:rPr>
                <w:rFonts w:ascii="Times New Roman" w:eastAsia="Times New Roman" w:hAnsi="Times New Roman" w:cs="Times New Roman"/>
                <w:b/>
                <w:bCs/>
                <w:color w:val="000000"/>
                <w:lang w:eastAsia="es-HN"/>
              </w:rPr>
            </w:pPr>
            <w:r w:rsidRPr="0010645D">
              <w:rPr>
                <w:rFonts w:ascii="Times New Roman" w:eastAsia="Times New Roman" w:hAnsi="Times New Roman" w:cs="Times New Roman"/>
                <w:b/>
                <w:bCs/>
                <w:color w:val="000000"/>
                <w:lang w:eastAsia="es-HN"/>
              </w:rPr>
              <w:t>5.6</w:t>
            </w:r>
          </w:p>
        </w:tc>
      </w:tr>
    </w:tbl>
    <w:p w14:paraId="1FFFD321" w14:textId="5FAFE39B" w:rsidR="009140A7" w:rsidRPr="00783048" w:rsidRDefault="009140A7" w:rsidP="003E2058">
      <w:pPr>
        <w:spacing w:before="240" w:after="240" w:line="360" w:lineRule="auto"/>
        <w:ind w:firstLine="720"/>
        <w:rPr>
          <w:rFonts w:ascii="Times New Roman" w:hAnsi="Times New Roman" w:cs="Times New Roman"/>
          <w:noProof/>
          <w:sz w:val="24"/>
          <w:szCs w:val="24"/>
        </w:rPr>
      </w:pPr>
      <w:r w:rsidRPr="00783048">
        <w:rPr>
          <w:rFonts w:ascii="Times New Roman" w:hAnsi="Times New Roman" w:cs="Times New Roman"/>
          <w:sz w:val="24"/>
          <w:szCs w:val="24"/>
        </w:rPr>
        <w:t xml:space="preserve">Fuente: Elaboración propia con datos de microfinanciera </w:t>
      </w:r>
      <w:r w:rsidR="00E5074B" w:rsidRPr="00783048">
        <w:rPr>
          <w:rFonts w:ascii="Times New Roman" w:hAnsi="Times New Roman" w:cs="Times New Roman"/>
          <w:sz w:val="24"/>
          <w:szCs w:val="24"/>
        </w:rPr>
        <w:t>“XYZ”</w:t>
      </w:r>
      <w:r w:rsidRPr="00783048">
        <w:rPr>
          <w:rFonts w:ascii="Times New Roman" w:hAnsi="Times New Roman" w:cs="Times New Roman"/>
          <w:noProof/>
          <w:sz w:val="24"/>
          <w:szCs w:val="24"/>
        </w:rPr>
        <w:t>.</w:t>
      </w:r>
    </w:p>
    <w:p w14:paraId="69A30A45" w14:textId="3DFD1A53" w:rsidR="00AB74B0" w:rsidRPr="00AB74B0" w:rsidRDefault="00AB74B0" w:rsidP="00AB74B0">
      <w:pPr>
        <w:spacing w:line="360" w:lineRule="auto"/>
        <w:ind w:firstLine="720"/>
        <w:jc w:val="both"/>
        <w:rPr>
          <w:rFonts w:ascii="Times New Roman" w:hAnsi="Times New Roman" w:cs="Times New Roman"/>
          <w:sz w:val="24"/>
          <w:szCs w:val="24"/>
        </w:rPr>
      </w:pPr>
      <w:r w:rsidRPr="00AB74B0">
        <w:rPr>
          <w:rFonts w:ascii="Times New Roman" w:hAnsi="Times New Roman" w:cs="Times New Roman"/>
          <w:sz w:val="24"/>
          <w:szCs w:val="24"/>
        </w:rPr>
        <w:t>Los fondos propios disminuyeron significativamente hasta 2021, lo que contribuyó a los altos ratios de apalancamiento en 2020 y 2021. Sin embargo, hay una mejora notable en 2022.</w:t>
      </w:r>
    </w:p>
    <w:p w14:paraId="7B01831C" w14:textId="040FB61F" w:rsidR="000A7473" w:rsidRDefault="00AB74B0" w:rsidP="000A7473">
      <w:pPr>
        <w:spacing w:line="360" w:lineRule="auto"/>
        <w:ind w:firstLine="720"/>
        <w:jc w:val="both"/>
        <w:rPr>
          <w:rFonts w:ascii="Times New Roman" w:hAnsi="Times New Roman" w:cs="Times New Roman"/>
          <w:sz w:val="24"/>
          <w:szCs w:val="24"/>
        </w:rPr>
      </w:pPr>
      <w:proofErr w:type="gramStart"/>
      <w:r w:rsidRPr="00AB74B0">
        <w:rPr>
          <w:rFonts w:ascii="Times New Roman" w:hAnsi="Times New Roman" w:cs="Times New Roman"/>
          <w:sz w:val="24"/>
          <w:szCs w:val="24"/>
        </w:rPr>
        <w:t>El ratio</w:t>
      </w:r>
      <w:proofErr w:type="gramEnd"/>
      <w:r w:rsidRPr="00AB74B0">
        <w:rPr>
          <w:rFonts w:ascii="Times New Roman" w:hAnsi="Times New Roman" w:cs="Times New Roman"/>
          <w:sz w:val="24"/>
          <w:szCs w:val="24"/>
        </w:rPr>
        <w:t xml:space="preserve"> de apalancamiento mostró una tendencia ascendente preocupante hasta 2021, seguida de una mejora en 2022. La ligera subida en 2023 sugiere la necesidad de monitorear la estructura de capital para evitar un aumento en el riesgo financiero.</w:t>
      </w:r>
    </w:p>
    <w:p w14:paraId="7682BABA" w14:textId="2734BA4F" w:rsidR="0010645D" w:rsidRDefault="0010645D" w:rsidP="00272B2F">
      <w:pPr>
        <w:spacing w:line="360" w:lineRule="auto"/>
        <w:jc w:val="center"/>
        <w:rPr>
          <w:rFonts w:ascii="Times New Roman" w:hAnsi="Times New Roman" w:cs="Times New Roman"/>
          <w:sz w:val="24"/>
          <w:szCs w:val="24"/>
        </w:rPr>
      </w:pPr>
      <w:r>
        <w:rPr>
          <w:noProof/>
        </w:rPr>
        <w:lastRenderedPageBreak/>
        <w:drawing>
          <wp:inline distT="0" distB="0" distL="0" distR="0" wp14:anchorId="2CDC2AA3" wp14:editId="4D3A5634">
            <wp:extent cx="4434840" cy="2987040"/>
            <wp:effectExtent l="0" t="0" r="3810" b="3810"/>
            <wp:docPr id="197893004" name="Gráfico 1">
              <a:extLst xmlns:a="http://schemas.openxmlformats.org/drawingml/2006/main">
                <a:ext uri="{FF2B5EF4-FFF2-40B4-BE49-F238E27FC236}">
                  <a16:creationId xmlns:a16="http://schemas.microsoft.com/office/drawing/2014/main" id="{C84C68E1-F767-D59D-95E2-E52415987E11}"/>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p>
    <w:p w14:paraId="58565BDA" w14:textId="77777777" w:rsidR="00DF41E4" w:rsidRDefault="009140A7" w:rsidP="00783048">
      <w:pPr>
        <w:spacing w:line="360" w:lineRule="auto"/>
        <w:ind w:firstLine="720"/>
        <w:jc w:val="both"/>
        <w:rPr>
          <w:rFonts w:ascii="Times New Roman" w:hAnsi="Times New Roman" w:cs="Times New Roman"/>
          <w:sz w:val="24"/>
          <w:szCs w:val="24"/>
          <w:lang w:val="es-ES"/>
        </w:rPr>
      </w:pPr>
      <w:r w:rsidRPr="00783048">
        <w:rPr>
          <w:rFonts w:ascii="Times New Roman" w:hAnsi="Times New Roman" w:cs="Times New Roman"/>
          <w:sz w:val="24"/>
          <w:szCs w:val="24"/>
          <w:lang w:val="es-ES"/>
        </w:rPr>
        <w:t>Figura 13. Ratio de Apalancamiento.</w:t>
      </w:r>
    </w:p>
    <w:p w14:paraId="3096945E" w14:textId="1AFF15DE" w:rsidR="00AB74B0" w:rsidRPr="00783048" w:rsidRDefault="00DF41E4" w:rsidP="00783048">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lang w:val="es-ES"/>
        </w:rPr>
        <w:t xml:space="preserve">Fuente: </w:t>
      </w:r>
      <w:r w:rsidR="009140A7" w:rsidRPr="00783048">
        <w:rPr>
          <w:rFonts w:ascii="Times New Roman" w:hAnsi="Times New Roman" w:cs="Times New Roman"/>
          <w:sz w:val="24"/>
          <w:szCs w:val="24"/>
        </w:rPr>
        <w:t xml:space="preserve">Elaboración propia con datos de microfinanciera </w:t>
      </w:r>
      <w:r w:rsidR="00E5074B" w:rsidRPr="00783048">
        <w:rPr>
          <w:rFonts w:ascii="Times New Roman" w:hAnsi="Times New Roman" w:cs="Times New Roman"/>
          <w:sz w:val="24"/>
          <w:szCs w:val="24"/>
        </w:rPr>
        <w:t>“XYZ”</w:t>
      </w:r>
      <w:r w:rsidR="00783048">
        <w:rPr>
          <w:rFonts w:ascii="Times New Roman" w:hAnsi="Times New Roman" w:cs="Times New Roman"/>
          <w:sz w:val="24"/>
          <w:szCs w:val="24"/>
        </w:rPr>
        <w:t>.</w:t>
      </w:r>
    </w:p>
    <w:p w14:paraId="1BF0D41B" w14:textId="77777777" w:rsidR="00AB74B0" w:rsidRDefault="00AB74B0" w:rsidP="009140A7">
      <w:pPr>
        <w:spacing w:line="360" w:lineRule="auto"/>
        <w:jc w:val="both"/>
        <w:rPr>
          <w:rFonts w:ascii="Times New Roman" w:hAnsi="Times New Roman" w:cs="Times New Roman"/>
          <w:sz w:val="24"/>
          <w:szCs w:val="24"/>
        </w:rPr>
      </w:pPr>
    </w:p>
    <w:p w14:paraId="578B9D63" w14:textId="63CDFFE0" w:rsidR="00AB74B0" w:rsidRDefault="000A7473" w:rsidP="000A7473">
      <w:pPr>
        <w:spacing w:line="360" w:lineRule="auto"/>
        <w:ind w:firstLine="720"/>
        <w:jc w:val="both"/>
        <w:rPr>
          <w:rFonts w:ascii="Times New Roman" w:hAnsi="Times New Roman" w:cs="Times New Roman"/>
          <w:sz w:val="24"/>
          <w:szCs w:val="24"/>
        </w:rPr>
      </w:pPr>
      <w:proofErr w:type="gramStart"/>
      <w:r w:rsidRPr="000A7473">
        <w:rPr>
          <w:rFonts w:ascii="Times New Roman" w:hAnsi="Times New Roman" w:cs="Times New Roman"/>
          <w:sz w:val="24"/>
          <w:szCs w:val="24"/>
        </w:rPr>
        <w:t>El ratio</w:t>
      </w:r>
      <w:proofErr w:type="gramEnd"/>
      <w:r w:rsidRPr="000A7473">
        <w:rPr>
          <w:rFonts w:ascii="Times New Roman" w:hAnsi="Times New Roman" w:cs="Times New Roman"/>
          <w:sz w:val="24"/>
          <w:szCs w:val="24"/>
        </w:rPr>
        <w:t xml:space="preserve"> alcanza su punto máximo en e</w:t>
      </w:r>
      <w:r>
        <w:rPr>
          <w:rFonts w:ascii="Times New Roman" w:hAnsi="Times New Roman" w:cs="Times New Roman"/>
          <w:sz w:val="24"/>
          <w:szCs w:val="24"/>
        </w:rPr>
        <w:t>l año 2021</w:t>
      </w:r>
      <w:r w:rsidRPr="000A7473">
        <w:rPr>
          <w:rFonts w:ascii="Times New Roman" w:hAnsi="Times New Roman" w:cs="Times New Roman"/>
          <w:sz w:val="24"/>
          <w:szCs w:val="24"/>
        </w:rPr>
        <w:t xml:space="preserve">, indicando que la empresa tiene 11.1 unidades de deuda por cada unidad de fondos propios. Este nivel de apalancamiento es muy alto y puede ser </w:t>
      </w:r>
      <w:r w:rsidRPr="0078160E">
        <w:rPr>
          <w:rFonts w:ascii="Times New Roman" w:hAnsi="Times New Roman" w:cs="Times New Roman"/>
          <w:sz w:val="24"/>
          <w:szCs w:val="24"/>
        </w:rPr>
        <w:t>alarmante</w:t>
      </w:r>
      <w:r w:rsidR="0078160E" w:rsidRPr="0078160E">
        <w:rPr>
          <w:rFonts w:ascii="Times New Roman" w:hAnsi="Times New Roman" w:cs="Times New Roman"/>
          <w:sz w:val="24"/>
          <w:szCs w:val="24"/>
        </w:rPr>
        <w:t xml:space="preserve"> debido a que las pérdidas acumuladas</w:t>
      </w:r>
      <w:r w:rsidR="0078160E">
        <w:rPr>
          <w:rFonts w:ascii="Times New Roman" w:hAnsi="Times New Roman" w:cs="Times New Roman"/>
          <w:sz w:val="24"/>
          <w:szCs w:val="24"/>
        </w:rPr>
        <w:t xml:space="preserve"> redujeron de manera significativa el patrimonio de la empresa</w:t>
      </w:r>
      <w:r w:rsidRPr="0078160E">
        <w:rPr>
          <w:rFonts w:ascii="Times New Roman" w:hAnsi="Times New Roman" w:cs="Times New Roman"/>
          <w:sz w:val="24"/>
          <w:szCs w:val="24"/>
        </w:rPr>
        <w:t>,</w:t>
      </w:r>
      <w:r w:rsidRPr="000A7473">
        <w:rPr>
          <w:rFonts w:ascii="Times New Roman" w:hAnsi="Times New Roman" w:cs="Times New Roman"/>
          <w:sz w:val="24"/>
          <w:szCs w:val="24"/>
        </w:rPr>
        <w:t xml:space="preserve"> sugiriendo una dependencia extrema del financiamiento mediante deuda</w:t>
      </w:r>
      <w:r w:rsidR="00375397">
        <w:rPr>
          <w:rFonts w:ascii="Times New Roman" w:hAnsi="Times New Roman" w:cs="Times New Roman"/>
          <w:sz w:val="24"/>
          <w:szCs w:val="24"/>
        </w:rPr>
        <w:t>.</w:t>
      </w:r>
    </w:p>
    <w:p w14:paraId="399F595A" w14:textId="461ACA26" w:rsidR="000A7473" w:rsidRPr="000A7473" w:rsidRDefault="000A7473" w:rsidP="000A7473">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Así como se muestra en la gráfica, l</w:t>
      </w:r>
      <w:r w:rsidRPr="000A7473">
        <w:rPr>
          <w:rFonts w:ascii="Times New Roman" w:hAnsi="Times New Roman" w:cs="Times New Roman"/>
          <w:sz w:val="24"/>
          <w:szCs w:val="24"/>
        </w:rPr>
        <w:t>a empresa experimenta un aumento del apalancamiento financiero desde 2019 hasta 2021, alcanzando un pico en 2021. Posteriormente, se observa una reducción significativa en 2022</w:t>
      </w:r>
      <w:r w:rsidR="00784F88">
        <w:rPr>
          <w:rFonts w:ascii="Times New Roman" w:hAnsi="Times New Roman" w:cs="Times New Roman"/>
          <w:sz w:val="24"/>
          <w:szCs w:val="24"/>
        </w:rPr>
        <w:t xml:space="preserve">, alcanzando un indicador del 4.9 debido a que se recibe un nuevo aporte de los socios, incrementando de esta manera el patrimonio neto de la IMF, </w:t>
      </w:r>
      <w:r w:rsidRPr="000A7473">
        <w:rPr>
          <w:rFonts w:ascii="Times New Roman" w:hAnsi="Times New Roman" w:cs="Times New Roman"/>
          <w:sz w:val="24"/>
          <w:szCs w:val="24"/>
        </w:rPr>
        <w:t xml:space="preserve">y </w:t>
      </w:r>
      <w:r w:rsidR="00375397">
        <w:rPr>
          <w:rFonts w:ascii="Times New Roman" w:hAnsi="Times New Roman" w:cs="Times New Roman"/>
          <w:sz w:val="24"/>
          <w:szCs w:val="24"/>
        </w:rPr>
        <w:t xml:space="preserve">se observa </w:t>
      </w:r>
      <w:r w:rsidRPr="000A7473">
        <w:rPr>
          <w:rFonts w:ascii="Times New Roman" w:hAnsi="Times New Roman" w:cs="Times New Roman"/>
          <w:sz w:val="24"/>
          <w:szCs w:val="24"/>
        </w:rPr>
        <w:t xml:space="preserve">un ligero incremento </w:t>
      </w:r>
      <w:r w:rsidR="00375397">
        <w:rPr>
          <w:rFonts w:ascii="Times New Roman" w:hAnsi="Times New Roman" w:cs="Times New Roman"/>
          <w:sz w:val="24"/>
          <w:szCs w:val="24"/>
        </w:rPr>
        <w:t xml:space="preserve">de este indicador </w:t>
      </w:r>
      <w:r w:rsidRPr="000A7473">
        <w:rPr>
          <w:rFonts w:ascii="Times New Roman" w:hAnsi="Times New Roman" w:cs="Times New Roman"/>
          <w:sz w:val="24"/>
          <w:szCs w:val="24"/>
        </w:rPr>
        <w:t>en 2023</w:t>
      </w:r>
      <w:r w:rsidR="00375397">
        <w:rPr>
          <w:rFonts w:ascii="Times New Roman" w:hAnsi="Times New Roman" w:cs="Times New Roman"/>
          <w:sz w:val="24"/>
          <w:szCs w:val="24"/>
        </w:rPr>
        <w:t xml:space="preserve">, alcanzando un 5.6 debido a las </w:t>
      </w:r>
      <w:r w:rsidR="00783048">
        <w:rPr>
          <w:rFonts w:ascii="Times New Roman" w:hAnsi="Times New Roman" w:cs="Times New Roman"/>
          <w:sz w:val="24"/>
          <w:szCs w:val="24"/>
        </w:rPr>
        <w:t>pérdidas</w:t>
      </w:r>
      <w:r w:rsidR="00375397">
        <w:rPr>
          <w:rFonts w:ascii="Times New Roman" w:hAnsi="Times New Roman" w:cs="Times New Roman"/>
          <w:sz w:val="24"/>
          <w:szCs w:val="24"/>
        </w:rPr>
        <w:t xml:space="preserve"> generadas en dicho año.</w:t>
      </w:r>
    </w:p>
    <w:p w14:paraId="3133B547" w14:textId="1C00CA17" w:rsidR="000A7473" w:rsidRPr="000A7473" w:rsidRDefault="000A7473" w:rsidP="000A7473">
      <w:pPr>
        <w:spacing w:line="360" w:lineRule="auto"/>
        <w:ind w:firstLine="720"/>
        <w:jc w:val="both"/>
        <w:rPr>
          <w:rFonts w:ascii="Times New Roman" w:hAnsi="Times New Roman" w:cs="Times New Roman"/>
          <w:sz w:val="24"/>
          <w:szCs w:val="24"/>
        </w:rPr>
      </w:pPr>
      <w:r w:rsidRPr="000A7473">
        <w:rPr>
          <w:rFonts w:ascii="Times New Roman" w:hAnsi="Times New Roman" w:cs="Times New Roman"/>
          <w:sz w:val="24"/>
          <w:szCs w:val="24"/>
        </w:rPr>
        <w:t>Los años 2020 y 2021 representan períodos de alto riesgo financiero debido al elevado nivel de deuda. La reducción en 2022 sugiere una respuesta estratégica a este riesgo.</w:t>
      </w:r>
    </w:p>
    <w:p w14:paraId="6C04D19B" w14:textId="0CC9FEE1" w:rsidR="00AB74B0" w:rsidRDefault="000A7473" w:rsidP="00783048">
      <w:pPr>
        <w:spacing w:line="360" w:lineRule="auto"/>
        <w:ind w:firstLine="720"/>
        <w:jc w:val="both"/>
        <w:rPr>
          <w:rFonts w:ascii="Times New Roman" w:hAnsi="Times New Roman" w:cs="Times New Roman"/>
          <w:sz w:val="24"/>
          <w:szCs w:val="24"/>
        </w:rPr>
      </w:pPr>
      <w:r w:rsidRPr="000A7473">
        <w:rPr>
          <w:rFonts w:ascii="Times New Roman" w:hAnsi="Times New Roman" w:cs="Times New Roman"/>
          <w:sz w:val="24"/>
          <w:szCs w:val="24"/>
        </w:rPr>
        <w:t>Aunque el apalancamiento en 2023 es mayor que en 2022, sigue siendo mucho más manejable que en los años de mayor apalancamiento. Esto indica una gestión más prudente de la estructura de capital.</w:t>
      </w:r>
    </w:p>
    <w:p w14:paraId="514B340E" w14:textId="77777777" w:rsidR="00B77490" w:rsidRPr="00B77490" w:rsidRDefault="00B77490" w:rsidP="001E4EB3">
      <w:pPr>
        <w:pStyle w:val="Ttulo3"/>
        <w:spacing w:line="360" w:lineRule="auto"/>
        <w:ind w:left="0" w:firstLine="720"/>
      </w:pPr>
      <w:bookmarkStart w:id="298" w:name="_Toc166705831"/>
      <w:bookmarkStart w:id="299" w:name="_Toc175171443"/>
      <w:r w:rsidRPr="00B77490">
        <w:lastRenderedPageBreak/>
        <w:t>4.2.4 MOROSIDAD</w:t>
      </w:r>
      <w:bookmarkEnd w:id="298"/>
      <w:bookmarkEnd w:id="299"/>
    </w:p>
    <w:p w14:paraId="2AB523D4" w14:textId="340BB320" w:rsidR="00B77490" w:rsidRPr="00272B2F" w:rsidRDefault="00B77490" w:rsidP="00272B2F">
      <w:pPr>
        <w:spacing w:line="360" w:lineRule="auto"/>
        <w:ind w:firstLine="720"/>
        <w:jc w:val="both"/>
        <w:rPr>
          <w:rFonts w:ascii="Times New Roman" w:hAnsi="Times New Roman" w:cs="Times New Roman"/>
          <w:sz w:val="24"/>
          <w:szCs w:val="24"/>
        </w:rPr>
      </w:pPr>
      <w:r w:rsidRPr="00B77490">
        <w:rPr>
          <w:rFonts w:ascii="Times New Roman" w:hAnsi="Times New Roman" w:cs="Times New Roman"/>
          <w:sz w:val="24"/>
          <w:szCs w:val="24"/>
        </w:rPr>
        <w:t>La morosidad es un tema crucial en el ámbito financiero debido a que tiene un impacto significativo en la salud económica de la empresa, por lo que, se requiere de especial atención y seguimiento a los controles para evitar que las instituciones financieras como a los prestatarios. Esta se refiere al incumplimiento en el pago de las obligaciones financieras en el plazo acordado</w:t>
      </w:r>
      <w:r w:rsidR="00195CA2">
        <w:rPr>
          <w:rFonts w:ascii="Times New Roman" w:hAnsi="Times New Roman" w:cs="Times New Roman"/>
          <w:sz w:val="24"/>
          <w:szCs w:val="24"/>
        </w:rPr>
        <w:t>.</w:t>
      </w:r>
      <w:r w:rsidRPr="00B77490">
        <w:rPr>
          <w:rFonts w:ascii="Times New Roman" w:hAnsi="Times New Roman" w:cs="Times New Roman"/>
          <w:sz w:val="24"/>
          <w:szCs w:val="24"/>
        </w:rPr>
        <w:t xml:space="preserve">  </w:t>
      </w:r>
    </w:p>
    <w:p w14:paraId="022C3B69" w14:textId="77777777" w:rsidR="00B77490" w:rsidRPr="00B77490" w:rsidRDefault="00B77490" w:rsidP="00195CA2">
      <w:pPr>
        <w:spacing w:line="360" w:lineRule="auto"/>
        <w:jc w:val="both"/>
        <w:rPr>
          <w:rFonts w:ascii="Times New Roman" w:hAnsi="Times New Roman" w:cs="Times New Roman"/>
          <w:b/>
          <w:bCs/>
          <w:sz w:val="24"/>
          <w:szCs w:val="24"/>
        </w:rPr>
      </w:pPr>
    </w:p>
    <w:p w14:paraId="75EFD1E1" w14:textId="77777777" w:rsidR="00B77490" w:rsidRDefault="00B77490" w:rsidP="00195CA2">
      <w:pPr>
        <w:pStyle w:val="Ttulo4"/>
        <w:spacing w:line="360" w:lineRule="auto"/>
        <w:ind w:left="0" w:firstLine="1440"/>
      </w:pPr>
      <w:bookmarkStart w:id="300" w:name="_Toc166705832"/>
      <w:bookmarkStart w:id="301" w:name="_Toc175171444"/>
      <w:r w:rsidRPr="00B77490">
        <w:t>4.2.4.1 DIMENSION CONTABLE</w:t>
      </w:r>
      <w:bookmarkEnd w:id="300"/>
      <w:bookmarkEnd w:id="301"/>
    </w:p>
    <w:p w14:paraId="33DCD137" w14:textId="6596CC74" w:rsidR="0081027F" w:rsidRDefault="0081027F" w:rsidP="0081027F">
      <w:pPr>
        <w:pStyle w:val="TextoPrincipal"/>
        <w:spacing w:line="360" w:lineRule="auto"/>
      </w:pPr>
      <w:r w:rsidRPr="0081027F">
        <w:t xml:space="preserve">La dimensión contable es una herramienta que se utiliza para agrupar datos e información de manera sistemática y funcional respecto de lo que se busca medir y controlar. Esta dimensión es fundamental debido a que permite organizar y analizar la información financiera de la empresa, propiciando una gestión eficiente del dinero y una toma de decisiones informada. Dentro de esta dimensión se ha realizado el desarrollo y análisis de los índices de mora mayor a ocho (8) y treinta (30) días, además, el indicador de incobrabilidad. </w:t>
      </w:r>
    </w:p>
    <w:p w14:paraId="3EA721B5" w14:textId="77777777" w:rsidR="0081027F" w:rsidRPr="0081027F" w:rsidRDefault="0081027F" w:rsidP="0081027F">
      <w:pPr>
        <w:pStyle w:val="TextoPrincipal"/>
        <w:spacing w:line="360" w:lineRule="auto"/>
      </w:pPr>
    </w:p>
    <w:p w14:paraId="46E9A24D" w14:textId="77777777" w:rsidR="00B77490" w:rsidRPr="00195CA2" w:rsidRDefault="00B77490" w:rsidP="00195CA2">
      <w:pPr>
        <w:pStyle w:val="Ttulo5"/>
        <w:spacing w:line="360" w:lineRule="auto"/>
        <w:ind w:firstLine="1440"/>
        <w:rPr>
          <w:rFonts w:ascii="Times New Roman" w:hAnsi="Times New Roman" w:cs="Times New Roman"/>
          <w:b/>
          <w:bCs/>
        </w:rPr>
      </w:pPr>
      <w:bookmarkStart w:id="302" w:name="_Toc175171445"/>
      <w:r w:rsidRPr="00195CA2">
        <w:rPr>
          <w:rFonts w:ascii="Times New Roman" w:hAnsi="Times New Roman" w:cs="Times New Roman"/>
          <w:b/>
          <w:bCs/>
          <w:color w:val="000000" w:themeColor="text1"/>
          <w:sz w:val="24"/>
          <w:szCs w:val="24"/>
        </w:rPr>
        <w:t>4.2.4.1.1. INDICE DE MORA MAYOR A 8 DIAS</w:t>
      </w:r>
      <w:bookmarkEnd w:id="302"/>
    </w:p>
    <w:p w14:paraId="5AA97455" w14:textId="77777777" w:rsidR="0081027F" w:rsidRPr="0081027F" w:rsidRDefault="0081027F" w:rsidP="00D20F36">
      <w:pPr>
        <w:spacing w:line="360" w:lineRule="auto"/>
        <w:ind w:firstLine="720"/>
        <w:jc w:val="both"/>
        <w:rPr>
          <w:rFonts w:ascii="Times New Roman" w:hAnsi="Times New Roman" w:cs="Times New Roman"/>
          <w:sz w:val="24"/>
          <w:szCs w:val="24"/>
        </w:rPr>
      </w:pPr>
      <w:r w:rsidRPr="0081027F">
        <w:rPr>
          <w:rFonts w:ascii="Times New Roman" w:hAnsi="Times New Roman" w:cs="Times New Roman"/>
          <w:sz w:val="24"/>
          <w:szCs w:val="24"/>
        </w:rPr>
        <w:t>Este indicador muestra el nivel de la cartera que ha caído en incumplimiento mayor a 8 días con relación a la cartera crediticia. Además, mide la eficacia de cobro o recuperación de la cartera. En la medida que este indicador sea menor la IMF afrontara menos problemas de liquidez y solvencia.</w:t>
      </w:r>
    </w:p>
    <w:p w14:paraId="14E9D357" w14:textId="77777777" w:rsidR="0081027F" w:rsidRDefault="00A90B85" w:rsidP="00A90B85">
      <w:pPr>
        <w:spacing w:line="360" w:lineRule="auto"/>
        <w:ind w:firstLine="720"/>
        <w:jc w:val="both"/>
        <w:rPr>
          <w:rFonts w:ascii="Times New Roman" w:hAnsi="Times New Roman" w:cs="Times New Roman"/>
          <w:sz w:val="24"/>
          <w:szCs w:val="24"/>
        </w:rPr>
      </w:pPr>
      <w:r w:rsidRPr="00A90B85">
        <w:rPr>
          <w:rFonts w:ascii="Times New Roman" w:hAnsi="Times New Roman" w:cs="Times New Roman"/>
          <w:sz w:val="24"/>
          <w:szCs w:val="24"/>
        </w:rPr>
        <w:t>La fórmula utilizada para determinar este indicador es la siguiente:</w:t>
      </w:r>
    </w:p>
    <w:p w14:paraId="40340A46" w14:textId="7696DEAF" w:rsidR="00A90B85" w:rsidRDefault="00A90B85" w:rsidP="00A90B85">
      <w:pPr>
        <w:spacing w:line="360" w:lineRule="auto"/>
        <w:ind w:firstLine="720"/>
        <w:jc w:val="both"/>
        <w:rPr>
          <w:rFonts w:ascii="Times New Roman" w:hAnsi="Times New Roman" w:cs="Times New Roman"/>
          <w:b/>
          <w:bCs/>
          <w:i/>
          <w:iCs/>
          <w:sz w:val="24"/>
          <w:szCs w:val="24"/>
        </w:rPr>
      </w:pPr>
      <w:r w:rsidRPr="00BA4F50">
        <w:rPr>
          <w:rFonts w:ascii="Times New Roman" w:hAnsi="Times New Roman" w:cs="Times New Roman"/>
          <w:b/>
          <w:bCs/>
          <w:i/>
          <w:iCs/>
          <w:sz w:val="24"/>
          <w:szCs w:val="24"/>
        </w:rPr>
        <w:t>Índice Mora Mayor a 8 días = Créditos en Mora &gt; 8 días / Cartera Crediticia</w:t>
      </w:r>
    </w:p>
    <w:p w14:paraId="4A7A5A41" w14:textId="77777777" w:rsidR="009140A7" w:rsidRPr="00BA4F50" w:rsidRDefault="009140A7" w:rsidP="00A90B85">
      <w:pPr>
        <w:spacing w:line="360" w:lineRule="auto"/>
        <w:ind w:firstLine="720"/>
        <w:jc w:val="both"/>
        <w:rPr>
          <w:rFonts w:ascii="Times New Roman" w:hAnsi="Times New Roman" w:cs="Times New Roman"/>
          <w:b/>
          <w:bCs/>
          <w:i/>
          <w:iCs/>
          <w:sz w:val="24"/>
          <w:szCs w:val="24"/>
        </w:rPr>
      </w:pPr>
    </w:p>
    <w:p w14:paraId="3EFB12F0" w14:textId="3C43C6DE" w:rsidR="009140A7" w:rsidRPr="00783048" w:rsidRDefault="009140A7" w:rsidP="00783048">
      <w:pPr>
        <w:spacing w:line="360" w:lineRule="auto"/>
        <w:ind w:firstLine="720"/>
        <w:jc w:val="both"/>
        <w:rPr>
          <w:rFonts w:ascii="Times New Roman" w:hAnsi="Times New Roman" w:cs="Times New Roman"/>
          <w:sz w:val="24"/>
          <w:szCs w:val="24"/>
        </w:rPr>
      </w:pPr>
      <w:r w:rsidRPr="00783048">
        <w:rPr>
          <w:rFonts w:ascii="Times New Roman" w:hAnsi="Times New Roman" w:cs="Times New Roman"/>
          <w:sz w:val="24"/>
          <w:szCs w:val="24"/>
        </w:rPr>
        <w:t xml:space="preserve">Tabla 14. Índice de Mora mayor a 8 días microfinanciera </w:t>
      </w:r>
      <w:r w:rsidR="00E5074B" w:rsidRPr="00783048">
        <w:rPr>
          <w:rFonts w:ascii="Times New Roman" w:hAnsi="Times New Roman" w:cs="Times New Roman"/>
          <w:sz w:val="24"/>
          <w:szCs w:val="24"/>
        </w:rPr>
        <w:t>“XYZ”</w:t>
      </w:r>
      <w:r w:rsidRPr="00783048">
        <w:rPr>
          <w:rFonts w:ascii="Times New Roman" w:hAnsi="Times New Roman" w:cs="Times New Roman"/>
          <w:sz w:val="24"/>
          <w:szCs w:val="24"/>
        </w:rPr>
        <w:t xml:space="preserve"> periodo 2019-2023</w:t>
      </w:r>
      <w:r w:rsidR="00783048" w:rsidRPr="00783048">
        <w:rPr>
          <w:rFonts w:ascii="Times New Roman" w:hAnsi="Times New Roman" w:cs="Times New Roman"/>
          <w:sz w:val="24"/>
          <w:szCs w:val="24"/>
        </w:rPr>
        <w:t>.</w:t>
      </w:r>
    </w:p>
    <w:tbl>
      <w:tblPr>
        <w:tblW w:w="9363" w:type="dxa"/>
        <w:tblCellMar>
          <w:left w:w="70" w:type="dxa"/>
          <w:right w:w="70" w:type="dxa"/>
        </w:tblCellMar>
        <w:tblLook w:val="04A0" w:firstRow="1" w:lastRow="0" w:firstColumn="1" w:lastColumn="0" w:noHBand="0" w:noVBand="1"/>
      </w:tblPr>
      <w:tblGrid>
        <w:gridCol w:w="2142"/>
        <w:gridCol w:w="331"/>
        <w:gridCol w:w="1378"/>
        <w:gridCol w:w="1378"/>
        <w:gridCol w:w="1378"/>
        <w:gridCol w:w="1378"/>
        <w:gridCol w:w="1378"/>
      </w:tblGrid>
      <w:tr w:rsidR="0010645D" w:rsidRPr="0010645D" w14:paraId="447BF5F3" w14:textId="77777777" w:rsidTr="0010645D">
        <w:trPr>
          <w:trHeight w:val="240"/>
        </w:trPr>
        <w:tc>
          <w:tcPr>
            <w:tcW w:w="2142" w:type="dxa"/>
            <w:tcBorders>
              <w:top w:val="nil"/>
              <w:left w:val="nil"/>
              <w:bottom w:val="nil"/>
              <w:right w:val="nil"/>
            </w:tcBorders>
            <w:shd w:val="clear" w:color="auto" w:fill="auto"/>
            <w:noWrap/>
            <w:vAlign w:val="bottom"/>
            <w:hideMark/>
          </w:tcPr>
          <w:p w14:paraId="47CB3AD6" w14:textId="77777777" w:rsidR="0010645D" w:rsidRPr="0010645D" w:rsidRDefault="0010645D" w:rsidP="0010645D">
            <w:pPr>
              <w:widowControl/>
              <w:rPr>
                <w:rFonts w:ascii="Times New Roman" w:eastAsia="Times New Roman" w:hAnsi="Times New Roman" w:cs="Times New Roman"/>
                <w:sz w:val="24"/>
                <w:szCs w:val="24"/>
                <w:lang w:eastAsia="es-HN"/>
              </w:rPr>
            </w:pPr>
          </w:p>
        </w:tc>
        <w:tc>
          <w:tcPr>
            <w:tcW w:w="331" w:type="dxa"/>
            <w:tcBorders>
              <w:top w:val="nil"/>
              <w:left w:val="nil"/>
              <w:bottom w:val="nil"/>
              <w:right w:val="nil"/>
            </w:tcBorders>
            <w:shd w:val="clear" w:color="auto" w:fill="auto"/>
            <w:noWrap/>
            <w:vAlign w:val="bottom"/>
            <w:hideMark/>
          </w:tcPr>
          <w:p w14:paraId="5A9D0A65" w14:textId="77777777" w:rsidR="0010645D" w:rsidRPr="0010645D" w:rsidRDefault="0010645D" w:rsidP="0010645D">
            <w:pPr>
              <w:widowControl/>
              <w:rPr>
                <w:rFonts w:ascii="Times New Roman" w:eastAsia="Times New Roman" w:hAnsi="Times New Roman" w:cs="Times New Roman"/>
                <w:sz w:val="20"/>
                <w:szCs w:val="20"/>
                <w:lang w:eastAsia="es-HN"/>
              </w:rPr>
            </w:pPr>
          </w:p>
        </w:tc>
        <w:tc>
          <w:tcPr>
            <w:tcW w:w="1378" w:type="dxa"/>
            <w:tcBorders>
              <w:top w:val="nil"/>
              <w:left w:val="nil"/>
              <w:bottom w:val="nil"/>
              <w:right w:val="nil"/>
            </w:tcBorders>
            <w:shd w:val="clear" w:color="auto" w:fill="auto"/>
            <w:noWrap/>
            <w:vAlign w:val="bottom"/>
            <w:hideMark/>
          </w:tcPr>
          <w:p w14:paraId="55A498AF" w14:textId="77777777" w:rsidR="0010645D" w:rsidRPr="0010645D" w:rsidRDefault="0010645D" w:rsidP="0010645D">
            <w:pPr>
              <w:widowControl/>
              <w:jc w:val="center"/>
              <w:rPr>
                <w:rFonts w:ascii="Times New Roman" w:eastAsia="Times New Roman" w:hAnsi="Times New Roman" w:cs="Times New Roman"/>
                <w:b/>
                <w:bCs/>
                <w:color w:val="000000"/>
                <w:lang w:eastAsia="es-HN"/>
              </w:rPr>
            </w:pPr>
            <w:r w:rsidRPr="0010645D">
              <w:rPr>
                <w:rFonts w:ascii="Times New Roman" w:eastAsia="Times New Roman" w:hAnsi="Times New Roman" w:cs="Times New Roman"/>
                <w:b/>
                <w:bCs/>
                <w:color w:val="000000"/>
                <w:lang w:eastAsia="es-HN"/>
              </w:rPr>
              <w:t>2019</w:t>
            </w:r>
          </w:p>
        </w:tc>
        <w:tc>
          <w:tcPr>
            <w:tcW w:w="1378" w:type="dxa"/>
            <w:tcBorders>
              <w:top w:val="nil"/>
              <w:left w:val="nil"/>
              <w:bottom w:val="nil"/>
              <w:right w:val="nil"/>
            </w:tcBorders>
            <w:shd w:val="clear" w:color="auto" w:fill="auto"/>
            <w:noWrap/>
            <w:vAlign w:val="bottom"/>
            <w:hideMark/>
          </w:tcPr>
          <w:p w14:paraId="2682632B" w14:textId="77777777" w:rsidR="0010645D" w:rsidRPr="0010645D" w:rsidRDefault="0010645D" w:rsidP="0010645D">
            <w:pPr>
              <w:widowControl/>
              <w:jc w:val="center"/>
              <w:rPr>
                <w:rFonts w:ascii="Times New Roman" w:eastAsia="Times New Roman" w:hAnsi="Times New Roman" w:cs="Times New Roman"/>
                <w:b/>
                <w:bCs/>
                <w:color w:val="000000"/>
                <w:lang w:eastAsia="es-HN"/>
              </w:rPr>
            </w:pPr>
            <w:r w:rsidRPr="0010645D">
              <w:rPr>
                <w:rFonts w:ascii="Times New Roman" w:eastAsia="Times New Roman" w:hAnsi="Times New Roman" w:cs="Times New Roman"/>
                <w:b/>
                <w:bCs/>
                <w:color w:val="000000"/>
                <w:lang w:eastAsia="es-HN"/>
              </w:rPr>
              <w:t>2020</w:t>
            </w:r>
          </w:p>
        </w:tc>
        <w:tc>
          <w:tcPr>
            <w:tcW w:w="1378" w:type="dxa"/>
            <w:tcBorders>
              <w:top w:val="nil"/>
              <w:left w:val="nil"/>
              <w:bottom w:val="nil"/>
              <w:right w:val="nil"/>
            </w:tcBorders>
            <w:shd w:val="clear" w:color="auto" w:fill="auto"/>
            <w:noWrap/>
            <w:vAlign w:val="bottom"/>
            <w:hideMark/>
          </w:tcPr>
          <w:p w14:paraId="73232A2E" w14:textId="77777777" w:rsidR="0010645D" w:rsidRPr="0010645D" w:rsidRDefault="0010645D" w:rsidP="0010645D">
            <w:pPr>
              <w:widowControl/>
              <w:jc w:val="center"/>
              <w:rPr>
                <w:rFonts w:ascii="Times New Roman" w:eastAsia="Times New Roman" w:hAnsi="Times New Roman" w:cs="Times New Roman"/>
                <w:b/>
                <w:bCs/>
                <w:color w:val="000000"/>
                <w:lang w:eastAsia="es-HN"/>
              </w:rPr>
            </w:pPr>
            <w:r w:rsidRPr="0010645D">
              <w:rPr>
                <w:rFonts w:ascii="Times New Roman" w:eastAsia="Times New Roman" w:hAnsi="Times New Roman" w:cs="Times New Roman"/>
                <w:b/>
                <w:bCs/>
                <w:color w:val="000000"/>
                <w:lang w:eastAsia="es-HN"/>
              </w:rPr>
              <w:t>2021</w:t>
            </w:r>
          </w:p>
        </w:tc>
        <w:tc>
          <w:tcPr>
            <w:tcW w:w="1378" w:type="dxa"/>
            <w:tcBorders>
              <w:top w:val="nil"/>
              <w:left w:val="nil"/>
              <w:bottom w:val="nil"/>
              <w:right w:val="nil"/>
            </w:tcBorders>
            <w:shd w:val="clear" w:color="auto" w:fill="auto"/>
            <w:noWrap/>
            <w:vAlign w:val="bottom"/>
            <w:hideMark/>
          </w:tcPr>
          <w:p w14:paraId="27162471" w14:textId="77777777" w:rsidR="0010645D" w:rsidRPr="0010645D" w:rsidRDefault="0010645D" w:rsidP="0010645D">
            <w:pPr>
              <w:widowControl/>
              <w:jc w:val="center"/>
              <w:rPr>
                <w:rFonts w:ascii="Times New Roman" w:eastAsia="Times New Roman" w:hAnsi="Times New Roman" w:cs="Times New Roman"/>
                <w:b/>
                <w:bCs/>
                <w:color w:val="000000"/>
                <w:lang w:eastAsia="es-HN"/>
              </w:rPr>
            </w:pPr>
            <w:r w:rsidRPr="0010645D">
              <w:rPr>
                <w:rFonts w:ascii="Times New Roman" w:eastAsia="Times New Roman" w:hAnsi="Times New Roman" w:cs="Times New Roman"/>
                <w:b/>
                <w:bCs/>
                <w:color w:val="000000"/>
                <w:lang w:eastAsia="es-HN"/>
              </w:rPr>
              <w:t>2022</w:t>
            </w:r>
          </w:p>
        </w:tc>
        <w:tc>
          <w:tcPr>
            <w:tcW w:w="1378" w:type="dxa"/>
            <w:tcBorders>
              <w:top w:val="nil"/>
              <w:left w:val="nil"/>
              <w:bottom w:val="nil"/>
              <w:right w:val="nil"/>
            </w:tcBorders>
            <w:shd w:val="clear" w:color="auto" w:fill="auto"/>
            <w:noWrap/>
            <w:vAlign w:val="bottom"/>
            <w:hideMark/>
          </w:tcPr>
          <w:p w14:paraId="1780D51A" w14:textId="77777777" w:rsidR="0010645D" w:rsidRPr="0010645D" w:rsidRDefault="0010645D" w:rsidP="0010645D">
            <w:pPr>
              <w:widowControl/>
              <w:jc w:val="center"/>
              <w:rPr>
                <w:rFonts w:ascii="Times New Roman" w:eastAsia="Times New Roman" w:hAnsi="Times New Roman" w:cs="Times New Roman"/>
                <w:b/>
                <w:bCs/>
                <w:color w:val="000000"/>
                <w:lang w:eastAsia="es-HN"/>
              </w:rPr>
            </w:pPr>
            <w:r w:rsidRPr="0010645D">
              <w:rPr>
                <w:rFonts w:ascii="Times New Roman" w:eastAsia="Times New Roman" w:hAnsi="Times New Roman" w:cs="Times New Roman"/>
                <w:b/>
                <w:bCs/>
                <w:color w:val="000000"/>
                <w:lang w:eastAsia="es-HN"/>
              </w:rPr>
              <w:t>2023</w:t>
            </w:r>
          </w:p>
        </w:tc>
      </w:tr>
      <w:tr w:rsidR="0010645D" w:rsidRPr="0010645D" w14:paraId="06B27E91" w14:textId="77777777" w:rsidTr="0010645D">
        <w:trPr>
          <w:trHeight w:val="240"/>
        </w:trPr>
        <w:tc>
          <w:tcPr>
            <w:tcW w:w="2142" w:type="dxa"/>
            <w:tcBorders>
              <w:top w:val="nil"/>
              <w:left w:val="nil"/>
              <w:bottom w:val="nil"/>
              <w:right w:val="nil"/>
            </w:tcBorders>
            <w:shd w:val="clear" w:color="auto" w:fill="auto"/>
            <w:noWrap/>
            <w:vAlign w:val="bottom"/>
            <w:hideMark/>
          </w:tcPr>
          <w:p w14:paraId="62974B42" w14:textId="4291300B" w:rsidR="0010645D" w:rsidRPr="00D90755" w:rsidRDefault="0010645D" w:rsidP="00D90755">
            <w:pPr>
              <w:widowControl/>
              <w:rPr>
                <w:rFonts w:ascii="Times New Roman" w:eastAsia="Times New Roman" w:hAnsi="Times New Roman" w:cs="Times New Roman"/>
                <w:b/>
                <w:bCs/>
                <w:color w:val="000000"/>
                <w:lang w:eastAsia="es-HN"/>
              </w:rPr>
            </w:pPr>
            <w:r w:rsidRPr="00D90755">
              <w:rPr>
                <w:rFonts w:ascii="Times New Roman" w:eastAsia="Times New Roman" w:hAnsi="Times New Roman" w:cs="Times New Roman"/>
                <w:b/>
                <w:bCs/>
                <w:color w:val="000000"/>
                <w:lang w:eastAsia="es-HN"/>
              </w:rPr>
              <w:t>Índice Mora Mayor a 8 días</w:t>
            </w:r>
          </w:p>
        </w:tc>
        <w:tc>
          <w:tcPr>
            <w:tcW w:w="331" w:type="dxa"/>
            <w:vMerge w:val="restart"/>
            <w:tcBorders>
              <w:top w:val="nil"/>
              <w:left w:val="nil"/>
              <w:bottom w:val="nil"/>
              <w:right w:val="nil"/>
            </w:tcBorders>
            <w:shd w:val="clear" w:color="auto" w:fill="auto"/>
            <w:noWrap/>
            <w:vAlign w:val="center"/>
            <w:hideMark/>
          </w:tcPr>
          <w:p w14:paraId="612F16F7" w14:textId="77777777" w:rsidR="0010645D" w:rsidRPr="0010645D" w:rsidRDefault="0010645D" w:rsidP="0010645D">
            <w:pPr>
              <w:widowControl/>
              <w:jc w:val="center"/>
              <w:rPr>
                <w:rFonts w:ascii="Times New Roman" w:eastAsia="Times New Roman" w:hAnsi="Times New Roman" w:cs="Times New Roman"/>
                <w:color w:val="000000"/>
                <w:lang w:eastAsia="es-HN"/>
              </w:rPr>
            </w:pPr>
            <w:r w:rsidRPr="0010645D">
              <w:rPr>
                <w:rFonts w:ascii="Times New Roman" w:eastAsia="Times New Roman" w:hAnsi="Times New Roman" w:cs="Times New Roman"/>
                <w:color w:val="000000"/>
                <w:lang w:eastAsia="es-HN"/>
              </w:rPr>
              <w:t>=</w:t>
            </w:r>
          </w:p>
        </w:tc>
        <w:tc>
          <w:tcPr>
            <w:tcW w:w="1378" w:type="dxa"/>
            <w:tcBorders>
              <w:top w:val="nil"/>
              <w:left w:val="nil"/>
              <w:bottom w:val="single" w:sz="4" w:space="0" w:color="auto"/>
              <w:right w:val="nil"/>
            </w:tcBorders>
            <w:shd w:val="clear" w:color="auto" w:fill="auto"/>
            <w:noWrap/>
            <w:vAlign w:val="bottom"/>
            <w:hideMark/>
          </w:tcPr>
          <w:p w14:paraId="6690E276" w14:textId="77777777" w:rsidR="0010645D" w:rsidRPr="0010645D" w:rsidRDefault="0010645D" w:rsidP="0010645D">
            <w:pPr>
              <w:widowControl/>
              <w:rPr>
                <w:rFonts w:ascii="Times New Roman" w:eastAsia="Times New Roman" w:hAnsi="Times New Roman" w:cs="Times New Roman"/>
                <w:color w:val="000000"/>
                <w:lang w:eastAsia="es-HN"/>
              </w:rPr>
            </w:pPr>
            <w:r w:rsidRPr="0010645D">
              <w:rPr>
                <w:rFonts w:ascii="Times New Roman" w:eastAsia="Times New Roman" w:hAnsi="Times New Roman" w:cs="Times New Roman"/>
                <w:color w:val="000000"/>
                <w:lang w:eastAsia="es-HN"/>
              </w:rPr>
              <w:t xml:space="preserve">        161,388,254 </w:t>
            </w:r>
          </w:p>
        </w:tc>
        <w:tc>
          <w:tcPr>
            <w:tcW w:w="1378" w:type="dxa"/>
            <w:tcBorders>
              <w:top w:val="nil"/>
              <w:left w:val="nil"/>
              <w:bottom w:val="single" w:sz="4" w:space="0" w:color="auto"/>
              <w:right w:val="nil"/>
            </w:tcBorders>
            <w:shd w:val="clear" w:color="auto" w:fill="auto"/>
            <w:noWrap/>
            <w:vAlign w:val="bottom"/>
            <w:hideMark/>
          </w:tcPr>
          <w:p w14:paraId="5F4CB5D0" w14:textId="77777777" w:rsidR="0010645D" w:rsidRPr="0010645D" w:rsidRDefault="0010645D" w:rsidP="0010645D">
            <w:pPr>
              <w:widowControl/>
              <w:rPr>
                <w:rFonts w:ascii="Times New Roman" w:eastAsia="Times New Roman" w:hAnsi="Times New Roman" w:cs="Times New Roman"/>
                <w:color w:val="000000"/>
                <w:lang w:eastAsia="es-HN"/>
              </w:rPr>
            </w:pPr>
            <w:r w:rsidRPr="0010645D">
              <w:rPr>
                <w:rFonts w:ascii="Times New Roman" w:eastAsia="Times New Roman" w:hAnsi="Times New Roman" w:cs="Times New Roman"/>
                <w:color w:val="000000"/>
                <w:lang w:eastAsia="es-HN"/>
              </w:rPr>
              <w:t xml:space="preserve">        176,273,713 </w:t>
            </w:r>
          </w:p>
        </w:tc>
        <w:tc>
          <w:tcPr>
            <w:tcW w:w="1378" w:type="dxa"/>
            <w:tcBorders>
              <w:top w:val="nil"/>
              <w:left w:val="nil"/>
              <w:bottom w:val="single" w:sz="4" w:space="0" w:color="auto"/>
              <w:right w:val="nil"/>
            </w:tcBorders>
            <w:shd w:val="clear" w:color="auto" w:fill="auto"/>
            <w:noWrap/>
            <w:vAlign w:val="bottom"/>
            <w:hideMark/>
          </w:tcPr>
          <w:p w14:paraId="1CE7CA73" w14:textId="77777777" w:rsidR="0010645D" w:rsidRPr="0010645D" w:rsidRDefault="0010645D" w:rsidP="0010645D">
            <w:pPr>
              <w:widowControl/>
              <w:rPr>
                <w:rFonts w:ascii="Times New Roman" w:eastAsia="Times New Roman" w:hAnsi="Times New Roman" w:cs="Times New Roman"/>
                <w:color w:val="000000"/>
                <w:lang w:eastAsia="es-HN"/>
              </w:rPr>
            </w:pPr>
            <w:r w:rsidRPr="0010645D">
              <w:rPr>
                <w:rFonts w:ascii="Times New Roman" w:eastAsia="Times New Roman" w:hAnsi="Times New Roman" w:cs="Times New Roman"/>
                <w:color w:val="000000"/>
                <w:lang w:eastAsia="es-HN"/>
              </w:rPr>
              <w:t xml:space="preserve">        129,808,750 </w:t>
            </w:r>
          </w:p>
        </w:tc>
        <w:tc>
          <w:tcPr>
            <w:tcW w:w="1378" w:type="dxa"/>
            <w:tcBorders>
              <w:top w:val="nil"/>
              <w:left w:val="nil"/>
              <w:bottom w:val="single" w:sz="4" w:space="0" w:color="auto"/>
              <w:right w:val="nil"/>
            </w:tcBorders>
            <w:shd w:val="clear" w:color="auto" w:fill="auto"/>
            <w:noWrap/>
            <w:vAlign w:val="bottom"/>
            <w:hideMark/>
          </w:tcPr>
          <w:p w14:paraId="034E681C" w14:textId="77777777" w:rsidR="0010645D" w:rsidRPr="0010645D" w:rsidRDefault="0010645D" w:rsidP="0010645D">
            <w:pPr>
              <w:widowControl/>
              <w:rPr>
                <w:rFonts w:ascii="Times New Roman" w:eastAsia="Times New Roman" w:hAnsi="Times New Roman" w:cs="Times New Roman"/>
                <w:color w:val="000000"/>
                <w:lang w:eastAsia="es-HN"/>
              </w:rPr>
            </w:pPr>
            <w:r w:rsidRPr="0010645D">
              <w:rPr>
                <w:rFonts w:ascii="Times New Roman" w:eastAsia="Times New Roman" w:hAnsi="Times New Roman" w:cs="Times New Roman"/>
                <w:color w:val="000000"/>
                <w:lang w:eastAsia="es-HN"/>
              </w:rPr>
              <w:t xml:space="preserve">        122,605,544 </w:t>
            </w:r>
          </w:p>
        </w:tc>
        <w:tc>
          <w:tcPr>
            <w:tcW w:w="1378" w:type="dxa"/>
            <w:tcBorders>
              <w:top w:val="nil"/>
              <w:left w:val="nil"/>
              <w:bottom w:val="single" w:sz="4" w:space="0" w:color="auto"/>
              <w:right w:val="nil"/>
            </w:tcBorders>
            <w:shd w:val="clear" w:color="auto" w:fill="auto"/>
            <w:noWrap/>
            <w:vAlign w:val="bottom"/>
            <w:hideMark/>
          </w:tcPr>
          <w:p w14:paraId="71FCB4D7" w14:textId="77777777" w:rsidR="0010645D" w:rsidRPr="0010645D" w:rsidRDefault="0010645D" w:rsidP="0010645D">
            <w:pPr>
              <w:widowControl/>
              <w:rPr>
                <w:rFonts w:ascii="Times New Roman" w:eastAsia="Times New Roman" w:hAnsi="Times New Roman" w:cs="Times New Roman"/>
                <w:color w:val="000000"/>
                <w:lang w:eastAsia="es-HN"/>
              </w:rPr>
            </w:pPr>
            <w:r w:rsidRPr="0010645D">
              <w:rPr>
                <w:rFonts w:ascii="Times New Roman" w:eastAsia="Times New Roman" w:hAnsi="Times New Roman" w:cs="Times New Roman"/>
                <w:color w:val="000000"/>
                <w:lang w:eastAsia="es-HN"/>
              </w:rPr>
              <w:t xml:space="preserve">        128,871,298 </w:t>
            </w:r>
          </w:p>
        </w:tc>
      </w:tr>
      <w:tr w:rsidR="0010645D" w:rsidRPr="0010645D" w14:paraId="478468B0" w14:textId="77777777" w:rsidTr="0010645D">
        <w:trPr>
          <w:trHeight w:val="240"/>
        </w:trPr>
        <w:tc>
          <w:tcPr>
            <w:tcW w:w="2142" w:type="dxa"/>
            <w:tcBorders>
              <w:top w:val="nil"/>
              <w:left w:val="nil"/>
              <w:bottom w:val="nil"/>
              <w:right w:val="nil"/>
            </w:tcBorders>
            <w:shd w:val="clear" w:color="auto" w:fill="auto"/>
            <w:noWrap/>
            <w:vAlign w:val="bottom"/>
            <w:hideMark/>
          </w:tcPr>
          <w:p w14:paraId="08AE3ECC" w14:textId="77777777" w:rsidR="0010645D" w:rsidRPr="0010645D" w:rsidRDefault="0010645D" w:rsidP="0010645D">
            <w:pPr>
              <w:widowControl/>
              <w:rPr>
                <w:rFonts w:ascii="Times New Roman" w:eastAsia="Times New Roman" w:hAnsi="Times New Roman" w:cs="Times New Roman"/>
                <w:color w:val="000000"/>
                <w:lang w:eastAsia="es-HN"/>
              </w:rPr>
            </w:pPr>
          </w:p>
        </w:tc>
        <w:tc>
          <w:tcPr>
            <w:tcW w:w="331" w:type="dxa"/>
            <w:vMerge/>
            <w:tcBorders>
              <w:top w:val="nil"/>
              <w:left w:val="nil"/>
              <w:bottom w:val="nil"/>
              <w:right w:val="nil"/>
            </w:tcBorders>
            <w:vAlign w:val="center"/>
            <w:hideMark/>
          </w:tcPr>
          <w:p w14:paraId="1FABBB7A" w14:textId="77777777" w:rsidR="0010645D" w:rsidRPr="0010645D" w:rsidRDefault="0010645D" w:rsidP="0010645D">
            <w:pPr>
              <w:widowControl/>
              <w:rPr>
                <w:rFonts w:ascii="Times New Roman" w:eastAsia="Times New Roman" w:hAnsi="Times New Roman" w:cs="Times New Roman"/>
                <w:color w:val="000000"/>
                <w:lang w:eastAsia="es-HN"/>
              </w:rPr>
            </w:pPr>
          </w:p>
        </w:tc>
        <w:tc>
          <w:tcPr>
            <w:tcW w:w="1378" w:type="dxa"/>
            <w:tcBorders>
              <w:top w:val="nil"/>
              <w:left w:val="nil"/>
              <w:bottom w:val="nil"/>
              <w:right w:val="nil"/>
            </w:tcBorders>
            <w:shd w:val="clear" w:color="auto" w:fill="auto"/>
            <w:noWrap/>
            <w:vAlign w:val="bottom"/>
            <w:hideMark/>
          </w:tcPr>
          <w:p w14:paraId="1A4406F9" w14:textId="77777777" w:rsidR="0010645D" w:rsidRPr="0010645D" w:rsidRDefault="0010645D" w:rsidP="0010645D">
            <w:pPr>
              <w:widowControl/>
              <w:rPr>
                <w:rFonts w:ascii="Times New Roman" w:eastAsia="Times New Roman" w:hAnsi="Times New Roman" w:cs="Times New Roman"/>
                <w:color w:val="000000"/>
                <w:lang w:eastAsia="es-HN"/>
              </w:rPr>
            </w:pPr>
            <w:r w:rsidRPr="0010645D">
              <w:rPr>
                <w:rFonts w:ascii="Times New Roman" w:eastAsia="Times New Roman" w:hAnsi="Times New Roman" w:cs="Times New Roman"/>
                <w:color w:val="000000"/>
                <w:lang w:eastAsia="es-HN"/>
              </w:rPr>
              <w:t xml:space="preserve">        669,259,715 </w:t>
            </w:r>
          </w:p>
        </w:tc>
        <w:tc>
          <w:tcPr>
            <w:tcW w:w="1378" w:type="dxa"/>
            <w:tcBorders>
              <w:top w:val="nil"/>
              <w:left w:val="nil"/>
              <w:bottom w:val="nil"/>
              <w:right w:val="nil"/>
            </w:tcBorders>
            <w:shd w:val="clear" w:color="auto" w:fill="auto"/>
            <w:noWrap/>
            <w:vAlign w:val="bottom"/>
            <w:hideMark/>
          </w:tcPr>
          <w:p w14:paraId="3ECC3528" w14:textId="77777777" w:rsidR="0010645D" w:rsidRPr="0010645D" w:rsidRDefault="0010645D" w:rsidP="0010645D">
            <w:pPr>
              <w:widowControl/>
              <w:rPr>
                <w:rFonts w:ascii="Times New Roman" w:eastAsia="Times New Roman" w:hAnsi="Times New Roman" w:cs="Times New Roman"/>
                <w:color w:val="000000"/>
                <w:lang w:eastAsia="es-HN"/>
              </w:rPr>
            </w:pPr>
            <w:r w:rsidRPr="0010645D">
              <w:rPr>
                <w:rFonts w:ascii="Times New Roman" w:eastAsia="Times New Roman" w:hAnsi="Times New Roman" w:cs="Times New Roman"/>
                <w:color w:val="000000"/>
                <w:lang w:eastAsia="es-HN"/>
              </w:rPr>
              <w:t xml:space="preserve">        473,639,210 </w:t>
            </w:r>
          </w:p>
        </w:tc>
        <w:tc>
          <w:tcPr>
            <w:tcW w:w="1378" w:type="dxa"/>
            <w:tcBorders>
              <w:top w:val="nil"/>
              <w:left w:val="nil"/>
              <w:bottom w:val="nil"/>
              <w:right w:val="nil"/>
            </w:tcBorders>
            <w:shd w:val="clear" w:color="auto" w:fill="auto"/>
            <w:noWrap/>
            <w:vAlign w:val="bottom"/>
            <w:hideMark/>
          </w:tcPr>
          <w:p w14:paraId="3B2009F0" w14:textId="77777777" w:rsidR="0010645D" w:rsidRPr="0010645D" w:rsidRDefault="0010645D" w:rsidP="0010645D">
            <w:pPr>
              <w:widowControl/>
              <w:rPr>
                <w:rFonts w:ascii="Times New Roman" w:eastAsia="Times New Roman" w:hAnsi="Times New Roman" w:cs="Times New Roman"/>
                <w:color w:val="000000"/>
                <w:lang w:eastAsia="es-HN"/>
              </w:rPr>
            </w:pPr>
            <w:r w:rsidRPr="0010645D">
              <w:rPr>
                <w:rFonts w:ascii="Times New Roman" w:eastAsia="Times New Roman" w:hAnsi="Times New Roman" w:cs="Times New Roman"/>
                <w:color w:val="000000"/>
                <w:lang w:eastAsia="es-HN"/>
              </w:rPr>
              <w:t xml:space="preserve">        410,225,726 </w:t>
            </w:r>
          </w:p>
        </w:tc>
        <w:tc>
          <w:tcPr>
            <w:tcW w:w="1378" w:type="dxa"/>
            <w:tcBorders>
              <w:top w:val="nil"/>
              <w:left w:val="nil"/>
              <w:bottom w:val="nil"/>
              <w:right w:val="nil"/>
            </w:tcBorders>
            <w:shd w:val="clear" w:color="auto" w:fill="auto"/>
            <w:noWrap/>
            <w:vAlign w:val="bottom"/>
            <w:hideMark/>
          </w:tcPr>
          <w:p w14:paraId="5729FDD3" w14:textId="77777777" w:rsidR="0010645D" w:rsidRPr="0010645D" w:rsidRDefault="0010645D" w:rsidP="0010645D">
            <w:pPr>
              <w:widowControl/>
              <w:rPr>
                <w:rFonts w:ascii="Times New Roman" w:eastAsia="Times New Roman" w:hAnsi="Times New Roman" w:cs="Times New Roman"/>
                <w:color w:val="000000"/>
                <w:lang w:eastAsia="es-HN"/>
              </w:rPr>
            </w:pPr>
            <w:r w:rsidRPr="0010645D">
              <w:rPr>
                <w:rFonts w:ascii="Times New Roman" w:eastAsia="Times New Roman" w:hAnsi="Times New Roman" w:cs="Times New Roman"/>
                <w:color w:val="000000"/>
                <w:lang w:eastAsia="es-HN"/>
              </w:rPr>
              <w:t xml:space="preserve">        407,135,155 </w:t>
            </w:r>
          </w:p>
        </w:tc>
        <w:tc>
          <w:tcPr>
            <w:tcW w:w="1378" w:type="dxa"/>
            <w:tcBorders>
              <w:top w:val="nil"/>
              <w:left w:val="nil"/>
              <w:bottom w:val="nil"/>
              <w:right w:val="nil"/>
            </w:tcBorders>
            <w:shd w:val="clear" w:color="auto" w:fill="auto"/>
            <w:noWrap/>
            <w:vAlign w:val="bottom"/>
            <w:hideMark/>
          </w:tcPr>
          <w:p w14:paraId="00FB65FE" w14:textId="77777777" w:rsidR="0010645D" w:rsidRPr="0010645D" w:rsidRDefault="0010645D" w:rsidP="0010645D">
            <w:pPr>
              <w:widowControl/>
              <w:rPr>
                <w:rFonts w:ascii="Times New Roman" w:eastAsia="Times New Roman" w:hAnsi="Times New Roman" w:cs="Times New Roman"/>
                <w:color w:val="000000"/>
                <w:lang w:eastAsia="es-HN"/>
              </w:rPr>
            </w:pPr>
            <w:r w:rsidRPr="0010645D">
              <w:rPr>
                <w:rFonts w:ascii="Times New Roman" w:eastAsia="Times New Roman" w:hAnsi="Times New Roman" w:cs="Times New Roman"/>
                <w:color w:val="000000"/>
                <w:lang w:eastAsia="es-HN"/>
              </w:rPr>
              <w:t xml:space="preserve">        435,218,408 </w:t>
            </w:r>
          </w:p>
        </w:tc>
      </w:tr>
      <w:tr w:rsidR="0010645D" w:rsidRPr="0010645D" w14:paraId="3E94835B" w14:textId="77777777" w:rsidTr="0010645D">
        <w:trPr>
          <w:trHeight w:val="240"/>
        </w:trPr>
        <w:tc>
          <w:tcPr>
            <w:tcW w:w="2142" w:type="dxa"/>
            <w:tcBorders>
              <w:top w:val="nil"/>
              <w:left w:val="nil"/>
              <w:bottom w:val="nil"/>
              <w:right w:val="nil"/>
            </w:tcBorders>
            <w:shd w:val="clear" w:color="auto" w:fill="auto"/>
            <w:noWrap/>
            <w:vAlign w:val="bottom"/>
            <w:hideMark/>
          </w:tcPr>
          <w:p w14:paraId="3DB0F03F" w14:textId="77777777" w:rsidR="0010645D" w:rsidRPr="0010645D" w:rsidRDefault="0010645D" w:rsidP="0010645D">
            <w:pPr>
              <w:widowControl/>
              <w:rPr>
                <w:rFonts w:ascii="Times New Roman" w:eastAsia="Times New Roman" w:hAnsi="Times New Roman" w:cs="Times New Roman"/>
                <w:color w:val="000000"/>
                <w:lang w:eastAsia="es-HN"/>
              </w:rPr>
            </w:pPr>
          </w:p>
        </w:tc>
        <w:tc>
          <w:tcPr>
            <w:tcW w:w="331" w:type="dxa"/>
            <w:tcBorders>
              <w:top w:val="nil"/>
              <w:left w:val="nil"/>
              <w:bottom w:val="nil"/>
              <w:right w:val="nil"/>
            </w:tcBorders>
            <w:shd w:val="clear" w:color="auto" w:fill="auto"/>
            <w:noWrap/>
            <w:vAlign w:val="bottom"/>
            <w:hideMark/>
          </w:tcPr>
          <w:p w14:paraId="47FD6AB1" w14:textId="77777777" w:rsidR="0010645D" w:rsidRPr="0010645D" w:rsidRDefault="0010645D" w:rsidP="0010645D">
            <w:pPr>
              <w:widowControl/>
              <w:rPr>
                <w:rFonts w:ascii="Times New Roman" w:eastAsia="Times New Roman" w:hAnsi="Times New Roman" w:cs="Times New Roman"/>
                <w:sz w:val="20"/>
                <w:szCs w:val="20"/>
                <w:lang w:eastAsia="es-HN"/>
              </w:rPr>
            </w:pPr>
          </w:p>
        </w:tc>
        <w:tc>
          <w:tcPr>
            <w:tcW w:w="1378" w:type="dxa"/>
            <w:tcBorders>
              <w:top w:val="nil"/>
              <w:left w:val="nil"/>
              <w:bottom w:val="nil"/>
              <w:right w:val="nil"/>
            </w:tcBorders>
            <w:shd w:val="clear" w:color="000000" w:fill="CAEDFB"/>
            <w:noWrap/>
            <w:vAlign w:val="bottom"/>
            <w:hideMark/>
          </w:tcPr>
          <w:p w14:paraId="5FF2DEEB" w14:textId="77777777" w:rsidR="0010645D" w:rsidRPr="0010645D" w:rsidRDefault="0010645D" w:rsidP="0010645D">
            <w:pPr>
              <w:widowControl/>
              <w:jc w:val="center"/>
              <w:rPr>
                <w:rFonts w:ascii="Times New Roman" w:eastAsia="Times New Roman" w:hAnsi="Times New Roman" w:cs="Times New Roman"/>
                <w:b/>
                <w:bCs/>
                <w:color w:val="000000"/>
                <w:lang w:eastAsia="es-HN"/>
              </w:rPr>
            </w:pPr>
            <w:r w:rsidRPr="0010645D">
              <w:rPr>
                <w:rFonts w:ascii="Times New Roman" w:eastAsia="Times New Roman" w:hAnsi="Times New Roman" w:cs="Times New Roman"/>
                <w:b/>
                <w:bCs/>
                <w:color w:val="000000"/>
                <w:lang w:eastAsia="es-HN"/>
              </w:rPr>
              <w:t>24.1%</w:t>
            </w:r>
          </w:p>
        </w:tc>
        <w:tc>
          <w:tcPr>
            <w:tcW w:w="1378" w:type="dxa"/>
            <w:tcBorders>
              <w:top w:val="nil"/>
              <w:left w:val="nil"/>
              <w:bottom w:val="nil"/>
              <w:right w:val="nil"/>
            </w:tcBorders>
            <w:shd w:val="clear" w:color="000000" w:fill="CAEDFB"/>
            <w:noWrap/>
            <w:vAlign w:val="bottom"/>
            <w:hideMark/>
          </w:tcPr>
          <w:p w14:paraId="035EB651" w14:textId="77777777" w:rsidR="0010645D" w:rsidRPr="0010645D" w:rsidRDefault="0010645D" w:rsidP="0010645D">
            <w:pPr>
              <w:widowControl/>
              <w:jc w:val="center"/>
              <w:rPr>
                <w:rFonts w:ascii="Times New Roman" w:eastAsia="Times New Roman" w:hAnsi="Times New Roman" w:cs="Times New Roman"/>
                <w:b/>
                <w:bCs/>
                <w:color w:val="000000"/>
                <w:lang w:eastAsia="es-HN"/>
              </w:rPr>
            </w:pPr>
            <w:r w:rsidRPr="0010645D">
              <w:rPr>
                <w:rFonts w:ascii="Times New Roman" w:eastAsia="Times New Roman" w:hAnsi="Times New Roman" w:cs="Times New Roman"/>
                <w:b/>
                <w:bCs/>
                <w:color w:val="000000"/>
                <w:lang w:eastAsia="es-HN"/>
              </w:rPr>
              <w:t>37.2%</w:t>
            </w:r>
          </w:p>
        </w:tc>
        <w:tc>
          <w:tcPr>
            <w:tcW w:w="1378" w:type="dxa"/>
            <w:tcBorders>
              <w:top w:val="nil"/>
              <w:left w:val="nil"/>
              <w:bottom w:val="nil"/>
              <w:right w:val="nil"/>
            </w:tcBorders>
            <w:shd w:val="clear" w:color="000000" w:fill="CAEDFB"/>
            <w:noWrap/>
            <w:vAlign w:val="bottom"/>
            <w:hideMark/>
          </w:tcPr>
          <w:p w14:paraId="6384E5D7" w14:textId="77777777" w:rsidR="0010645D" w:rsidRPr="0010645D" w:rsidRDefault="0010645D" w:rsidP="0010645D">
            <w:pPr>
              <w:widowControl/>
              <w:jc w:val="center"/>
              <w:rPr>
                <w:rFonts w:ascii="Times New Roman" w:eastAsia="Times New Roman" w:hAnsi="Times New Roman" w:cs="Times New Roman"/>
                <w:b/>
                <w:bCs/>
                <w:color w:val="000000"/>
                <w:lang w:eastAsia="es-HN"/>
              </w:rPr>
            </w:pPr>
            <w:r w:rsidRPr="0010645D">
              <w:rPr>
                <w:rFonts w:ascii="Times New Roman" w:eastAsia="Times New Roman" w:hAnsi="Times New Roman" w:cs="Times New Roman"/>
                <w:b/>
                <w:bCs/>
                <w:color w:val="000000"/>
                <w:lang w:eastAsia="es-HN"/>
              </w:rPr>
              <w:t>31.6%</w:t>
            </w:r>
          </w:p>
        </w:tc>
        <w:tc>
          <w:tcPr>
            <w:tcW w:w="1378" w:type="dxa"/>
            <w:tcBorders>
              <w:top w:val="nil"/>
              <w:left w:val="nil"/>
              <w:bottom w:val="nil"/>
              <w:right w:val="nil"/>
            </w:tcBorders>
            <w:shd w:val="clear" w:color="000000" w:fill="CAEDFB"/>
            <w:noWrap/>
            <w:vAlign w:val="bottom"/>
            <w:hideMark/>
          </w:tcPr>
          <w:p w14:paraId="7C724D95" w14:textId="77777777" w:rsidR="0010645D" w:rsidRPr="0010645D" w:rsidRDefault="0010645D" w:rsidP="0010645D">
            <w:pPr>
              <w:widowControl/>
              <w:jc w:val="center"/>
              <w:rPr>
                <w:rFonts w:ascii="Times New Roman" w:eastAsia="Times New Roman" w:hAnsi="Times New Roman" w:cs="Times New Roman"/>
                <w:b/>
                <w:bCs/>
                <w:color w:val="000000"/>
                <w:lang w:eastAsia="es-HN"/>
              </w:rPr>
            </w:pPr>
            <w:r w:rsidRPr="0010645D">
              <w:rPr>
                <w:rFonts w:ascii="Times New Roman" w:eastAsia="Times New Roman" w:hAnsi="Times New Roman" w:cs="Times New Roman"/>
                <w:b/>
                <w:bCs/>
                <w:color w:val="000000"/>
                <w:lang w:eastAsia="es-HN"/>
              </w:rPr>
              <w:t>30.1%</w:t>
            </w:r>
          </w:p>
        </w:tc>
        <w:tc>
          <w:tcPr>
            <w:tcW w:w="1378" w:type="dxa"/>
            <w:tcBorders>
              <w:top w:val="nil"/>
              <w:left w:val="nil"/>
              <w:bottom w:val="nil"/>
              <w:right w:val="nil"/>
            </w:tcBorders>
            <w:shd w:val="clear" w:color="000000" w:fill="CAEDFB"/>
            <w:noWrap/>
            <w:vAlign w:val="bottom"/>
            <w:hideMark/>
          </w:tcPr>
          <w:p w14:paraId="48173D39" w14:textId="77777777" w:rsidR="0010645D" w:rsidRPr="0010645D" w:rsidRDefault="0010645D" w:rsidP="0010645D">
            <w:pPr>
              <w:widowControl/>
              <w:jc w:val="center"/>
              <w:rPr>
                <w:rFonts w:ascii="Times New Roman" w:eastAsia="Times New Roman" w:hAnsi="Times New Roman" w:cs="Times New Roman"/>
                <w:b/>
                <w:bCs/>
                <w:color w:val="000000"/>
                <w:lang w:eastAsia="es-HN"/>
              </w:rPr>
            </w:pPr>
            <w:r w:rsidRPr="0010645D">
              <w:rPr>
                <w:rFonts w:ascii="Times New Roman" w:eastAsia="Times New Roman" w:hAnsi="Times New Roman" w:cs="Times New Roman"/>
                <w:b/>
                <w:bCs/>
                <w:color w:val="000000"/>
                <w:lang w:eastAsia="es-HN"/>
              </w:rPr>
              <w:t>29.6%</w:t>
            </w:r>
          </w:p>
        </w:tc>
      </w:tr>
    </w:tbl>
    <w:p w14:paraId="3892DAE6" w14:textId="3F16A25B" w:rsidR="009140A7" w:rsidRPr="00783048" w:rsidRDefault="009140A7" w:rsidP="003E2058">
      <w:pPr>
        <w:spacing w:before="240" w:after="240" w:line="360" w:lineRule="auto"/>
        <w:ind w:firstLine="720"/>
        <w:rPr>
          <w:rFonts w:ascii="Times New Roman" w:hAnsi="Times New Roman" w:cs="Times New Roman"/>
          <w:noProof/>
          <w:sz w:val="24"/>
          <w:szCs w:val="24"/>
        </w:rPr>
      </w:pPr>
      <w:r w:rsidRPr="00783048">
        <w:rPr>
          <w:rFonts w:ascii="Times New Roman" w:hAnsi="Times New Roman" w:cs="Times New Roman"/>
          <w:sz w:val="24"/>
          <w:szCs w:val="24"/>
        </w:rPr>
        <w:t xml:space="preserve">Fuente: Elaboración propia con datos de microfinanciera </w:t>
      </w:r>
      <w:r w:rsidR="00E5074B" w:rsidRPr="00783048">
        <w:rPr>
          <w:rFonts w:ascii="Times New Roman" w:hAnsi="Times New Roman" w:cs="Times New Roman"/>
          <w:sz w:val="24"/>
          <w:szCs w:val="24"/>
        </w:rPr>
        <w:t>“XYZ”</w:t>
      </w:r>
      <w:r w:rsidRPr="00783048">
        <w:rPr>
          <w:rFonts w:ascii="Times New Roman" w:hAnsi="Times New Roman" w:cs="Times New Roman"/>
          <w:noProof/>
          <w:sz w:val="24"/>
          <w:szCs w:val="24"/>
        </w:rPr>
        <w:t>.</w:t>
      </w:r>
    </w:p>
    <w:p w14:paraId="6E5B3CF5" w14:textId="7E3F4B1A" w:rsidR="00912581" w:rsidRDefault="00882451" w:rsidP="00A3532D">
      <w:pPr>
        <w:spacing w:after="240" w:line="360" w:lineRule="auto"/>
        <w:ind w:firstLine="720"/>
        <w:rPr>
          <w:rFonts w:ascii="Times New Roman" w:hAnsi="Times New Roman" w:cs="Times New Roman"/>
          <w:noProof/>
          <w:sz w:val="24"/>
          <w:szCs w:val="24"/>
        </w:rPr>
      </w:pPr>
      <w:r>
        <w:rPr>
          <w:rFonts w:ascii="Times New Roman" w:hAnsi="Times New Roman" w:cs="Times New Roman"/>
          <w:noProof/>
          <w:sz w:val="24"/>
          <w:szCs w:val="24"/>
        </w:rPr>
        <w:t>Entre los años</w:t>
      </w:r>
      <w:r w:rsidR="00A3532D">
        <w:rPr>
          <w:rFonts w:ascii="Times New Roman" w:hAnsi="Times New Roman" w:cs="Times New Roman"/>
          <w:noProof/>
          <w:sz w:val="24"/>
          <w:szCs w:val="24"/>
        </w:rPr>
        <w:t xml:space="preserve"> 2019-2023 la </w:t>
      </w:r>
      <w:r w:rsidR="00912581" w:rsidRPr="00912581">
        <w:rPr>
          <w:rFonts w:ascii="Times New Roman" w:hAnsi="Times New Roman" w:cs="Times New Roman"/>
          <w:noProof/>
          <w:sz w:val="24"/>
          <w:szCs w:val="24"/>
        </w:rPr>
        <w:t xml:space="preserve">tasa de morosidad de la IMF </w:t>
      </w:r>
      <w:r w:rsidR="00E5074B">
        <w:rPr>
          <w:rFonts w:ascii="Times New Roman" w:hAnsi="Times New Roman" w:cs="Times New Roman"/>
          <w:noProof/>
          <w:sz w:val="24"/>
          <w:szCs w:val="24"/>
        </w:rPr>
        <w:t>“XYZ”</w:t>
      </w:r>
      <w:r w:rsidR="00912581" w:rsidRPr="00912581">
        <w:rPr>
          <w:rFonts w:ascii="Times New Roman" w:hAnsi="Times New Roman" w:cs="Times New Roman"/>
          <w:noProof/>
          <w:sz w:val="24"/>
          <w:szCs w:val="24"/>
        </w:rPr>
        <w:t xml:space="preserve"> ha </w:t>
      </w:r>
      <w:r w:rsidR="00A3532D">
        <w:rPr>
          <w:rFonts w:ascii="Times New Roman" w:hAnsi="Times New Roman" w:cs="Times New Roman"/>
          <w:noProof/>
          <w:sz w:val="24"/>
          <w:szCs w:val="24"/>
        </w:rPr>
        <w:t xml:space="preserve">fluctuado de manera </w:t>
      </w:r>
      <w:r w:rsidR="00A3532D">
        <w:rPr>
          <w:rFonts w:ascii="Times New Roman" w:hAnsi="Times New Roman" w:cs="Times New Roman"/>
          <w:noProof/>
          <w:sz w:val="24"/>
          <w:szCs w:val="24"/>
        </w:rPr>
        <w:lastRenderedPageBreak/>
        <w:t xml:space="preserve">negativa, puesto que existen notables incrementos en el indice de mora mayor a 8 dias, lo cual impacta </w:t>
      </w:r>
      <w:r>
        <w:rPr>
          <w:rFonts w:ascii="Times New Roman" w:hAnsi="Times New Roman" w:cs="Times New Roman"/>
          <w:noProof/>
          <w:sz w:val="24"/>
          <w:szCs w:val="24"/>
        </w:rPr>
        <w:t xml:space="preserve">significativamente en los </w:t>
      </w:r>
      <w:r w:rsidR="002572EF">
        <w:rPr>
          <w:rFonts w:ascii="Times New Roman" w:hAnsi="Times New Roman" w:cs="Times New Roman"/>
          <w:noProof/>
          <w:sz w:val="24"/>
          <w:szCs w:val="24"/>
        </w:rPr>
        <w:t>resultados</w:t>
      </w:r>
      <w:r>
        <w:rPr>
          <w:rFonts w:ascii="Times New Roman" w:hAnsi="Times New Roman" w:cs="Times New Roman"/>
          <w:noProof/>
          <w:sz w:val="24"/>
          <w:szCs w:val="24"/>
        </w:rPr>
        <w:t xml:space="preserve"> de la institución</w:t>
      </w:r>
      <w:r w:rsidR="002572EF">
        <w:rPr>
          <w:rFonts w:ascii="Times New Roman" w:hAnsi="Times New Roman" w:cs="Times New Roman"/>
          <w:noProof/>
          <w:sz w:val="24"/>
          <w:szCs w:val="24"/>
        </w:rPr>
        <w:t>, puesto que se deben realizar reservas para creditos de dudosa recuperación, afectando directamente el gasto y por esnde reduciendo las utilidades y/o incrementando las perdidas.</w:t>
      </w:r>
    </w:p>
    <w:p w14:paraId="0CFBF5FB" w14:textId="77777777" w:rsidR="003E2058" w:rsidRPr="00912581" w:rsidRDefault="003E2058" w:rsidP="00A3532D">
      <w:pPr>
        <w:spacing w:after="240" w:line="360" w:lineRule="auto"/>
        <w:ind w:firstLine="720"/>
        <w:rPr>
          <w:rFonts w:ascii="Times New Roman" w:hAnsi="Times New Roman" w:cs="Times New Roman"/>
          <w:noProof/>
          <w:sz w:val="24"/>
          <w:szCs w:val="24"/>
        </w:rPr>
      </w:pPr>
    </w:p>
    <w:p w14:paraId="6227DBB2" w14:textId="20E65B37" w:rsidR="0010645D" w:rsidRDefault="0010645D" w:rsidP="00272B2F">
      <w:pPr>
        <w:spacing w:line="360" w:lineRule="auto"/>
        <w:jc w:val="center"/>
        <w:rPr>
          <w:rFonts w:ascii="Times New Roman" w:hAnsi="Times New Roman" w:cs="Times New Roman"/>
          <w:b/>
          <w:bCs/>
          <w:sz w:val="24"/>
          <w:szCs w:val="24"/>
        </w:rPr>
      </w:pPr>
      <w:r>
        <w:rPr>
          <w:noProof/>
        </w:rPr>
        <w:drawing>
          <wp:inline distT="0" distB="0" distL="0" distR="0" wp14:anchorId="40461B22" wp14:editId="725D5168">
            <wp:extent cx="4459605" cy="2987040"/>
            <wp:effectExtent l="0" t="0" r="17145" b="3810"/>
            <wp:docPr id="1437805237" name="Gráfico 1">
              <a:extLst xmlns:a="http://schemas.openxmlformats.org/drawingml/2006/main">
                <a:ext uri="{FF2B5EF4-FFF2-40B4-BE49-F238E27FC236}">
                  <a16:creationId xmlns:a16="http://schemas.microsoft.com/office/drawing/2014/main" id="{1C92A606-2FA3-9BF1-4B0F-07BF8613B7D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inline>
        </w:drawing>
      </w:r>
    </w:p>
    <w:p w14:paraId="5FC6053F" w14:textId="77777777" w:rsidR="00DF41E4" w:rsidRDefault="009140A7" w:rsidP="00783048">
      <w:pPr>
        <w:spacing w:line="360" w:lineRule="auto"/>
        <w:ind w:firstLine="720"/>
        <w:jc w:val="both"/>
        <w:rPr>
          <w:rFonts w:ascii="Times New Roman" w:hAnsi="Times New Roman" w:cs="Times New Roman"/>
          <w:sz w:val="24"/>
          <w:szCs w:val="24"/>
          <w:lang w:val="es-ES"/>
        </w:rPr>
      </w:pPr>
      <w:r w:rsidRPr="00783048">
        <w:rPr>
          <w:rFonts w:ascii="Times New Roman" w:hAnsi="Times New Roman" w:cs="Times New Roman"/>
          <w:sz w:val="24"/>
          <w:szCs w:val="24"/>
          <w:lang w:val="es-ES"/>
        </w:rPr>
        <w:t>Figura 14. Mora mayor a 8 días.</w:t>
      </w:r>
    </w:p>
    <w:p w14:paraId="5DEF2523" w14:textId="6FAF56CE" w:rsidR="00806696" w:rsidRPr="00783048" w:rsidRDefault="00DF41E4" w:rsidP="00783048">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lang w:val="es-ES"/>
        </w:rPr>
        <w:t xml:space="preserve">Fuente: </w:t>
      </w:r>
      <w:r w:rsidR="009140A7" w:rsidRPr="00783048">
        <w:rPr>
          <w:rFonts w:ascii="Times New Roman" w:hAnsi="Times New Roman" w:cs="Times New Roman"/>
          <w:sz w:val="24"/>
          <w:szCs w:val="24"/>
        </w:rPr>
        <w:t xml:space="preserve">Elaboración propia con datos de microfinanciera </w:t>
      </w:r>
      <w:r w:rsidR="00E5074B" w:rsidRPr="00783048">
        <w:rPr>
          <w:rFonts w:ascii="Times New Roman" w:hAnsi="Times New Roman" w:cs="Times New Roman"/>
          <w:sz w:val="24"/>
          <w:szCs w:val="24"/>
        </w:rPr>
        <w:t>“XYZ”</w:t>
      </w:r>
      <w:r w:rsidR="00A3532D" w:rsidRPr="00783048">
        <w:rPr>
          <w:rFonts w:ascii="Times New Roman" w:hAnsi="Times New Roman" w:cs="Times New Roman"/>
          <w:sz w:val="24"/>
          <w:szCs w:val="24"/>
        </w:rPr>
        <w:t>.</w:t>
      </w:r>
    </w:p>
    <w:p w14:paraId="552F9D10" w14:textId="77777777" w:rsidR="00A3532D" w:rsidRDefault="00A3532D" w:rsidP="00A3532D">
      <w:pPr>
        <w:spacing w:line="360" w:lineRule="auto"/>
        <w:jc w:val="both"/>
        <w:rPr>
          <w:rFonts w:ascii="Times New Roman" w:hAnsi="Times New Roman" w:cs="Times New Roman"/>
          <w:sz w:val="24"/>
          <w:szCs w:val="24"/>
        </w:rPr>
      </w:pPr>
    </w:p>
    <w:p w14:paraId="02565FE4" w14:textId="6B73E6EC" w:rsidR="00806696" w:rsidRDefault="00A3532D" w:rsidP="00DF41E4">
      <w:pPr>
        <w:pStyle w:val="TextoPrincipal"/>
        <w:spacing w:line="360" w:lineRule="auto"/>
      </w:pPr>
      <w:r w:rsidRPr="00A3532D">
        <w:t>Durante el período analizado, la IMF</w:t>
      </w:r>
      <w:r>
        <w:t xml:space="preserve"> </w:t>
      </w:r>
      <w:r w:rsidRPr="00A3532D">
        <w:t>muestra un nivel significativo de morosidad, especialmente en los primeros ocho días después de que vencen las cuotas de los préstamos o la deuda total. Este alto porcentaje de mora mayor a 8 días indica que, de cada 100 clientes, al menos el 30% está incumpliendo en el pago de sus préstamos dentro de ese período.</w:t>
      </w:r>
      <w:r w:rsidR="00806696" w:rsidRPr="00806696">
        <w:t xml:space="preserve"> En este caso, todos los valores están significativamente por encima de</w:t>
      </w:r>
      <w:r>
        <w:t xml:space="preserve">l 10% que se establece como </w:t>
      </w:r>
      <w:r w:rsidR="002F13A0">
        <w:t>parámetro</w:t>
      </w:r>
      <w:r w:rsidR="00BF7647">
        <w:t xml:space="preserve"> por parte de la Comisión Nacional de Bancos y Seguros (CNBS),</w:t>
      </w:r>
      <w:r w:rsidR="00806696" w:rsidRPr="00806696">
        <w:t xml:space="preserve"> </w:t>
      </w:r>
      <w:r w:rsidR="005973E5">
        <w:t>por lo que, se debe dar seguimiento exhaustivo a cada una de las estrategias implementadas en el área de cobranzas para poder reducir estos niveles de morosida</w:t>
      </w:r>
      <w:r w:rsidR="00BF7647">
        <w:t>d</w:t>
      </w:r>
      <w:r w:rsidR="00107668">
        <w:t>, considerando que por parte de las demás microfinancieras que se encuentran reguladas en el país mantienen niveles de mora que oscilan entre un 2% y 8% en el año 2023.</w:t>
      </w:r>
    </w:p>
    <w:p w14:paraId="0193660D" w14:textId="77777777" w:rsidR="00B77490" w:rsidRPr="00195CA2" w:rsidRDefault="00B77490" w:rsidP="00195CA2">
      <w:pPr>
        <w:pStyle w:val="Ttulo5"/>
        <w:spacing w:line="360" w:lineRule="auto"/>
        <w:ind w:firstLine="1440"/>
        <w:rPr>
          <w:rFonts w:ascii="Times New Roman" w:hAnsi="Times New Roman" w:cs="Times New Roman"/>
          <w:b/>
          <w:bCs/>
          <w:color w:val="000000" w:themeColor="text1"/>
          <w:sz w:val="24"/>
          <w:szCs w:val="24"/>
        </w:rPr>
      </w:pPr>
      <w:bookmarkStart w:id="303" w:name="_Toc175171446"/>
      <w:r w:rsidRPr="00195CA2">
        <w:rPr>
          <w:rFonts w:ascii="Times New Roman" w:hAnsi="Times New Roman" w:cs="Times New Roman"/>
          <w:b/>
          <w:bCs/>
          <w:color w:val="000000" w:themeColor="text1"/>
          <w:sz w:val="24"/>
          <w:szCs w:val="24"/>
        </w:rPr>
        <w:lastRenderedPageBreak/>
        <w:t>4.2.4.1.2. INDICE DE MORA MAYOR A 30 DIAS</w:t>
      </w:r>
      <w:bookmarkEnd w:id="303"/>
    </w:p>
    <w:p w14:paraId="0EBEB9AC" w14:textId="427E6124" w:rsidR="00B77490" w:rsidRDefault="0081027F" w:rsidP="0081027F">
      <w:pPr>
        <w:spacing w:line="360" w:lineRule="auto"/>
        <w:ind w:firstLine="720"/>
        <w:jc w:val="both"/>
        <w:rPr>
          <w:rFonts w:ascii="Times New Roman" w:hAnsi="Times New Roman" w:cs="Times New Roman"/>
          <w:sz w:val="24"/>
          <w:szCs w:val="24"/>
        </w:rPr>
      </w:pPr>
      <w:r w:rsidRPr="0081027F">
        <w:rPr>
          <w:rFonts w:ascii="Times New Roman" w:hAnsi="Times New Roman" w:cs="Times New Roman"/>
          <w:sz w:val="24"/>
          <w:szCs w:val="24"/>
        </w:rPr>
        <w:t>Este índice de morosidad mide la proporción de la cartera de créditos que ha caído en incumplimiento (más de 30 días de atraso) en relación con la cartera total. Además, refleja la eficacia del proceso de cobro y recuperación de la cartera. Cuanto menor sea este índice, menos problemas de liquidez y solvencia enfrentará la IMF.</w:t>
      </w:r>
    </w:p>
    <w:p w14:paraId="09012818" w14:textId="77777777" w:rsidR="001E4EB3" w:rsidRPr="001E4EB3" w:rsidRDefault="001E4EB3" w:rsidP="0081027F">
      <w:pPr>
        <w:spacing w:line="360" w:lineRule="auto"/>
        <w:ind w:firstLine="720"/>
        <w:jc w:val="both"/>
        <w:rPr>
          <w:rFonts w:ascii="Times New Roman" w:hAnsi="Times New Roman" w:cs="Times New Roman"/>
          <w:sz w:val="24"/>
          <w:szCs w:val="24"/>
        </w:rPr>
      </w:pPr>
      <w:r w:rsidRPr="001E4EB3">
        <w:rPr>
          <w:rFonts w:ascii="Times New Roman" w:hAnsi="Times New Roman" w:cs="Times New Roman"/>
          <w:sz w:val="24"/>
          <w:szCs w:val="24"/>
        </w:rPr>
        <w:t>La fórmula utilizada para determinar este indicador es la siguiente:</w:t>
      </w:r>
    </w:p>
    <w:p w14:paraId="17A37FEE" w14:textId="7CB67666" w:rsidR="001E4EB3" w:rsidRDefault="001E4EB3" w:rsidP="0081027F">
      <w:pPr>
        <w:spacing w:line="360" w:lineRule="auto"/>
        <w:ind w:firstLine="720"/>
        <w:jc w:val="both"/>
        <w:rPr>
          <w:rFonts w:ascii="Times New Roman" w:hAnsi="Times New Roman" w:cs="Times New Roman"/>
          <w:b/>
          <w:bCs/>
          <w:i/>
          <w:iCs/>
          <w:sz w:val="24"/>
          <w:szCs w:val="24"/>
        </w:rPr>
      </w:pPr>
      <w:r w:rsidRPr="00BA4F50">
        <w:rPr>
          <w:rFonts w:ascii="Times New Roman" w:hAnsi="Times New Roman" w:cs="Times New Roman"/>
          <w:b/>
          <w:bCs/>
          <w:i/>
          <w:iCs/>
          <w:sz w:val="24"/>
          <w:szCs w:val="24"/>
        </w:rPr>
        <w:t>Índice Mora Mayor a 30 días = Créditos en Mora &gt; 30 días / Cartera Crediticia</w:t>
      </w:r>
    </w:p>
    <w:p w14:paraId="1799CE4B" w14:textId="77777777" w:rsidR="009140A7" w:rsidRPr="00BA4F50" w:rsidRDefault="009140A7" w:rsidP="0081027F">
      <w:pPr>
        <w:spacing w:line="360" w:lineRule="auto"/>
        <w:ind w:firstLine="720"/>
        <w:jc w:val="both"/>
        <w:rPr>
          <w:rFonts w:ascii="Times New Roman" w:hAnsi="Times New Roman" w:cs="Times New Roman"/>
          <w:b/>
          <w:bCs/>
          <w:i/>
          <w:iCs/>
          <w:sz w:val="24"/>
          <w:szCs w:val="24"/>
        </w:rPr>
      </w:pPr>
    </w:p>
    <w:p w14:paraId="4112FD39" w14:textId="49B18198" w:rsidR="009140A7" w:rsidRPr="00783048" w:rsidRDefault="009140A7" w:rsidP="00783048">
      <w:pPr>
        <w:spacing w:line="360" w:lineRule="auto"/>
        <w:ind w:firstLine="720"/>
        <w:jc w:val="both"/>
        <w:rPr>
          <w:rFonts w:ascii="Times New Roman" w:hAnsi="Times New Roman" w:cs="Times New Roman"/>
          <w:sz w:val="24"/>
          <w:szCs w:val="24"/>
        </w:rPr>
      </w:pPr>
      <w:r w:rsidRPr="00783048">
        <w:rPr>
          <w:rFonts w:ascii="Times New Roman" w:hAnsi="Times New Roman" w:cs="Times New Roman"/>
          <w:sz w:val="24"/>
          <w:szCs w:val="24"/>
        </w:rPr>
        <w:t xml:space="preserve">Tabla 15. Índice de Mora mayor a 30 días </w:t>
      </w:r>
      <w:r w:rsidR="00367EA2">
        <w:rPr>
          <w:rFonts w:ascii="Times New Roman" w:hAnsi="Times New Roman" w:cs="Times New Roman"/>
          <w:sz w:val="24"/>
          <w:szCs w:val="24"/>
        </w:rPr>
        <w:t xml:space="preserve">de la </w:t>
      </w:r>
      <w:r w:rsidRPr="00783048">
        <w:rPr>
          <w:rFonts w:ascii="Times New Roman" w:hAnsi="Times New Roman" w:cs="Times New Roman"/>
          <w:sz w:val="24"/>
          <w:szCs w:val="24"/>
        </w:rPr>
        <w:t xml:space="preserve">microfinanciera </w:t>
      </w:r>
      <w:r w:rsidR="00E5074B" w:rsidRPr="00783048">
        <w:rPr>
          <w:rFonts w:ascii="Times New Roman" w:hAnsi="Times New Roman" w:cs="Times New Roman"/>
          <w:sz w:val="24"/>
          <w:szCs w:val="24"/>
        </w:rPr>
        <w:t>“XYZ”</w:t>
      </w:r>
      <w:r w:rsidRPr="00783048">
        <w:rPr>
          <w:rFonts w:ascii="Times New Roman" w:hAnsi="Times New Roman" w:cs="Times New Roman"/>
          <w:sz w:val="24"/>
          <w:szCs w:val="24"/>
        </w:rPr>
        <w:t xml:space="preserve"> periodo 2019-2023</w:t>
      </w:r>
      <w:r w:rsidR="00783048" w:rsidRPr="00783048">
        <w:rPr>
          <w:rFonts w:ascii="Times New Roman" w:hAnsi="Times New Roman" w:cs="Times New Roman"/>
          <w:sz w:val="24"/>
          <w:szCs w:val="24"/>
        </w:rPr>
        <w:t>.</w:t>
      </w:r>
    </w:p>
    <w:tbl>
      <w:tblPr>
        <w:tblW w:w="9243" w:type="dxa"/>
        <w:tblCellMar>
          <w:left w:w="70" w:type="dxa"/>
          <w:right w:w="70" w:type="dxa"/>
        </w:tblCellMar>
        <w:tblLook w:val="04A0" w:firstRow="1" w:lastRow="0" w:firstColumn="1" w:lastColumn="0" w:noHBand="0" w:noVBand="1"/>
      </w:tblPr>
      <w:tblGrid>
        <w:gridCol w:w="2121"/>
        <w:gridCol w:w="327"/>
        <w:gridCol w:w="1359"/>
        <w:gridCol w:w="1359"/>
        <w:gridCol w:w="1359"/>
        <w:gridCol w:w="1359"/>
        <w:gridCol w:w="1359"/>
      </w:tblGrid>
      <w:tr w:rsidR="0010645D" w:rsidRPr="0010645D" w14:paraId="1A1CA79F" w14:textId="77777777" w:rsidTr="0010645D">
        <w:trPr>
          <w:trHeight w:val="235"/>
        </w:trPr>
        <w:tc>
          <w:tcPr>
            <w:tcW w:w="2121" w:type="dxa"/>
            <w:tcBorders>
              <w:top w:val="nil"/>
              <w:left w:val="nil"/>
              <w:bottom w:val="nil"/>
              <w:right w:val="nil"/>
            </w:tcBorders>
            <w:shd w:val="clear" w:color="auto" w:fill="auto"/>
            <w:noWrap/>
            <w:vAlign w:val="bottom"/>
            <w:hideMark/>
          </w:tcPr>
          <w:p w14:paraId="5BD40F8E" w14:textId="77777777" w:rsidR="0010645D" w:rsidRPr="0010645D" w:rsidRDefault="0010645D" w:rsidP="0010645D">
            <w:pPr>
              <w:widowControl/>
              <w:rPr>
                <w:rFonts w:ascii="Times New Roman" w:eastAsia="Times New Roman" w:hAnsi="Times New Roman" w:cs="Times New Roman"/>
                <w:sz w:val="24"/>
                <w:szCs w:val="24"/>
                <w:lang w:eastAsia="es-HN"/>
              </w:rPr>
            </w:pPr>
          </w:p>
        </w:tc>
        <w:tc>
          <w:tcPr>
            <w:tcW w:w="327" w:type="dxa"/>
            <w:tcBorders>
              <w:top w:val="nil"/>
              <w:left w:val="nil"/>
              <w:bottom w:val="nil"/>
              <w:right w:val="nil"/>
            </w:tcBorders>
            <w:shd w:val="clear" w:color="auto" w:fill="auto"/>
            <w:noWrap/>
            <w:vAlign w:val="bottom"/>
            <w:hideMark/>
          </w:tcPr>
          <w:p w14:paraId="71659133" w14:textId="77777777" w:rsidR="0010645D" w:rsidRPr="0010645D" w:rsidRDefault="0010645D" w:rsidP="0010645D">
            <w:pPr>
              <w:widowControl/>
              <w:rPr>
                <w:rFonts w:ascii="Times New Roman" w:eastAsia="Times New Roman" w:hAnsi="Times New Roman" w:cs="Times New Roman"/>
                <w:sz w:val="20"/>
                <w:szCs w:val="20"/>
                <w:lang w:eastAsia="es-HN"/>
              </w:rPr>
            </w:pPr>
          </w:p>
        </w:tc>
        <w:tc>
          <w:tcPr>
            <w:tcW w:w="1359" w:type="dxa"/>
            <w:tcBorders>
              <w:top w:val="nil"/>
              <w:left w:val="nil"/>
              <w:bottom w:val="nil"/>
              <w:right w:val="nil"/>
            </w:tcBorders>
            <w:shd w:val="clear" w:color="auto" w:fill="auto"/>
            <w:noWrap/>
            <w:vAlign w:val="bottom"/>
            <w:hideMark/>
          </w:tcPr>
          <w:p w14:paraId="608050D4" w14:textId="77777777" w:rsidR="0010645D" w:rsidRPr="0010645D" w:rsidRDefault="0010645D" w:rsidP="0010645D">
            <w:pPr>
              <w:widowControl/>
              <w:jc w:val="center"/>
              <w:rPr>
                <w:rFonts w:ascii="Times New Roman" w:eastAsia="Times New Roman" w:hAnsi="Times New Roman" w:cs="Times New Roman"/>
                <w:b/>
                <w:bCs/>
                <w:color w:val="000000"/>
                <w:lang w:eastAsia="es-HN"/>
              </w:rPr>
            </w:pPr>
            <w:r w:rsidRPr="0010645D">
              <w:rPr>
                <w:rFonts w:ascii="Times New Roman" w:eastAsia="Times New Roman" w:hAnsi="Times New Roman" w:cs="Times New Roman"/>
                <w:b/>
                <w:bCs/>
                <w:color w:val="000000"/>
                <w:lang w:eastAsia="es-HN"/>
              </w:rPr>
              <w:t>2019</w:t>
            </w:r>
          </w:p>
        </w:tc>
        <w:tc>
          <w:tcPr>
            <w:tcW w:w="1359" w:type="dxa"/>
            <w:tcBorders>
              <w:top w:val="nil"/>
              <w:left w:val="nil"/>
              <w:bottom w:val="nil"/>
              <w:right w:val="nil"/>
            </w:tcBorders>
            <w:shd w:val="clear" w:color="auto" w:fill="auto"/>
            <w:noWrap/>
            <w:vAlign w:val="bottom"/>
            <w:hideMark/>
          </w:tcPr>
          <w:p w14:paraId="35A9C63C" w14:textId="77777777" w:rsidR="0010645D" w:rsidRPr="0010645D" w:rsidRDefault="0010645D" w:rsidP="0010645D">
            <w:pPr>
              <w:widowControl/>
              <w:jc w:val="center"/>
              <w:rPr>
                <w:rFonts w:ascii="Times New Roman" w:eastAsia="Times New Roman" w:hAnsi="Times New Roman" w:cs="Times New Roman"/>
                <w:b/>
                <w:bCs/>
                <w:color w:val="000000"/>
                <w:lang w:eastAsia="es-HN"/>
              </w:rPr>
            </w:pPr>
            <w:r w:rsidRPr="0010645D">
              <w:rPr>
                <w:rFonts w:ascii="Times New Roman" w:eastAsia="Times New Roman" w:hAnsi="Times New Roman" w:cs="Times New Roman"/>
                <w:b/>
                <w:bCs/>
                <w:color w:val="000000"/>
                <w:lang w:eastAsia="es-HN"/>
              </w:rPr>
              <w:t>2020</w:t>
            </w:r>
          </w:p>
        </w:tc>
        <w:tc>
          <w:tcPr>
            <w:tcW w:w="1359" w:type="dxa"/>
            <w:tcBorders>
              <w:top w:val="nil"/>
              <w:left w:val="nil"/>
              <w:bottom w:val="nil"/>
              <w:right w:val="nil"/>
            </w:tcBorders>
            <w:shd w:val="clear" w:color="auto" w:fill="auto"/>
            <w:noWrap/>
            <w:vAlign w:val="bottom"/>
            <w:hideMark/>
          </w:tcPr>
          <w:p w14:paraId="4D26B0E1" w14:textId="77777777" w:rsidR="0010645D" w:rsidRPr="0010645D" w:rsidRDefault="0010645D" w:rsidP="0010645D">
            <w:pPr>
              <w:widowControl/>
              <w:jc w:val="center"/>
              <w:rPr>
                <w:rFonts w:ascii="Times New Roman" w:eastAsia="Times New Roman" w:hAnsi="Times New Roman" w:cs="Times New Roman"/>
                <w:b/>
                <w:bCs/>
                <w:color w:val="000000"/>
                <w:lang w:eastAsia="es-HN"/>
              </w:rPr>
            </w:pPr>
            <w:r w:rsidRPr="0010645D">
              <w:rPr>
                <w:rFonts w:ascii="Times New Roman" w:eastAsia="Times New Roman" w:hAnsi="Times New Roman" w:cs="Times New Roman"/>
                <w:b/>
                <w:bCs/>
                <w:color w:val="000000"/>
                <w:lang w:eastAsia="es-HN"/>
              </w:rPr>
              <w:t>2021</w:t>
            </w:r>
          </w:p>
        </w:tc>
        <w:tc>
          <w:tcPr>
            <w:tcW w:w="1359" w:type="dxa"/>
            <w:tcBorders>
              <w:top w:val="nil"/>
              <w:left w:val="nil"/>
              <w:bottom w:val="nil"/>
              <w:right w:val="nil"/>
            </w:tcBorders>
            <w:shd w:val="clear" w:color="auto" w:fill="auto"/>
            <w:noWrap/>
            <w:vAlign w:val="bottom"/>
            <w:hideMark/>
          </w:tcPr>
          <w:p w14:paraId="605C93B5" w14:textId="77777777" w:rsidR="0010645D" w:rsidRPr="0010645D" w:rsidRDefault="0010645D" w:rsidP="0010645D">
            <w:pPr>
              <w:widowControl/>
              <w:jc w:val="center"/>
              <w:rPr>
                <w:rFonts w:ascii="Times New Roman" w:eastAsia="Times New Roman" w:hAnsi="Times New Roman" w:cs="Times New Roman"/>
                <w:b/>
                <w:bCs/>
                <w:color w:val="000000"/>
                <w:lang w:eastAsia="es-HN"/>
              </w:rPr>
            </w:pPr>
            <w:r w:rsidRPr="0010645D">
              <w:rPr>
                <w:rFonts w:ascii="Times New Roman" w:eastAsia="Times New Roman" w:hAnsi="Times New Roman" w:cs="Times New Roman"/>
                <w:b/>
                <w:bCs/>
                <w:color w:val="000000"/>
                <w:lang w:eastAsia="es-HN"/>
              </w:rPr>
              <w:t>2022</w:t>
            </w:r>
          </w:p>
        </w:tc>
        <w:tc>
          <w:tcPr>
            <w:tcW w:w="1359" w:type="dxa"/>
            <w:tcBorders>
              <w:top w:val="nil"/>
              <w:left w:val="nil"/>
              <w:bottom w:val="nil"/>
              <w:right w:val="nil"/>
            </w:tcBorders>
            <w:shd w:val="clear" w:color="auto" w:fill="auto"/>
            <w:noWrap/>
            <w:vAlign w:val="bottom"/>
            <w:hideMark/>
          </w:tcPr>
          <w:p w14:paraId="5A9B7D24" w14:textId="77777777" w:rsidR="0010645D" w:rsidRPr="0010645D" w:rsidRDefault="0010645D" w:rsidP="0010645D">
            <w:pPr>
              <w:widowControl/>
              <w:jc w:val="center"/>
              <w:rPr>
                <w:rFonts w:ascii="Times New Roman" w:eastAsia="Times New Roman" w:hAnsi="Times New Roman" w:cs="Times New Roman"/>
                <w:b/>
                <w:bCs/>
                <w:color w:val="000000"/>
                <w:lang w:eastAsia="es-HN"/>
              </w:rPr>
            </w:pPr>
            <w:r w:rsidRPr="0010645D">
              <w:rPr>
                <w:rFonts w:ascii="Times New Roman" w:eastAsia="Times New Roman" w:hAnsi="Times New Roman" w:cs="Times New Roman"/>
                <w:b/>
                <w:bCs/>
                <w:color w:val="000000"/>
                <w:lang w:eastAsia="es-HN"/>
              </w:rPr>
              <w:t>2023</w:t>
            </w:r>
          </w:p>
        </w:tc>
      </w:tr>
      <w:tr w:rsidR="0010645D" w:rsidRPr="0010645D" w14:paraId="7BFE1006" w14:textId="77777777" w:rsidTr="0010645D">
        <w:trPr>
          <w:trHeight w:val="235"/>
        </w:trPr>
        <w:tc>
          <w:tcPr>
            <w:tcW w:w="2121" w:type="dxa"/>
            <w:tcBorders>
              <w:top w:val="nil"/>
              <w:left w:val="nil"/>
              <w:bottom w:val="nil"/>
              <w:right w:val="nil"/>
            </w:tcBorders>
            <w:shd w:val="clear" w:color="auto" w:fill="auto"/>
            <w:noWrap/>
            <w:vAlign w:val="bottom"/>
            <w:hideMark/>
          </w:tcPr>
          <w:p w14:paraId="5857348F" w14:textId="34322CF8" w:rsidR="0010645D" w:rsidRPr="0010645D" w:rsidRDefault="0010645D" w:rsidP="0010645D">
            <w:pPr>
              <w:widowControl/>
              <w:rPr>
                <w:rFonts w:ascii="Times New Roman" w:eastAsia="Times New Roman" w:hAnsi="Times New Roman" w:cs="Times New Roman"/>
                <w:color w:val="000000"/>
                <w:lang w:eastAsia="es-HN"/>
              </w:rPr>
            </w:pPr>
            <w:r>
              <w:rPr>
                <w:rFonts w:ascii="Times New Roman" w:eastAsia="Times New Roman" w:hAnsi="Times New Roman" w:cs="Times New Roman"/>
                <w:color w:val="000000"/>
                <w:lang w:eastAsia="es-HN"/>
              </w:rPr>
              <w:t>Í</w:t>
            </w:r>
            <w:r w:rsidRPr="0010645D">
              <w:rPr>
                <w:rFonts w:ascii="Times New Roman" w:eastAsia="Times New Roman" w:hAnsi="Times New Roman" w:cs="Times New Roman"/>
                <w:color w:val="000000"/>
                <w:lang w:eastAsia="es-HN"/>
              </w:rPr>
              <w:t>ndice Mora Mayor a 30 días</w:t>
            </w:r>
          </w:p>
        </w:tc>
        <w:tc>
          <w:tcPr>
            <w:tcW w:w="327" w:type="dxa"/>
            <w:vMerge w:val="restart"/>
            <w:tcBorders>
              <w:top w:val="nil"/>
              <w:left w:val="nil"/>
              <w:bottom w:val="nil"/>
              <w:right w:val="nil"/>
            </w:tcBorders>
            <w:shd w:val="clear" w:color="auto" w:fill="auto"/>
            <w:noWrap/>
            <w:vAlign w:val="center"/>
            <w:hideMark/>
          </w:tcPr>
          <w:p w14:paraId="24883BD3" w14:textId="77777777" w:rsidR="0010645D" w:rsidRPr="0010645D" w:rsidRDefault="0010645D" w:rsidP="0010645D">
            <w:pPr>
              <w:widowControl/>
              <w:jc w:val="center"/>
              <w:rPr>
                <w:rFonts w:ascii="Times New Roman" w:eastAsia="Times New Roman" w:hAnsi="Times New Roman" w:cs="Times New Roman"/>
                <w:color w:val="000000"/>
                <w:lang w:eastAsia="es-HN"/>
              </w:rPr>
            </w:pPr>
            <w:r w:rsidRPr="0010645D">
              <w:rPr>
                <w:rFonts w:ascii="Times New Roman" w:eastAsia="Times New Roman" w:hAnsi="Times New Roman" w:cs="Times New Roman"/>
                <w:color w:val="000000"/>
                <w:lang w:eastAsia="es-HN"/>
              </w:rPr>
              <w:t>=</w:t>
            </w:r>
          </w:p>
        </w:tc>
        <w:tc>
          <w:tcPr>
            <w:tcW w:w="1359" w:type="dxa"/>
            <w:tcBorders>
              <w:top w:val="nil"/>
              <w:left w:val="nil"/>
              <w:bottom w:val="single" w:sz="4" w:space="0" w:color="auto"/>
              <w:right w:val="nil"/>
            </w:tcBorders>
            <w:shd w:val="clear" w:color="auto" w:fill="auto"/>
            <w:noWrap/>
            <w:vAlign w:val="bottom"/>
            <w:hideMark/>
          </w:tcPr>
          <w:p w14:paraId="196BDA62" w14:textId="77777777" w:rsidR="0010645D" w:rsidRPr="0010645D" w:rsidRDefault="0010645D" w:rsidP="0010645D">
            <w:pPr>
              <w:widowControl/>
              <w:rPr>
                <w:rFonts w:ascii="Times New Roman" w:eastAsia="Times New Roman" w:hAnsi="Times New Roman" w:cs="Times New Roman"/>
                <w:color w:val="000000"/>
                <w:lang w:eastAsia="es-HN"/>
              </w:rPr>
            </w:pPr>
            <w:r w:rsidRPr="0010645D">
              <w:rPr>
                <w:rFonts w:ascii="Times New Roman" w:eastAsia="Times New Roman" w:hAnsi="Times New Roman" w:cs="Times New Roman"/>
                <w:color w:val="000000"/>
                <w:lang w:eastAsia="es-HN"/>
              </w:rPr>
              <w:t xml:space="preserve">        147,249,892 </w:t>
            </w:r>
          </w:p>
        </w:tc>
        <w:tc>
          <w:tcPr>
            <w:tcW w:w="1359" w:type="dxa"/>
            <w:tcBorders>
              <w:top w:val="nil"/>
              <w:left w:val="nil"/>
              <w:bottom w:val="single" w:sz="4" w:space="0" w:color="auto"/>
              <w:right w:val="nil"/>
            </w:tcBorders>
            <w:shd w:val="clear" w:color="auto" w:fill="auto"/>
            <w:noWrap/>
            <w:vAlign w:val="bottom"/>
            <w:hideMark/>
          </w:tcPr>
          <w:p w14:paraId="59A59513" w14:textId="77777777" w:rsidR="0010645D" w:rsidRPr="0010645D" w:rsidRDefault="0010645D" w:rsidP="0010645D">
            <w:pPr>
              <w:widowControl/>
              <w:rPr>
                <w:rFonts w:ascii="Times New Roman" w:eastAsia="Times New Roman" w:hAnsi="Times New Roman" w:cs="Times New Roman"/>
                <w:color w:val="000000"/>
                <w:lang w:eastAsia="es-HN"/>
              </w:rPr>
            </w:pPr>
            <w:r w:rsidRPr="0010645D">
              <w:rPr>
                <w:rFonts w:ascii="Times New Roman" w:eastAsia="Times New Roman" w:hAnsi="Times New Roman" w:cs="Times New Roman"/>
                <w:color w:val="000000"/>
                <w:lang w:eastAsia="es-HN"/>
              </w:rPr>
              <w:t xml:space="preserve">        162,135,350 </w:t>
            </w:r>
          </w:p>
        </w:tc>
        <w:tc>
          <w:tcPr>
            <w:tcW w:w="1359" w:type="dxa"/>
            <w:tcBorders>
              <w:top w:val="nil"/>
              <w:left w:val="nil"/>
              <w:bottom w:val="single" w:sz="4" w:space="0" w:color="auto"/>
              <w:right w:val="nil"/>
            </w:tcBorders>
            <w:shd w:val="clear" w:color="auto" w:fill="auto"/>
            <w:noWrap/>
            <w:vAlign w:val="bottom"/>
            <w:hideMark/>
          </w:tcPr>
          <w:p w14:paraId="4054F1F0" w14:textId="77777777" w:rsidR="0010645D" w:rsidRPr="0010645D" w:rsidRDefault="0010645D" w:rsidP="0010645D">
            <w:pPr>
              <w:widowControl/>
              <w:rPr>
                <w:rFonts w:ascii="Times New Roman" w:eastAsia="Times New Roman" w:hAnsi="Times New Roman" w:cs="Times New Roman"/>
                <w:color w:val="000000"/>
                <w:lang w:eastAsia="es-HN"/>
              </w:rPr>
            </w:pPr>
            <w:r w:rsidRPr="0010645D">
              <w:rPr>
                <w:rFonts w:ascii="Times New Roman" w:eastAsia="Times New Roman" w:hAnsi="Times New Roman" w:cs="Times New Roman"/>
                <w:color w:val="000000"/>
                <w:lang w:eastAsia="es-HN"/>
              </w:rPr>
              <w:t xml:space="preserve">        119,980,859 </w:t>
            </w:r>
          </w:p>
        </w:tc>
        <w:tc>
          <w:tcPr>
            <w:tcW w:w="1359" w:type="dxa"/>
            <w:tcBorders>
              <w:top w:val="nil"/>
              <w:left w:val="nil"/>
              <w:bottom w:val="single" w:sz="4" w:space="0" w:color="auto"/>
              <w:right w:val="nil"/>
            </w:tcBorders>
            <w:shd w:val="clear" w:color="auto" w:fill="auto"/>
            <w:noWrap/>
            <w:vAlign w:val="bottom"/>
            <w:hideMark/>
          </w:tcPr>
          <w:p w14:paraId="15D25D94" w14:textId="77777777" w:rsidR="0010645D" w:rsidRPr="0010645D" w:rsidRDefault="0010645D" w:rsidP="0010645D">
            <w:pPr>
              <w:widowControl/>
              <w:rPr>
                <w:rFonts w:ascii="Times New Roman" w:eastAsia="Times New Roman" w:hAnsi="Times New Roman" w:cs="Times New Roman"/>
                <w:color w:val="000000"/>
                <w:lang w:eastAsia="es-HN"/>
              </w:rPr>
            </w:pPr>
            <w:r w:rsidRPr="0010645D">
              <w:rPr>
                <w:rFonts w:ascii="Times New Roman" w:eastAsia="Times New Roman" w:hAnsi="Times New Roman" w:cs="Times New Roman"/>
                <w:color w:val="000000"/>
                <w:lang w:eastAsia="es-HN"/>
              </w:rPr>
              <w:t xml:space="preserve">        113,957,301 </w:t>
            </w:r>
          </w:p>
        </w:tc>
        <w:tc>
          <w:tcPr>
            <w:tcW w:w="1359" w:type="dxa"/>
            <w:tcBorders>
              <w:top w:val="nil"/>
              <w:left w:val="nil"/>
              <w:bottom w:val="single" w:sz="4" w:space="0" w:color="auto"/>
              <w:right w:val="nil"/>
            </w:tcBorders>
            <w:shd w:val="clear" w:color="auto" w:fill="auto"/>
            <w:noWrap/>
            <w:vAlign w:val="bottom"/>
            <w:hideMark/>
          </w:tcPr>
          <w:p w14:paraId="425CC4FE" w14:textId="77777777" w:rsidR="0010645D" w:rsidRPr="0010645D" w:rsidRDefault="0010645D" w:rsidP="0010645D">
            <w:pPr>
              <w:widowControl/>
              <w:rPr>
                <w:rFonts w:ascii="Times New Roman" w:eastAsia="Times New Roman" w:hAnsi="Times New Roman" w:cs="Times New Roman"/>
                <w:color w:val="000000"/>
                <w:lang w:eastAsia="es-HN"/>
              </w:rPr>
            </w:pPr>
            <w:r w:rsidRPr="0010645D">
              <w:rPr>
                <w:rFonts w:ascii="Times New Roman" w:eastAsia="Times New Roman" w:hAnsi="Times New Roman" w:cs="Times New Roman"/>
                <w:color w:val="000000"/>
                <w:lang w:eastAsia="es-HN"/>
              </w:rPr>
              <w:t xml:space="preserve">        117,919,994 </w:t>
            </w:r>
          </w:p>
        </w:tc>
      </w:tr>
      <w:tr w:rsidR="0010645D" w:rsidRPr="0010645D" w14:paraId="5F4CCAD9" w14:textId="77777777" w:rsidTr="0010645D">
        <w:trPr>
          <w:trHeight w:val="235"/>
        </w:trPr>
        <w:tc>
          <w:tcPr>
            <w:tcW w:w="2121" w:type="dxa"/>
            <w:tcBorders>
              <w:top w:val="nil"/>
              <w:left w:val="nil"/>
              <w:bottom w:val="nil"/>
              <w:right w:val="nil"/>
            </w:tcBorders>
            <w:shd w:val="clear" w:color="auto" w:fill="auto"/>
            <w:noWrap/>
            <w:vAlign w:val="bottom"/>
            <w:hideMark/>
          </w:tcPr>
          <w:p w14:paraId="5CB9A885" w14:textId="77777777" w:rsidR="0010645D" w:rsidRPr="0010645D" w:rsidRDefault="0010645D" w:rsidP="0010645D">
            <w:pPr>
              <w:widowControl/>
              <w:rPr>
                <w:rFonts w:ascii="Times New Roman" w:eastAsia="Times New Roman" w:hAnsi="Times New Roman" w:cs="Times New Roman"/>
                <w:color w:val="000000"/>
                <w:lang w:eastAsia="es-HN"/>
              </w:rPr>
            </w:pPr>
          </w:p>
        </w:tc>
        <w:tc>
          <w:tcPr>
            <w:tcW w:w="327" w:type="dxa"/>
            <w:vMerge/>
            <w:tcBorders>
              <w:top w:val="nil"/>
              <w:left w:val="nil"/>
              <w:bottom w:val="nil"/>
              <w:right w:val="nil"/>
            </w:tcBorders>
            <w:vAlign w:val="center"/>
            <w:hideMark/>
          </w:tcPr>
          <w:p w14:paraId="5982D759" w14:textId="77777777" w:rsidR="0010645D" w:rsidRPr="0010645D" w:rsidRDefault="0010645D" w:rsidP="0010645D">
            <w:pPr>
              <w:widowControl/>
              <w:rPr>
                <w:rFonts w:ascii="Times New Roman" w:eastAsia="Times New Roman" w:hAnsi="Times New Roman" w:cs="Times New Roman"/>
                <w:color w:val="000000"/>
                <w:lang w:eastAsia="es-HN"/>
              </w:rPr>
            </w:pPr>
          </w:p>
        </w:tc>
        <w:tc>
          <w:tcPr>
            <w:tcW w:w="1359" w:type="dxa"/>
            <w:tcBorders>
              <w:top w:val="nil"/>
              <w:left w:val="nil"/>
              <w:bottom w:val="nil"/>
              <w:right w:val="nil"/>
            </w:tcBorders>
            <w:shd w:val="clear" w:color="auto" w:fill="auto"/>
            <w:noWrap/>
            <w:vAlign w:val="bottom"/>
            <w:hideMark/>
          </w:tcPr>
          <w:p w14:paraId="0B8C53CB" w14:textId="77777777" w:rsidR="0010645D" w:rsidRPr="0010645D" w:rsidRDefault="0010645D" w:rsidP="0010645D">
            <w:pPr>
              <w:widowControl/>
              <w:rPr>
                <w:rFonts w:ascii="Times New Roman" w:eastAsia="Times New Roman" w:hAnsi="Times New Roman" w:cs="Times New Roman"/>
                <w:color w:val="000000"/>
                <w:lang w:eastAsia="es-HN"/>
              </w:rPr>
            </w:pPr>
            <w:r w:rsidRPr="0010645D">
              <w:rPr>
                <w:rFonts w:ascii="Times New Roman" w:eastAsia="Times New Roman" w:hAnsi="Times New Roman" w:cs="Times New Roman"/>
                <w:color w:val="000000"/>
                <w:lang w:eastAsia="es-HN"/>
              </w:rPr>
              <w:t xml:space="preserve">        669,259,715 </w:t>
            </w:r>
          </w:p>
        </w:tc>
        <w:tc>
          <w:tcPr>
            <w:tcW w:w="1359" w:type="dxa"/>
            <w:tcBorders>
              <w:top w:val="nil"/>
              <w:left w:val="nil"/>
              <w:bottom w:val="nil"/>
              <w:right w:val="nil"/>
            </w:tcBorders>
            <w:shd w:val="clear" w:color="auto" w:fill="auto"/>
            <w:noWrap/>
            <w:vAlign w:val="bottom"/>
            <w:hideMark/>
          </w:tcPr>
          <w:p w14:paraId="217739C9" w14:textId="77777777" w:rsidR="0010645D" w:rsidRPr="0010645D" w:rsidRDefault="0010645D" w:rsidP="0010645D">
            <w:pPr>
              <w:widowControl/>
              <w:rPr>
                <w:rFonts w:ascii="Times New Roman" w:eastAsia="Times New Roman" w:hAnsi="Times New Roman" w:cs="Times New Roman"/>
                <w:color w:val="000000"/>
                <w:lang w:eastAsia="es-HN"/>
              </w:rPr>
            </w:pPr>
            <w:r w:rsidRPr="0010645D">
              <w:rPr>
                <w:rFonts w:ascii="Times New Roman" w:eastAsia="Times New Roman" w:hAnsi="Times New Roman" w:cs="Times New Roman"/>
                <w:color w:val="000000"/>
                <w:lang w:eastAsia="es-HN"/>
              </w:rPr>
              <w:t xml:space="preserve">        473,639,210 </w:t>
            </w:r>
          </w:p>
        </w:tc>
        <w:tc>
          <w:tcPr>
            <w:tcW w:w="1359" w:type="dxa"/>
            <w:tcBorders>
              <w:top w:val="nil"/>
              <w:left w:val="nil"/>
              <w:bottom w:val="nil"/>
              <w:right w:val="nil"/>
            </w:tcBorders>
            <w:shd w:val="clear" w:color="auto" w:fill="auto"/>
            <w:noWrap/>
            <w:vAlign w:val="bottom"/>
            <w:hideMark/>
          </w:tcPr>
          <w:p w14:paraId="75F09FD8" w14:textId="77777777" w:rsidR="0010645D" w:rsidRPr="0010645D" w:rsidRDefault="0010645D" w:rsidP="0010645D">
            <w:pPr>
              <w:widowControl/>
              <w:rPr>
                <w:rFonts w:ascii="Times New Roman" w:eastAsia="Times New Roman" w:hAnsi="Times New Roman" w:cs="Times New Roman"/>
                <w:color w:val="000000"/>
                <w:lang w:eastAsia="es-HN"/>
              </w:rPr>
            </w:pPr>
            <w:r w:rsidRPr="0010645D">
              <w:rPr>
                <w:rFonts w:ascii="Times New Roman" w:eastAsia="Times New Roman" w:hAnsi="Times New Roman" w:cs="Times New Roman"/>
                <w:color w:val="000000"/>
                <w:lang w:eastAsia="es-HN"/>
              </w:rPr>
              <w:t xml:space="preserve">        410,225,726 </w:t>
            </w:r>
          </w:p>
        </w:tc>
        <w:tc>
          <w:tcPr>
            <w:tcW w:w="1359" w:type="dxa"/>
            <w:tcBorders>
              <w:top w:val="nil"/>
              <w:left w:val="nil"/>
              <w:bottom w:val="nil"/>
              <w:right w:val="nil"/>
            </w:tcBorders>
            <w:shd w:val="clear" w:color="auto" w:fill="auto"/>
            <w:noWrap/>
            <w:vAlign w:val="bottom"/>
            <w:hideMark/>
          </w:tcPr>
          <w:p w14:paraId="2B311AC7" w14:textId="77777777" w:rsidR="0010645D" w:rsidRPr="0010645D" w:rsidRDefault="0010645D" w:rsidP="0010645D">
            <w:pPr>
              <w:widowControl/>
              <w:rPr>
                <w:rFonts w:ascii="Times New Roman" w:eastAsia="Times New Roman" w:hAnsi="Times New Roman" w:cs="Times New Roman"/>
                <w:color w:val="000000"/>
                <w:lang w:eastAsia="es-HN"/>
              </w:rPr>
            </w:pPr>
            <w:r w:rsidRPr="0010645D">
              <w:rPr>
                <w:rFonts w:ascii="Times New Roman" w:eastAsia="Times New Roman" w:hAnsi="Times New Roman" w:cs="Times New Roman"/>
                <w:color w:val="000000"/>
                <w:lang w:eastAsia="es-HN"/>
              </w:rPr>
              <w:t xml:space="preserve">        407,135,155 </w:t>
            </w:r>
          </w:p>
        </w:tc>
        <w:tc>
          <w:tcPr>
            <w:tcW w:w="1359" w:type="dxa"/>
            <w:tcBorders>
              <w:top w:val="nil"/>
              <w:left w:val="nil"/>
              <w:bottom w:val="nil"/>
              <w:right w:val="nil"/>
            </w:tcBorders>
            <w:shd w:val="clear" w:color="auto" w:fill="auto"/>
            <w:noWrap/>
            <w:vAlign w:val="bottom"/>
            <w:hideMark/>
          </w:tcPr>
          <w:p w14:paraId="15DD2122" w14:textId="77777777" w:rsidR="0010645D" w:rsidRPr="0010645D" w:rsidRDefault="0010645D" w:rsidP="0010645D">
            <w:pPr>
              <w:widowControl/>
              <w:rPr>
                <w:rFonts w:ascii="Times New Roman" w:eastAsia="Times New Roman" w:hAnsi="Times New Roman" w:cs="Times New Roman"/>
                <w:color w:val="000000"/>
                <w:lang w:eastAsia="es-HN"/>
              </w:rPr>
            </w:pPr>
            <w:r w:rsidRPr="0010645D">
              <w:rPr>
                <w:rFonts w:ascii="Times New Roman" w:eastAsia="Times New Roman" w:hAnsi="Times New Roman" w:cs="Times New Roman"/>
                <w:color w:val="000000"/>
                <w:lang w:eastAsia="es-HN"/>
              </w:rPr>
              <w:t xml:space="preserve">        435,218,408 </w:t>
            </w:r>
          </w:p>
        </w:tc>
      </w:tr>
      <w:tr w:rsidR="0010645D" w:rsidRPr="0010645D" w14:paraId="403B159B" w14:textId="77777777" w:rsidTr="0010645D">
        <w:trPr>
          <w:trHeight w:val="235"/>
        </w:trPr>
        <w:tc>
          <w:tcPr>
            <w:tcW w:w="2121" w:type="dxa"/>
            <w:tcBorders>
              <w:top w:val="nil"/>
              <w:left w:val="nil"/>
              <w:bottom w:val="nil"/>
              <w:right w:val="nil"/>
            </w:tcBorders>
            <w:shd w:val="clear" w:color="auto" w:fill="auto"/>
            <w:noWrap/>
            <w:vAlign w:val="bottom"/>
            <w:hideMark/>
          </w:tcPr>
          <w:p w14:paraId="200EDB33" w14:textId="77777777" w:rsidR="0010645D" w:rsidRPr="0010645D" w:rsidRDefault="0010645D" w:rsidP="0010645D">
            <w:pPr>
              <w:widowControl/>
              <w:rPr>
                <w:rFonts w:ascii="Times New Roman" w:eastAsia="Times New Roman" w:hAnsi="Times New Roman" w:cs="Times New Roman"/>
                <w:color w:val="000000"/>
                <w:lang w:eastAsia="es-HN"/>
              </w:rPr>
            </w:pPr>
          </w:p>
        </w:tc>
        <w:tc>
          <w:tcPr>
            <w:tcW w:w="327" w:type="dxa"/>
            <w:tcBorders>
              <w:top w:val="nil"/>
              <w:left w:val="nil"/>
              <w:bottom w:val="nil"/>
              <w:right w:val="nil"/>
            </w:tcBorders>
            <w:shd w:val="clear" w:color="auto" w:fill="auto"/>
            <w:noWrap/>
            <w:vAlign w:val="bottom"/>
            <w:hideMark/>
          </w:tcPr>
          <w:p w14:paraId="74FBEA5F" w14:textId="77777777" w:rsidR="0010645D" w:rsidRPr="0010645D" w:rsidRDefault="0010645D" w:rsidP="0010645D">
            <w:pPr>
              <w:widowControl/>
              <w:rPr>
                <w:rFonts w:ascii="Times New Roman" w:eastAsia="Times New Roman" w:hAnsi="Times New Roman" w:cs="Times New Roman"/>
                <w:sz w:val="20"/>
                <w:szCs w:val="20"/>
                <w:lang w:eastAsia="es-HN"/>
              </w:rPr>
            </w:pPr>
          </w:p>
        </w:tc>
        <w:tc>
          <w:tcPr>
            <w:tcW w:w="1359" w:type="dxa"/>
            <w:tcBorders>
              <w:top w:val="nil"/>
              <w:left w:val="nil"/>
              <w:bottom w:val="nil"/>
              <w:right w:val="nil"/>
            </w:tcBorders>
            <w:shd w:val="clear" w:color="000000" w:fill="CAEDFB"/>
            <w:noWrap/>
            <w:vAlign w:val="bottom"/>
            <w:hideMark/>
          </w:tcPr>
          <w:p w14:paraId="7F5B3D36" w14:textId="77777777" w:rsidR="0010645D" w:rsidRPr="0010645D" w:rsidRDefault="0010645D" w:rsidP="0010645D">
            <w:pPr>
              <w:widowControl/>
              <w:jc w:val="center"/>
              <w:rPr>
                <w:rFonts w:ascii="Times New Roman" w:eastAsia="Times New Roman" w:hAnsi="Times New Roman" w:cs="Times New Roman"/>
                <w:b/>
                <w:bCs/>
                <w:color w:val="000000"/>
                <w:lang w:eastAsia="es-HN"/>
              </w:rPr>
            </w:pPr>
            <w:r w:rsidRPr="0010645D">
              <w:rPr>
                <w:rFonts w:ascii="Times New Roman" w:eastAsia="Times New Roman" w:hAnsi="Times New Roman" w:cs="Times New Roman"/>
                <w:b/>
                <w:bCs/>
                <w:color w:val="000000"/>
                <w:lang w:eastAsia="es-HN"/>
              </w:rPr>
              <w:t>22.0%</w:t>
            </w:r>
          </w:p>
        </w:tc>
        <w:tc>
          <w:tcPr>
            <w:tcW w:w="1359" w:type="dxa"/>
            <w:tcBorders>
              <w:top w:val="nil"/>
              <w:left w:val="nil"/>
              <w:bottom w:val="nil"/>
              <w:right w:val="nil"/>
            </w:tcBorders>
            <w:shd w:val="clear" w:color="000000" w:fill="CAEDFB"/>
            <w:noWrap/>
            <w:vAlign w:val="bottom"/>
            <w:hideMark/>
          </w:tcPr>
          <w:p w14:paraId="6A4846D0" w14:textId="77777777" w:rsidR="0010645D" w:rsidRPr="0010645D" w:rsidRDefault="0010645D" w:rsidP="0010645D">
            <w:pPr>
              <w:widowControl/>
              <w:jc w:val="center"/>
              <w:rPr>
                <w:rFonts w:ascii="Times New Roman" w:eastAsia="Times New Roman" w:hAnsi="Times New Roman" w:cs="Times New Roman"/>
                <w:b/>
                <w:bCs/>
                <w:color w:val="000000"/>
                <w:lang w:eastAsia="es-HN"/>
              </w:rPr>
            </w:pPr>
            <w:r w:rsidRPr="0010645D">
              <w:rPr>
                <w:rFonts w:ascii="Times New Roman" w:eastAsia="Times New Roman" w:hAnsi="Times New Roman" w:cs="Times New Roman"/>
                <w:b/>
                <w:bCs/>
                <w:color w:val="000000"/>
                <w:lang w:eastAsia="es-HN"/>
              </w:rPr>
              <w:t>34.2%</w:t>
            </w:r>
          </w:p>
        </w:tc>
        <w:tc>
          <w:tcPr>
            <w:tcW w:w="1359" w:type="dxa"/>
            <w:tcBorders>
              <w:top w:val="nil"/>
              <w:left w:val="nil"/>
              <w:bottom w:val="nil"/>
              <w:right w:val="nil"/>
            </w:tcBorders>
            <w:shd w:val="clear" w:color="000000" w:fill="CAEDFB"/>
            <w:noWrap/>
            <w:vAlign w:val="bottom"/>
            <w:hideMark/>
          </w:tcPr>
          <w:p w14:paraId="71D17FB0" w14:textId="77777777" w:rsidR="0010645D" w:rsidRPr="0010645D" w:rsidRDefault="0010645D" w:rsidP="0010645D">
            <w:pPr>
              <w:widowControl/>
              <w:jc w:val="center"/>
              <w:rPr>
                <w:rFonts w:ascii="Times New Roman" w:eastAsia="Times New Roman" w:hAnsi="Times New Roman" w:cs="Times New Roman"/>
                <w:b/>
                <w:bCs/>
                <w:color w:val="000000"/>
                <w:lang w:eastAsia="es-HN"/>
              </w:rPr>
            </w:pPr>
            <w:r w:rsidRPr="0010645D">
              <w:rPr>
                <w:rFonts w:ascii="Times New Roman" w:eastAsia="Times New Roman" w:hAnsi="Times New Roman" w:cs="Times New Roman"/>
                <w:b/>
                <w:bCs/>
                <w:color w:val="000000"/>
                <w:lang w:eastAsia="es-HN"/>
              </w:rPr>
              <w:t>29.2%</w:t>
            </w:r>
          </w:p>
        </w:tc>
        <w:tc>
          <w:tcPr>
            <w:tcW w:w="1359" w:type="dxa"/>
            <w:tcBorders>
              <w:top w:val="nil"/>
              <w:left w:val="nil"/>
              <w:bottom w:val="nil"/>
              <w:right w:val="nil"/>
            </w:tcBorders>
            <w:shd w:val="clear" w:color="000000" w:fill="CAEDFB"/>
            <w:noWrap/>
            <w:vAlign w:val="bottom"/>
            <w:hideMark/>
          </w:tcPr>
          <w:p w14:paraId="0D1C72E2" w14:textId="77777777" w:rsidR="0010645D" w:rsidRPr="0010645D" w:rsidRDefault="0010645D" w:rsidP="0010645D">
            <w:pPr>
              <w:widowControl/>
              <w:jc w:val="center"/>
              <w:rPr>
                <w:rFonts w:ascii="Times New Roman" w:eastAsia="Times New Roman" w:hAnsi="Times New Roman" w:cs="Times New Roman"/>
                <w:b/>
                <w:bCs/>
                <w:color w:val="000000"/>
                <w:lang w:eastAsia="es-HN"/>
              </w:rPr>
            </w:pPr>
            <w:r w:rsidRPr="0010645D">
              <w:rPr>
                <w:rFonts w:ascii="Times New Roman" w:eastAsia="Times New Roman" w:hAnsi="Times New Roman" w:cs="Times New Roman"/>
                <w:b/>
                <w:bCs/>
                <w:color w:val="000000"/>
                <w:lang w:eastAsia="es-HN"/>
              </w:rPr>
              <w:t>28.0%</w:t>
            </w:r>
          </w:p>
        </w:tc>
        <w:tc>
          <w:tcPr>
            <w:tcW w:w="1359" w:type="dxa"/>
            <w:tcBorders>
              <w:top w:val="nil"/>
              <w:left w:val="nil"/>
              <w:bottom w:val="nil"/>
              <w:right w:val="nil"/>
            </w:tcBorders>
            <w:shd w:val="clear" w:color="000000" w:fill="CAEDFB"/>
            <w:noWrap/>
            <w:vAlign w:val="bottom"/>
            <w:hideMark/>
          </w:tcPr>
          <w:p w14:paraId="177009F7" w14:textId="77777777" w:rsidR="0010645D" w:rsidRPr="0010645D" w:rsidRDefault="0010645D" w:rsidP="0010645D">
            <w:pPr>
              <w:widowControl/>
              <w:jc w:val="center"/>
              <w:rPr>
                <w:rFonts w:ascii="Times New Roman" w:eastAsia="Times New Roman" w:hAnsi="Times New Roman" w:cs="Times New Roman"/>
                <w:b/>
                <w:bCs/>
                <w:color w:val="000000"/>
                <w:lang w:eastAsia="es-HN"/>
              </w:rPr>
            </w:pPr>
            <w:r w:rsidRPr="0010645D">
              <w:rPr>
                <w:rFonts w:ascii="Times New Roman" w:eastAsia="Times New Roman" w:hAnsi="Times New Roman" w:cs="Times New Roman"/>
                <w:b/>
                <w:bCs/>
                <w:color w:val="000000"/>
                <w:lang w:eastAsia="es-HN"/>
              </w:rPr>
              <w:t>27.1%</w:t>
            </w:r>
          </w:p>
        </w:tc>
      </w:tr>
    </w:tbl>
    <w:p w14:paraId="3386C292" w14:textId="5B5DDBF3" w:rsidR="009140A7" w:rsidRPr="00783048" w:rsidRDefault="009140A7" w:rsidP="003E2058">
      <w:pPr>
        <w:spacing w:before="240" w:after="240" w:line="360" w:lineRule="auto"/>
        <w:ind w:firstLine="720"/>
        <w:jc w:val="both"/>
        <w:rPr>
          <w:rFonts w:ascii="Times New Roman" w:hAnsi="Times New Roman" w:cs="Times New Roman"/>
          <w:noProof/>
          <w:sz w:val="24"/>
          <w:szCs w:val="24"/>
        </w:rPr>
      </w:pPr>
      <w:r w:rsidRPr="00783048">
        <w:rPr>
          <w:rFonts w:ascii="Times New Roman" w:hAnsi="Times New Roman" w:cs="Times New Roman"/>
          <w:sz w:val="24"/>
          <w:szCs w:val="24"/>
        </w:rPr>
        <w:t xml:space="preserve">Fuente: Elaboración propia con datos de microfinanciera </w:t>
      </w:r>
      <w:r w:rsidR="00E5074B" w:rsidRPr="00783048">
        <w:rPr>
          <w:rFonts w:ascii="Times New Roman" w:hAnsi="Times New Roman" w:cs="Times New Roman"/>
          <w:sz w:val="24"/>
          <w:szCs w:val="24"/>
        </w:rPr>
        <w:t>“XYZ”</w:t>
      </w:r>
      <w:r w:rsidRPr="00783048">
        <w:rPr>
          <w:rFonts w:ascii="Times New Roman" w:hAnsi="Times New Roman" w:cs="Times New Roman"/>
          <w:noProof/>
          <w:sz w:val="24"/>
          <w:szCs w:val="24"/>
        </w:rPr>
        <w:t>.</w:t>
      </w:r>
    </w:p>
    <w:p w14:paraId="722898E6" w14:textId="30CDDE84" w:rsidR="00325761" w:rsidRPr="00CC406E" w:rsidRDefault="00CC406E" w:rsidP="00325761">
      <w:pPr>
        <w:spacing w:after="240" w:line="360" w:lineRule="auto"/>
        <w:ind w:firstLine="720"/>
        <w:jc w:val="both"/>
        <w:rPr>
          <w:rFonts w:ascii="Times New Roman" w:hAnsi="Times New Roman" w:cs="Times New Roman"/>
          <w:noProof/>
          <w:sz w:val="24"/>
          <w:szCs w:val="24"/>
        </w:rPr>
      </w:pPr>
      <w:r w:rsidRPr="00CC406E">
        <w:rPr>
          <w:rFonts w:ascii="Times New Roman" w:hAnsi="Times New Roman" w:cs="Times New Roman"/>
          <w:noProof/>
          <w:sz w:val="24"/>
          <w:szCs w:val="24"/>
        </w:rPr>
        <w:t xml:space="preserve">Al igual que en el indice de mora mayor a 8 dias, este indicador muestra fuertes fluctuaciones negativas para la institución, </w:t>
      </w:r>
      <w:r>
        <w:rPr>
          <w:rFonts w:ascii="Times New Roman" w:hAnsi="Times New Roman" w:cs="Times New Roman"/>
          <w:noProof/>
          <w:sz w:val="24"/>
          <w:szCs w:val="24"/>
        </w:rPr>
        <w:t xml:space="preserve">generando un </w:t>
      </w:r>
      <w:r w:rsidRPr="00CC406E">
        <w:rPr>
          <w:rFonts w:ascii="Times New Roman" w:hAnsi="Times New Roman" w:cs="Times New Roman"/>
          <w:noProof/>
          <w:sz w:val="24"/>
          <w:szCs w:val="24"/>
        </w:rPr>
        <w:t>impacto negativo en la salud financiera de la</w:t>
      </w:r>
      <w:r>
        <w:rPr>
          <w:rFonts w:ascii="Times New Roman" w:hAnsi="Times New Roman" w:cs="Times New Roman"/>
          <w:noProof/>
          <w:sz w:val="24"/>
          <w:szCs w:val="24"/>
        </w:rPr>
        <w:t xml:space="preserve"> IMF</w:t>
      </w:r>
      <w:r w:rsidRPr="00CC406E">
        <w:rPr>
          <w:rFonts w:ascii="Times New Roman" w:hAnsi="Times New Roman" w:cs="Times New Roman"/>
          <w:noProof/>
          <w:sz w:val="24"/>
          <w:szCs w:val="24"/>
        </w:rPr>
        <w:t xml:space="preserve">, ya que </w:t>
      </w:r>
      <w:r>
        <w:rPr>
          <w:rFonts w:ascii="Times New Roman" w:hAnsi="Times New Roman" w:cs="Times New Roman"/>
          <w:noProof/>
          <w:sz w:val="24"/>
          <w:szCs w:val="24"/>
        </w:rPr>
        <w:t>existe</w:t>
      </w:r>
      <w:r w:rsidRPr="00CC406E">
        <w:rPr>
          <w:rFonts w:ascii="Times New Roman" w:hAnsi="Times New Roman" w:cs="Times New Roman"/>
          <w:noProof/>
          <w:sz w:val="24"/>
          <w:szCs w:val="24"/>
        </w:rPr>
        <w:t>n disminuci</w:t>
      </w:r>
      <w:r>
        <w:rPr>
          <w:rFonts w:ascii="Times New Roman" w:hAnsi="Times New Roman" w:cs="Times New Roman"/>
          <w:noProof/>
          <w:sz w:val="24"/>
          <w:szCs w:val="24"/>
        </w:rPr>
        <w:t xml:space="preserve">ones en </w:t>
      </w:r>
      <w:r w:rsidRPr="00CC406E">
        <w:rPr>
          <w:rFonts w:ascii="Times New Roman" w:hAnsi="Times New Roman" w:cs="Times New Roman"/>
          <w:noProof/>
          <w:sz w:val="24"/>
          <w:szCs w:val="24"/>
        </w:rPr>
        <w:t xml:space="preserve">ingresos por intereses, </w:t>
      </w:r>
      <w:r>
        <w:rPr>
          <w:rFonts w:ascii="Times New Roman" w:hAnsi="Times New Roman" w:cs="Times New Roman"/>
          <w:noProof/>
          <w:sz w:val="24"/>
          <w:szCs w:val="24"/>
        </w:rPr>
        <w:t xml:space="preserve">ademas de </w:t>
      </w:r>
      <w:r w:rsidRPr="00CC406E">
        <w:rPr>
          <w:rFonts w:ascii="Times New Roman" w:hAnsi="Times New Roman" w:cs="Times New Roman"/>
          <w:noProof/>
          <w:sz w:val="24"/>
          <w:szCs w:val="24"/>
        </w:rPr>
        <w:t>aumento</w:t>
      </w:r>
      <w:r>
        <w:rPr>
          <w:rFonts w:ascii="Times New Roman" w:hAnsi="Times New Roman" w:cs="Times New Roman"/>
          <w:noProof/>
          <w:sz w:val="24"/>
          <w:szCs w:val="24"/>
        </w:rPr>
        <w:t>s</w:t>
      </w:r>
      <w:r w:rsidRPr="00CC406E">
        <w:rPr>
          <w:rFonts w:ascii="Times New Roman" w:hAnsi="Times New Roman" w:cs="Times New Roman"/>
          <w:noProof/>
          <w:sz w:val="24"/>
          <w:szCs w:val="24"/>
        </w:rPr>
        <w:t xml:space="preserve"> en las provisiones para pérdidas crediticias y posiblemente la necesidad de recuperación agresiva de deudas</w:t>
      </w:r>
      <w:r>
        <w:rPr>
          <w:rFonts w:ascii="Times New Roman" w:hAnsi="Times New Roman" w:cs="Times New Roman"/>
          <w:noProof/>
          <w:sz w:val="24"/>
          <w:szCs w:val="24"/>
        </w:rPr>
        <w:t>.</w:t>
      </w:r>
    </w:p>
    <w:p w14:paraId="224D09EA" w14:textId="317E3B16" w:rsidR="0010645D" w:rsidRDefault="0010645D" w:rsidP="00272B2F">
      <w:pPr>
        <w:spacing w:line="360" w:lineRule="auto"/>
        <w:jc w:val="center"/>
        <w:rPr>
          <w:rFonts w:ascii="Times New Roman" w:hAnsi="Times New Roman" w:cs="Times New Roman"/>
          <w:b/>
          <w:bCs/>
          <w:sz w:val="24"/>
          <w:szCs w:val="24"/>
        </w:rPr>
      </w:pPr>
      <w:r>
        <w:rPr>
          <w:noProof/>
        </w:rPr>
        <w:lastRenderedPageBreak/>
        <w:drawing>
          <wp:inline distT="0" distB="0" distL="0" distR="0" wp14:anchorId="52AD8A31" wp14:editId="11331015">
            <wp:extent cx="4442460" cy="2987040"/>
            <wp:effectExtent l="0" t="0" r="15240" b="3810"/>
            <wp:docPr id="616871174" name="Gráfico 1">
              <a:extLst xmlns:a="http://schemas.openxmlformats.org/drawingml/2006/main">
                <a:ext uri="{FF2B5EF4-FFF2-40B4-BE49-F238E27FC236}">
                  <a16:creationId xmlns:a16="http://schemas.microsoft.com/office/drawing/2014/main" id="{1D42E636-0A30-C9C6-42DB-D767BC73E652}"/>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inline>
        </w:drawing>
      </w:r>
    </w:p>
    <w:p w14:paraId="745163C6" w14:textId="77777777" w:rsidR="00DF41E4" w:rsidRDefault="009140A7" w:rsidP="00783048">
      <w:pPr>
        <w:spacing w:line="360" w:lineRule="auto"/>
        <w:ind w:firstLine="720"/>
        <w:jc w:val="both"/>
        <w:rPr>
          <w:rFonts w:ascii="Times New Roman" w:hAnsi="Times New Roman" w:cs="Times New Roman"/>
          <w:sz w:val="24"/>
          <w:szCs w:val="24"/>
          <w:lang w:val="es-ES"/>
        </w:rPr>
      </w:pPr>
      <w:r w:rsidRPr="00783048">
        <w:rPr>
          <w:rFonts w:ascii="Times New Roman" w:hAnsi="Times New Roman" w:cs="Times New Roman"/>
          <w:sz w:val="24"/>
          <w:szCs w:val="24"/>
          <w:lang w:val="es-ES"/>
        </w:rPr>
        <w:t>Figura 15. Índice de Mora mayor a 30 días.</w:t>
      </w:r>
    </w:p>
    <w:p w14:paraId="00EE1B98" w14:textId="76490C90" w:rsidR="009140A7" w:rsidRPr="00783048" w:rsidRDefault="00DF41E4" w:rsidP="00783048">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lang w:val="es-ES"/>
        </w:rPr>
        <w:t xml:space="preserve">Fuente: </w:t>
      </w:r>
      <w:r w:rsidR="009140A7" w:rsidRPr="00783048">
        <w:rPr>
          <w:rFonts w:ascii="Times New Roman" w:hAnsi="Times New Roman" w:cs="Times New Roman"/>
          <w:sz w:val="24"/>
          <w:szCs w:val="24"/>
        </w:rPr>
        <w:t xml:space="preserve">Elaboración propia con datos de microfinanciera </w:t>
      </w:r>
      <w:r w:rsidR="00E5074B" w:rsidRPr="00783048">
        <w:rPr>
          <w:rFonts w:ascii="Times New Roman" w:hAnsi="Times New Roman" w:cs="Times New Roman"/>
          <w:sz w:val="24"/>
          <w:szCs w:val="24"/>
        </w:rPr>
        <w:t>“XYZ”</w:t>
      </w:r>
      <w:r w:rsidR="00783048" w:rsidRPr="00783048">
        <w:rPr>
          <w:rFonts w:ascii="Times New Roman" w:hAnsi="Times New Roman" w:cs="Times New Roman"/>
          <w:sz w:val="24"/>
          <w:szCs w:val="24"/>
        </w:rPr>
        <w:t>.</w:t>
      </w:r>
    </w:p>
    <w:p w14:paraId="5F821384" w14:textId="77777777" w:rsidR="009140A7" w:rsidRDefault="009140A7" w:rsidP="00195CA2">
      <w:pPr>
        <w:spacing w:line="360" w:lineRule="auto"/>
        <w:jc w:val="both"/>
        <w:rPr>
          <w:rFonts w:ascii="Times New Roman" w:hAnsi="Times New Roman" w:cs="Times New Roman"/>
          <w:b/>
          <w:bCs/>
          <w:sz w:val="24"/>
          <w:szCs w:val="24"/>
        </w:rPr>
      </w:pPr>
    </w:p>
    <w:p w14:paraId="7238D0CF" w14:textId="245B2DE7" w:rsidR="00CC406E" w:rsidRDefault="00CC406E" w:rsidP="004F046E">
      <w:pPr>
        <w:spacing w:line="360" w:lineRule="auto"/>
        <w:ind w:firstLine="720"/>
        <w:jc w:val="both"/>
        <w:rPr>
          <w:rFonts w:ascii="Times New Roman" w:hAnsi="Times New Roman" w:cs="Times New Roman"/>
          <w:sz w:val="24"/>
          <w:szCs w:val="24"/>
        </w:rPr>
      </w:pPr>
      <w:r w:rsidRPr="00CC406E">
        <w:rPr>
          <w:rFonts w:ascii="Times New Roman" w:hAnsi="Times New Roman" w:cs="Times New Roman"/>
          <w:sz w:val="24"/>
          <w:szCs w:val="24"/>
        </w:rPr>
        <w:t>Se logr</w:t>
      </w:r>
      <w:r w:rsidR="00305A57">
        <w:rPr>
          <w:rFonts w:ascii="Times New Roman" w:hAnsi="Times New Roman" w:cs="Times New Roman"/>
          <w:sz w:val="24"/>
          <w:szCs w:val="24"/>
        </w:rPr>
        <w:t xml:space="preserve">o </w:t>
      </w:r>
      <w:r w:rsidRPr="00CC406E">
        <w:rPr>
          <w:rFonts w:ascii="Times New Roman" w:hAnsi="Times New Roman" w:cs="Times New Roman"/>
          <w:sz w:val="24"/>
          <w:szCs w:val="24"/>
        </w:rPr>
        <w:t>identificar que el pico más alto de la mora mayor a 30 días se da en el</w:t>
      </w:r>
      <w:r w:rsidR="00305A57">
        <w:rPr>
          <w:rFonts w:ascii="Times New Roman" w:hAnsi="Times New Roman" w:cs="Times New Roman"/>
          <w:sz w:val="24"/>
          <w:szCs w:val="24"/>
        </w:rPr>
        <w:t xml:space="preserve"> </w:t>
      </w:r>
      <w:r w:rsidRPr="00CC406E">
        <w:rPr>
          <w:rFonts w:ascii="Times New Roman" w:hAnsi="Times New Roman" w:cs="Times New Roman"/>
          <w:sz w:val="24"/>
          <w:szCs w:val="24"/>
        </w:rPr>
        <w:t xml:space="preserve">2020, año en que los clientes dejaron de pagar sus deudas debido a </w:t>
      </w:r>
      <w:r w:rsidR="00E66890">
        <w:rPr>
          <w:rFonts w:ascii="Times New Roman" w:hAnsi="Times New Roman" w:cs="Times New Roman"/>
          <w:sz w:val="24"/>
          <w:szCs w:val="24"/>
        </w:rPr>
        <w:t xml:space="preserve">la emergencia sanitaria por COVID-19, </w:t>
      </w:r>
      <w:r w:rsidR="00305A57">
        <w:rPr>
          <w:rFonts w:ascii="Times New Roman" w:hAnsi="Times New Roman" w:cs="Times New Roman"/>
          <w:sz w:val="24"/>
          <w:szCs w:val="24"/>
        </w:rPr>
        <w:t xml:space="preserve">ya que se vieron en la obligación de cerrar sus negocios, dejando así de generar ingresos para cumplir con sus cuotas, </w:t>
      </w:r>
      <w:r w:rsidR="00E66890">
        <w:rPr>
          <w:rFonts w:ascii="Times New Roman" w:hAnsi="Times New Roman" w:cs="Times New Roman"/>
          <w:sz w:val="24"/>
          <w:szCs w:val="24"/>
        </w:rPr>
        <w:t>sin embargo, por parte de las autoridades locales se establecieron medidas de alivio en las que se otorgaba a los clientes hasta seis meses para realizar los pagos de sus cuotas</w:t>
      </w:r>
      <w:r w:rsidR="00042453">
        <w:rPr>
          <w:rFonts w:ascii="Times New Roman" w:hAnsi="Times New Roman" w:cs="Times New Roman"/>
          <w:sz w:val="24"/>
          <w:szCs w:val="24"/>
        </w:rPr>
        <w:t>.</w:t>
      </w:r>
    </w:p>
    <w:p w14:paraId="35E775F6" w14:textId="736DD219" w:rsidR="00042453" w:rsidRDefault="00042453" w:rsidP="004F046E">
      <w:pPr>
        <w:spacing w:line="360" w:lineRule="auto"/>
        <w:ind w:firstLine="720"/>
        <w:jc w:val="both"/>
        <w:rPr>
          <w:rFonts w:ascii="Times New Roman" w:hAnsi="Times New Roman" w:cs="Times New Roman"/>
          <w:sz w:val="24"/>
          <w:szCs w:val="24"/>
        </w:rPr>
      </w:pPr>
      <w:r w:rsidRPr="00042453">
        <w:rPr>
          <w:rFonts w:ascii="Times New Roman" w:hAnsi="Times New Roman" w:cs="Times New Roman"/>
          <w:sz w:val="24"/>
          <w:szCs w:val="24"/>
        </w:rPr>
        <w:t>La gráfica muestra una situación crítica en términos de mora mayor a 30 días, con niveles consistentemente muy por encima del límite regulatorio del 5%. Aunque hay una tendencia de mejora, la velocidad es insuficiente y se requieren medidas urgentes y efectivas para reducir la mora y cumplir con los estándares regulatorios.</w:t>
      </w:r>
    </w:p>
    <w:p w14:paraId="1DE4F031" w14:textId="77777777" w:rsidR="00325761" w:rsidRDefault="00325761" w:rsidP="00325761">
      <w:pPr>
        <w:spacing w:after="240" w:line="360" w:lineRule="auto"/>
        <w:jc w:val="both"/>
        <w:rPr>
          <w:rFonts w:ascii="Times New Roman" w:hAnsi="Times New Roman" w:cs="Times New Roman"/>
          <w:noProof/>
          <w:sz w:val="24"/>
          <w:szCs w:val="24"/>
        </w:rPr>
      </w:pPr>
    </w:p>
    <w:p w14:paraId="72DF5845" w14:textId="77777777" w:rsidR="00325761" w:rsidRPr="00195CA2" w:rsidRDefault="00325761" w:rsidP="00325761">
      <w:pPr>
        <w:pStyle w:val="Ttulo5"/>
        <w:spacing w:line="360" w:lineRule="auto"/>
        <w:ind w:firstLine="1440"/>
        <w:rPr>
          <w:rFonts w:ascii="Times New Roman" w:hAnsi="Times New Roman" w:cs="Times New Roman"/>
          <w:b/>
          <w:bCs/>
          <w:color w:val="000000" w:themeColor="text1"/>
          <w:sz w:val="24"/>
          <w:szCs w:val="24"/>
        </w:rPr>
      </w:pPr>
      <w:bookmarkStart w:id="304" w:name="_Toc175171447"/>
      <w:r w:rsidRPr="00195CA2">
        <w:rPr>
          <w:rFonts w:ascii="Times New Roman" w:hAnsi="Times New Roman" w:cs="Times New Roman"/>
          <w:b/>
          <w:bCs/>
          <w:color w:val="000000" w:themeColor="text1"/>
          <w:sz w:val="24"/>
          <w:szCs w:val="24"/>
        </w:rPr>
        <w:t>4.2.4.1.</w:t>
      </w:r>
      <w:r>
        <w:rPr>
          <w:rFonts w:ascii="Times New Roman" w:hAnsi="Times New Roman" w:cs="Times New Roman"/>
          <w:b/>
          <w:bCs/>
          <w:color w:val="000000" w:themeColor="text1"/>
          <w:sz w:val="24"/>
          <w:szCs w:val="24"/>
        </w:rPr>
        <w:t>3</w:t>
      </w:r>
      <w:r w:rsidRPr="00195CA2">
        <w:rPr>
          <w:rFonts w:ascii="Times New Roman" w:hAnsi="Times New Roman" w:cs="Times New Roman"/>
          <w:b/>
          <w:bCs/>
          <w:color w:val="000000" w:themeColor="text1"/>
          <w:sz w:val="24"/>
          <w:szCs w:val="24"/>
        </w:rPr>
        <w:t xml:space="preserve">. INDICE DE MORA MAYOR A </w:t>
      </w:r>
      <w:r>
        <w:rPr>
          <w:rFonts w:ascii="Times New Roman" w:hAnsi="Times New Roman" w:cs="Times New Roman"/>
          <w:b/>
          <w:bCs/>
          <w:color w:val="000000" w:themeColor="text1"/>
          <w:sz w:val="24"/>
          <w:szCs w:val="24"/>
        </w:rPr>
        <w:t>60, 90 Y 180</w:t>
      </w:r>
      <w:r w:rsidRPr="00195CA2">
        <w:rPr>
          <w:rFonts w:ascii="Times New Roman" w:hAnsi="Times New Roman" w:cs="Times New Roman"/>
          <w:b/>
          <w:bCs/>
          <w:color w:val="000000" w:themeColor="text1"/>
          <w:sz w:val="24"/>
          <w:szCs w:val="24"/>
        </w:rPr>
        <w:t xml:space="preserve"> DIAS</w:t>
      </w:r>
      <w:bookmarkEnd w:id="304"/>
    </w:p>
    <w:p w14:paraId="7D4A526A" w14:textId="1EC3EC2A" w:rsidR="00325761" w:rsidRDefault="00325761" w:rsidP="00325761">
      <w:pPr>
        <w:spacing w:after="240" w:line="360" w:lineRule="auto"/>
        <w:ind w:firstLine="720"/>
        <w:jc w:val="both"/>
        <w:rPr>
          <w:rFonts w:ascii="Times New Roman" w:hAnsi="Times New Roman" w:cs="Times New Roman"/>
          <w:sz w:val="24"/>
          <w:szCs w:val="24"/>
        </w:rPr>
      </w:pPr>
      <w:r w:rsidRPr="00325761">
        <w:rPr>
          <w:rFonts w:ascii="Times New Roman" w:hAnsi="Times New Roman" w:cs="Times New Roman"/>
          <w:sz w:val="24"/>
          <w:szCs w:val="24"/>
        </w:rPr>
        <w:t xml:space="preserve">Los índices de mora superiores a 60, 90 y 180 días </w:t>
      </w:r>
      <w:r>
        <w:rPr>
          <w:rFonts w:ascii="Times New Roman" w:hAnsi="Times New Roman" w:cs="Times New Roman"/>
          <w:sz w:val="24"/>
          <w:szCs w:val="24"/>
        </w:rPr>
        <w:t xml:space="preserve">para los años 2019-2023, </w:t>
      </w:r>
      <w:r w:rsidRPr="00325761">
        <w:rPr>
          <w:rFonts w:ascii="Times New Roman" w:hAnsi="Times New Roman" w:cs="Times New Roman"/>
          <w:sz w:val="24"/>
          <w:szCs w:val="24"/>
        </w:rPr>
        <w:t>constituyen un aporte adicional significativo a la investigación sobre la estabilidad financiera de la</w:t>
      </w:r>
      <w:r>
        <w:rPr>
          <w:rFonts w:ascii="Times New Roman" w:hAnsi="Times New Roman" w:cs="Times New Roman"/>
          <w:sz w:val="24"/>
          <w:szCs w:val="24"/>
        </w:rPr>
        <w:t xml:space="preserve"> IMF “XYZ”. Estos</w:t>
      </w:r>
      <w:r w:rsidRPr="00325761">
        <w:rPr>
          <w:rFonts w:ascii="Times New Roman" w:hAnsi="Times New Roman" w:cs="Times New Roman"/>
          <w:sz w:val="24"/>
          <w:szCs w:val="24"/>
        </w:rPr>
        <w:t xml:space="preserve"> datos proporcionan una perspectiva detallada sobre la evolución de la morosidad en distintos plazos, permitiendo una evaluación más precisa del impacto de los factores económicos y las políticas financieras en el comportamiento crediticio.</w:t>
      </w:r>
    </w:p>
    <w:p w14:paraId="1F222849" w14:textId="26AAE3BD" w:rsidR="00367EA2" w:rsidRDefault="00367EA2" w:rsidP="00367EA2">
      <w:pPr>
        <w:spacing w:line="360" w:lineRule="auto"/>
        <w:ind w:firstLine="720"/>
        <w:jc w:val="both"/>
        <w:rPr>
          <w:rFonts w:ascii="Times New Roman" w:hAnsi="Times New Roman" w:cs="Times New Roman"/>
          <w:sz w:val="24"/>
          <w:szCs w:val="24"/>
        </w:rPr>
      </w:pPr>
      <w:r w:rsidRPr="00783048">
        <w:rPr>
          <w:rFonts w:ascii="Times New Roman" w:hAnsi="Times New Roman" w:cs="Times New Roman"/>
          <w:sz w:val="24"/>
          <w:szCs w:val="24"/>
        </w:rPr>
        <w:lastRenderedPageBreak/>
        <w:t>Tabla 1</w:t>
      </w:r>
      <w:r>
        <w:rPr>
          <w:rFonts w:ascii="Times New Roman" w:hAnsi="Times New Roman" w:cs="Times New Roman"/>
          <w:sz w:val="24"/>
          <w:szCs w:val="24"/>
        </w:rPr>
        <w:t>6</w:t>
      </w:r>
      <w:r w:rsidRPr="00783048">
        <w:rPr>
          <w:rFonts w:ascii="Times New Roman" w:hAnsi="Times New Roman" w:cs="Times New Roman"/>
          <w:sz w:val="24"/>
          <w:szCs w:val="24"/>
        </w:rPr>
        <w:t>. Índice</w:t>
      </w:r>
      <w:r>
        <w:rPr>
          <w:rFonts w:ascii="Times New Roman" w:hAnsi="Times New Roman" w:cs="Times New Roman"/>
          <w:sz w:val="24"/>
          <w:szCs w:val="24"/>
        </w:rPr>
        <w:t>s</w:t>
      </w:r>
      <w:r w:rsidRPr="00783048">
        <w:rPr>
          <w:rFonts w:ascii="Times New Roman" w:hAnsi="Times New Roman" w:cs="Times New Roman"/>
          <w:sz w:val="24"/>
          <w:szCs w:val="24"/>
        </w:rPr>
        <w:t xml:space="preserve"> de Mora mayor</w:t>
      </w:r>
      <w:r>
        <w:rPr>
          <w:rFonts w:ascii="Times New Roman" w:hAnsi="Times New Roman" w:cs="Times New Roman"/>
          <w:sz w:val="24"/>
          <w:szCs w:val="24"/>
        </w:rPr>
        <w:t>es</w:t>
      </w:r>
      <w:r w:rsidRPr="00783048">
        <w:rPr>
          <w:rFonts w:ascii="Times New Roman" w:hAnsi="Times New Roman" w:cs="Times New Roman"/>
          <w:sz w:val="24"/>
          <w:szCs w:val="24"/>
        </w:rPr>
        <w:t xml:space="preserve"> a </w:t>
      </w:r>
      <w:r>
        <w:rPr>
          <w:rFonts w:ascii="Times New Roman" w:hAnsi="Times New Roman" w:cs="Times New Roman"/>
          <w:sz w:val="24"/>
          <w:szCs w:val="24"/>
        </w:rPr>
        <w:t>60,90 y 180</w:t>
      </w:r>
      <w:r w:rsidRPr="00783048">
        <w:rPr>
          <w:rFonts w:ascii="Times New Roman" w:hAnsi="Times New Roman" w:cs="Times New Roman"/>
          <w:sz w:val="24"/>
          <w:szCs w:val="24"/>
        </w:rPr>
        <w:t xml:space="preserve"> días </w:t>
      </w:r>
      <w:r>
        <w:rPr>
          <w:rFonts w:ascii="Times New Roman" w:hAnsi="Times New Roman" w:cs="Times New Roman"/>
          <w:sz w:val="24"/>
          <w:szCs w:val="24"/>
        </w:rPr>
        <w:t xml:space="preserve">de la </w:t>
      </w:r>
      <w:r w:rsidRPr="00783048">
        <w:rPr>
          <w:rFonts w:ascii="Times New Roman" w:hAnsi="Times New Roman" w:cs="Times New Roman"/>
          <w:sz w:val="24"/>
          <w:szCs w:val="24"/>
        </w:rPr>
        <w:t>microfinanciera “XYZ” periodo 2019-2023.</w:t>
      </w:r>
    </w:p>
    <w:p w14:paraId="26BDFA68" w14:textId="0841275F" w:rsidR="00325761" w:rsidRDefault="00367EA2" w:rsidP="00367EA2">
      <w:pPr>
        <w:spacing w:after="240" w:line="360" w:lineRule="auto"/>
        <w:jc w:val="center"/>
        <w:rPr>
          <w:rFonts w:ascii="Times New Roman" w:hAnsi="Times New Roman" w:cs="Times New Roman"/>
          <w:sz w:val="24"/>
          <w:szCs w:val="24"/>
        </w:rPr>
      </w:pPr>
      <w:r w:rsidRPr="00367EA2">
        <w:drawing>
          <wp:inline distT="0" distB="0" distL="0" distR="0" wp14:anchorId="34EF7FB8" wp14:editId="5C43A3DB">
            <wp:extent cx="4591050" cy="4295775"/>
            <wp:effectExtent l="0" t="0" r="0" b="9525"/>
            <wp:docPr id="671218022"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4591050" cy="4295775"/>
                    </a:xfrm>
                    <a:prstGeom prst="rect">
                      <a:avLst/>
                    </a:prstGeom>
                    <a:noFill/>
                    <a:ln>
                      <a:noFill/>
                    </a:ln>
                  </pic:spPr>
                </pic:pic>
              </a:graphicData>
            </a:graphic>
          </wp:inline>
        </w:drawing>
      </w:r>
    </w:p>
    <w:p w14:paraId="5A97F233" w14:textId="2227CF69" w:rsidR="00367EA2" w:rsidRDefault="00367EA2" w:rsidP="00367EA2">
      <w:pPr>
        <w:spacing w:before="240" w:after="240" w:line="360" w:lineRule="auto"/>
        <w:ind w:firstLine="720"/>
        <w:jc w:val="both"/>
        <w:rPr>
          <w:rFonts w:ascii="Times New Roman" w:hAnsi="Times New Roman" w:cs="Times New Roman"/>
          <w:noProof/>
          <w:sz w:val="24"/>
          <w:szCs w:val="24"/>
        </w:rPr>
      </w:pPr>
      <w:r w:rsidRPr="00783048">
        <w:rPr>
          <w:rFonts w:ascii="Times New Roman" w:hAnsi="Times New Roman" w:cs="Times New Roman"/>
          <w:sz w:val="24"/>
          <w:szCs w:val="24"/>
        </w:rPr>
        <w:t>Fuente: Elaboración propia con datos de microfinanciera “XYZ”</w:t>
      </w:r>
      <w:r w:rsidRPr="00783048">
        <w:rPr>
          <w:rFonts w:ascii="Times New Roman" w:hAnsi="Times New Roman" w:cs="Times New Roman"/>
          <w:noProof/>
          <w:sz w:val="24"/>
          <w:szCs w:val="24"/>
        </w:rPr>
        <w:t>.</w:t>
      </w:r>
    </w:p>
    <w:p w14:paraId="145A1F7A" w14:textId="28A9BD64" w:rsidR="00367EA2" w:rsidRPr="00367EA2" w:rsidRDefault="00367EA2" w:rsidP="00367EA2">
      <w:pPr>
        <w:spacing w:after="240" w:line="360" w:lineRule="auto"/>
        <w:ind w:firstLine="720"/>
        <w:jc w:val="both"/>
        <w:rPr>
          <w:rFonts w:ascii="Times New Roman" w:hAnsi="Times New Roman" w:cs="Times New Roman"/>
          <w:sz w:val="24"/>
          <w:szCs w:val="24"/>
        </w:rPr>
      </w:pPr>
      <w:r w:rsidRPr="00367EA2">
        <w:rPr>
          <w:rFonts w:ascii="Times New Roman" w:hAnsi="Times New Roman" w:cs="Times New Roman"/>
          <w:sz w:val="24"/>
          <w:szCs w:val="24"/>
        </w:rPr>
        <w:t>Entre 2019 y 2020, el capital en mora aumentó significativamente, lo que podría indicar un deterioro en la calidad de la cartera de crédito, probablemente influenciado por factores externos, como la pandemia de COVID-19.</w:t>
      </w:r>
      <w:r>
        <w:rPr>
          <w:rFonts w:ascii="Times New Roman" w:hAnsi="Times New Roman" w:cs="Times New Roman"/>
          <w:sz w:val="24"/>
          <w:szCs w:val="24"/>
        </w:rPr>
        <w:t xml:space="preserve"> </w:t>
      </w:r>
      <w:r w:rsidRPr="00367EA2">
        <w:rPr>
          <w:rFonts w:ascii="Times New Roman" w:hAnsi="Times New Roman" w:cs="Times New Roman"/>
          <w:sz w:val="24"/>
          <w:szCs w:val="24"/>
        </w:rPr>
        <w:t>Aunque hubo una disminución del capital en mora en 2021, los niveles siguen siendo elevados en comparación con 2019.</w:t>
      </w:r>
      <w:r>
        <w:rPr>
          <w:rFonts w:ascii="Times New Roman" w:hAnsi="Times New Roman" w:cs="Times New Roman"/>
          <w:sz w:val="24"/>
          <w:szCs w:val="24"/>
        </w:rPr>
        <w:t xml:space="preserve"> </w:t>
      </w:r>
      <w:r w:rsidRPr="00367EA2">
        <w:rPr>
          <w:rFonts w:ascii="Times New Roman" w:hAnsi="Times New Roman" w:cs="Times New Roman"/>
          <w:sz w:val="24"/>
          <w:szCs w:val="24"/>
        </w:rPr>
        <w:t>En 2022 y 2023, el capital en mora se estabilizó, aunque con ligeras variaciones, lo que sugiere una persistencia de problemas en la cartera.</w:t>
      </w:r>
    </w:p>
    <w:p w14:paraId="1CBB1243" w14:textId="77777777" w:rsidR="00971C24" w:rsidRDefault="00367EA2" w:rsidP="00971C24">
      <w:pPr>
        <w:spacing w:after="240" w:line="360" w:lineRule="auto"/>
        <w:ind w:firstLine="720"/>
        <w:jc w:val="both"/>
        <w:rPr>
          <w:rFonts w:ascii="Times New Roman" w:hAnsi="Times New Roman" w:cs="Times New Roman"/>
          <w:sz w:val="24"/>
          <w:szCs w:val="24"/>
        </w:rPr>
      </w:pPr>
      <w:r w:rsidRPr="00367EA2">
        <w:rPr>
          <w:rFonts w:ascii="Times New Roman" w:hAnsi="Times New Roman" w:cs="Times New Roman"/>
          <w:sz w:val="24"/>
          <w:szCs w:val="24"/>
        </w:rPr>
        <w:t>En 2019, los porcentajes de mora eran relativamente bajos, con un 8.25% para moras mayores a 60 días.</w:t>
      </w:r>
      <w:r>
        <w:rPr>
          <w:rFonts w:ascii="Times New Roman" w:hAnsi="Times New Roman" w:cs="Times New Roman"/>
          <w:sz w:val="24"/>
          <w:szCs w:val="24"/>
        </w:rPr>
        <w:t xml:space="preserve"> </w:t>
      </w:r>
      <w:r w:rsidRPr="00367EA2">
        <w:rPr>
          <w:rFonts w:ascii="Times New Roman" w:hAnsi="Times New Roman" w:cs="Times New Roman"/>
          <w:sz w:val="24"/>
          <w:szCs w:val="24"/>
        </w:rPr>
        <w:t>En 2020, estos porcentajes se dispararon, alcanzando hasta un 32.35% para moras mayores a 60 días, lo que sugiere un incremento masivo en la incapacidad de pago.</w:t>
      </w:r>
      <w:r w:rsidR="00971C24">
        <w:rPr>
          <w:rFonts w:ascii="Times New Roman" w:hAnsi="Times New Roman" w:cs="Times New Roman"/>
          <w:sz w:val="24"/>
          <w:szCs w:val="24"/>
        </w:rPr>
        <w:t xml:space="preserve"> </w:t>
      </w:r>
      <w:r w:rsidRPr="00367EA2">
        <w:rPr>
          <w:rFonts w:ascii="Times New Roman" w:hAnsi="Times New Roman" w:cs="Times New Roman"/>
          <w:sz w:val="24"/>
          <w:szCs w:val="24"/>
        </w:rPr>
        <w:t xml:space="preserve">A partir de 2021, los porcentajes disminuyeron, pero se mantuvieron elevados, con un 24.19% en 2023 </w:t>
      </w:r>
      <w:r w:rsidRPr="00367EA2">
        <w:rPr>
          <w:rFonts w:ascii="Times New Roman" w:hAnsi="Times New Roman" w:cs="Times New Roman"/>
          <w:sz w:val="24"/>
          <w:szCs w:val="24"/>
        </w:rPr>
        <w:lastRenderedPageBreak/>
        <w:t>para moras mayores a 60 días, lo que indica que la situación no se ha normalizado completamente.</w:t>
      </w:r>
    </w:p>
    <w:p w14:paraId="5832C7D2" w14:textId="6BE49AF1" w:rsidR="00971C24" w:rsidRPr="00971C24" w:rsidRDefault="00971C24" w:rsidP="00971C24">
      <w:pPr>
        <w:spacing w:after="240" w:line="360" w:lineRule="auto"/>
        <w:ind w:firstLine="720"/>
        <w:jc w:val="both"/>
        <w:rPr>
          <w:rFonts w:ascii="Times New Roman" w:hAnsi="Times New Roman" w:cs="Times New Roman"/>
          <w:sz w:val="24"/>
          <w:szCs w:val="24"/>
        </w:rPr>
      </w:pPr>
      <w:r w:rsidRPr="00971C24">
        <w:rPr>
          <w:rFonts w:ascii="Times New Roman" w:hAnsi="Times New Roman" w:cs="Times New Roman"/>
          <w:sz w:val="24"/>
          <w:szCs w:val="24"/>
        </w:rPr>
        <w:t xml:space="preserve">La mora </w:t>
      </w:r>
      <w:r>
        <w:rPr>
          <w:rFonts w:ascii="Times New Roman" w:hAnsi="Times New Roman" w:cs="Times New Roman"/>
          <w:sz w:val="24"/>
          <w:szCs w:val="24"/>
        </w:rPr>
        <w:t xml:space="preserve">mayor </w:t>
      </w:r>
      <w:r w:rsidRPr="00971C24">
        <w:rPr>
          <w:rFonts w:ascii="Times New Roman" w:hAnsi="Times New Roman" w:cs="Times New Roman"/>
          <w:sz w:val="24"/>
          <w:szCs w:val="24"/>
        </w:rPr>
        <w:t>a 90 días experimentó un aumento drástico en 2020, con una ligera mejoría en los años siguientes, pero permaneciendo en niveles elevados hasta 2023. Esto indica problemas persistentes en la gestión de la cartera a corto y mediano plazo.</w:t>
      </w:r>
    </w:p>
    <w:p w14:paraId="6E14D2A9" w14:textId="2EF9470A" w:rsidR="00971C24" w:rsidRDefault="00971C24" w:rsidP="00971C24">
      <w:pPr>
        <w:spacing w:after="240" w:line="360" w:lineRule="auto"/>
        <w:ind w:firstLine="720"/>
        <w:jc w:val="both"/>
        <w:rPr>
          <w:rFonts w:ascii="Times New Roman" w:hAnsi="Times New Roman" w:cs="Times New Roman"/>
          <w:sz w:val="24"/>
          <w:szCs w:val="24"/>
        </w:rPr>
      </w:pPr>
      <w:r>
        <w:rPr>
          <w:rFonts w:ascii="Times New Roman" w:hAnsi="Times New Roman" w:cs="Times New Roman"/>
          <w:sz w:val="24"/>
          <w:szCs w:val="24"/>
        </w:rPr>
        <w:t>En cuanto a la m</w:t>
      </w:r>
      <w:r w:rsidRPr="00971C24">
        <w:rPr>
          <w:rFonts w:ascii="Times New Roman" w:hAnsi="Times New Roman" w:cs="Times New Roman"/>
          <w:sz w:val="24"/>
          <w:szCs w:val="24"/>
        </w:rPr>
        <w:t xml:space="preserve">ora </w:t>
      </w:r>
      <w:r>
        <w:rPr>
          <w:rFonts w:ascii="Times New Roman" w:hAnsi="Times New Roman" w:cs="Times New Roman"/>
          <w:sz w:val="24"/>
          <w:szCs w:val="24"/>
        </w:rPr>
        <w:t xml:space="preserve">mayor </w:t>
      </w:r>
      <w:r w:rsidRPr="00971C24">
        <w:rPr>
          <w:rFonts w:ascii="Times New Roman" w:hAnsi="Times New Roman" w:cs="Times New Roman"/>
          <w:sz w:val="24"/>
          <w:szCs w:val="24"/>
        </w:rPr>
        <w:t>a 180</w:t>
      </w:r>
      <w:r>
        <w:rPr>
          <w:rFonts w:ascii="Times New Roman" w:hAnsi="Times New Roman" w:cs="Times New Roman"/>
          <w:sz w:val="24"/>
          <w:szCs w:val="24"/>
        </w:rPr>
        <w:t xml:space="preserve"> días </w:t>
      </w:r>
      <w:r w:rsidRPr="00971C24">
        <w:rPr>
          <w:rFonts w:ascii="Times New Roman" w:hAnsi="Times New Roman" w:cs="Times New Roman"/>
          <w:sz w:val="24"/>
          <w:szCs w:val="24"/>
        </w:rPr>
        <w:t>también incrementó notablemente en 2020 y aunque hubo una leve mejora posterior, sigue siendo alta en 2023. Esto sugiere un alto riesgo de incumplimiento definitivo, con un aumento en los préstamos que están en mora prolongada y son menos probables de ser recuperados.</w:t>
      </w:r>
    </w:p>
    <w:p w14:paraId="613C2239" w14:textId="019E4F5A" w:rsidR="00325761" w:rsidRDefault="00325761" w:rsidP="00971C24">
      <w:pPr>
        <w:spacing w:after="240" w:line="360" w:lineRule="auto"/>
        <w:ind w:firstLine="720"/>
        <w:jc w:val="both"/>
        <w:rPr>
          <w:rFonts w:ascii="Times New Roman" w:hAnsi="Times New Roman" w:cs="Times New Roman"/>
          <w:sz w:val="24"/>
          <w:szCs w:val="24"/>
        </w:rPr>
      </w:pPr>
      <w:r w:rsidRPr="00325761">
        <w:rPr>
          <w:rFonts w:ascii="Times New Roman" w:hAnsi="Times New Roman" w:cs="Times New Roman"/>
          <w:sz w:val="24"/>
          <w:szCs w:val="24"/>
        </w:rPr>
        <w:t>Este análisis</w:t>
      </w:r>
      <w:r w:rsidR="00971C24">
        <w:rPr>
          <w:rFonts w:ascii="Times New Roman" w:hAnsi="Times New Roman" w:cs="Times New Roman"/>
          <w:sz w:val="24"/>
          <w:szCs w:val="24"/>
        </w:rPr>
        <w:t xml:space="preserve"> </w:t>
      </w:r>
      <w:r w:rsidRPr="00325761">
        <w:rPr>
          <w:rFonts w:ascii="Times New Roman" w:hAnsi="Times New Roman" w:cs="Times New Roman"/>
          <w:sz w:val="24"/>
          <w:szCs w:val="24"/>
        </w:rPr>
        <w:t>enriquece la comprensión de la dinámica de la cartera de créditos y contribuye a una evaluación más completa de la salud financiera de la</w:t>
      </w:r>
      <w:r w:rsidR="00367EA2">
        <w:rPr>
          <w:rFonts w:ascii="Times New Roman" w:hAnsi="Times New Roman" w:cs="Times New Roman"/>
          <w:sz w:val="24"/>
          <w:szCs w:val="24"/>
        </w:rPr>
        <w:t xml:space="preserve"> IMF </w:t>
      </w:r>
      <w:r w:rsidRPr="00325761">
        <w:rPr>
          <w:rFonts w:ascii="Times New Roman" w:hAnsi="Times New Roman" w:cs="Times New Roman"/>
          <w:sz w:val="24"/>
          <w:szCs w:val="24"/>
        </w:rPr>
        <w:t>en el contexto actual.</w:t>
      </w:r>
    </w:p>
    <w:p w14:paraId="36AA8F8D" w14:textId="77777777" w:rsidR="00816B30" w:rsidRDefault="00816B30" w:rsidP="00971C24">
      <w:pPr>
        <w:spacing w:after="240" w:line="360" w:lineRule="auto"/>
        <w:ind w:firstLine="720"/>
        <w:jc w:val="both"/>
        <w:rPr>
          <w:rFonts w:ascii="Times New Roman" w:hAnsi="Times New Roman" w:cs="Times New Roman"/>
          <w:sz w:val="24"/>
          <w:szCs w:val="24"/>
        </w:rPr>
      </w:pPr>
    </w:p>
    <w:p w14:paraId="2A4BE78A" w14:textId="12960AA6" w:rsidR="00971C24" w:rsidRPr="00195CA2" w:rsidRDefault="00971C24" w:rsidP="00971C24">
      <w:pPr>
        <w:pStyle w:val="Ttulo5"/>
        <w:spacing w:line="360" w:lineRule="auto"/>
        <w:ind w:firstLine="1440"/>
        <w:rPr>
          <w:rFonts w:ascii="Times New Roman" w:hAnsi="Times New Roman" w:cs="Times New Roman"/>
          <w:b/>
          <w:bCs/>
          <w:color w:val="000000" w:themeColor="text1"/>
          <w:sz w:val="24"/>
          <w:szCs w:val="24"/>
        </w:rPr>
      </w:pPr>
      <w:bookmarkStart w:id="305" w:name="_Toc175171448"/>
      <w:r w:rsidRPr="00195CA2">
        <w:rPr>
          <w:rFonts w:ascii="Times New Roman" w:hAnsi="Times New Roman" w:cs="Times New Roman"/>
          <w:b/>
          <w:bCs/>
          <w:color w:val="000000" w:themeColor="text1"/>
          <w:sz w:val="24"/>
          <w:szCs w:val="24"/>
        </w:rPr>
        <w:t>4.2.4.1.</w:t>
      </w:r>
      <w:r>
        <w:rPr>
          <w:rFonts w:ascii="Times New Roman" w:hAnsi="Times New Roman" w:cs="Times New Roman"/>
          <w:b/>
          <w:bCs/>
          <w:color w:val="000000" w:themeColor="text1"/>
          <w:sz w:val="24"/>
          <w:szCs w:val="24"/>
        </w:rPr>
        <w:t>4</w:t>
      </w:r>
      <w:r w:rsidRPr="00195CA2">
        <w:rPr>
          <w:rFonts w:ascii="Times New Roman" w:hAnsi="Times New Roman" w:cs="Times New Roman"/>
          <w:b/>
          <w:bCs/>
          <w:color w:val="000000" w:themeColor="text1"/>
          <w:sz w:val="24"/>
          <w:szCs w:val="24"/>
        </w:rPr>
        <w:t xml:space="preserve">. </w:t>
      </w:r>
      <w:r>
        <w:rPr>
          <w:rFonts w:ascii="Times New Roman" w:hAnsi="Times New Roman" w:cs="Times New Roman"/>
          <w:b/>
          <w:bCs/>
          <w:color w:val="000000" w:themeColor="text1"/>
          <w:sz w:val="24"/>
          <w:szCs w:val="24"/>
        </w:rPr>
        <w:t>Í</w:t>
      </w:r>
      <w:r w:rsidRPr="00195CA2">
        <w:rPr>
          <w:rFonts w:ascii="Times New Roman" w:hAnsi="Times New Roman" w:cs="Times New Roman"/>
          <w:b/>
          <w:bCs/>
          <w:color w:val="000000" w:themeColor="text1"/>
          <w:sz w:val="24"/>
          <w:szCs w:val="24"/>
        </w:rPr>
        <w:t>NDICE</w:t>
      </w:r>
      <w:r>
        <w:rPr>
          <w:rFonts w:ascii="Times New Roman" w:hAnsi="Times New Roman" w:cs="Times New Roman"/>
          <w:b/>
          <w:bCs/>
          <w:color w:val="000000" w:themeColor="text1"/>
          <w:sz w:val="24"/>
          <w:szCs w:val="24"/>
        </w:rPr>
        <w:t>S</w:t>
      </w:r>
      <w:r w:rsidRPr="00195CA2">
        <w:rPr>
          <w:rFonts w:ascii="Times New Roman" w:hAnsi="Times New Roman" w:cs="Times New Roman"/>
          <w:b/>
          <w:bCs/>
          <w:color w:val="000000" w:themeColor="text1"/>
          <w:sz w:val="24"/>
          <w:szCs w:val="24"/>
        </w:rPr>
        <w:t xml:space="preserve"> DE MORA </w:t>
      </w:r>
      <w:r>
        <w:rPr>
          <w:rFonts w:ascii="Times New Roman" w:hAnsi="Times New Roman" w:cs="Times New Roman"/>
          <w:b/>
          <w:bCs/>
          <w:color w:val="000000" w:themeColor="text1"/>
          <w:sz w:val="24"/>
          <w:szCs w:val="24"/>
        </w:rPr>
        <w:t>POR PRODUCTOS</w:t>
      </w:r>
      <w:bookmarkEnd w:id="305"/>
    </w:p>
    <w:p w14:paraId="17076433" w14:textId="1E79121C" w:rsidR="00971C24" w:rsidRPr="00971C24" w:rsidRDefault="00971C24" w:rsidP="00971C24">
      <w:pPr>
        <w:spacing w:line="360" w:lineRule="auto"/>
        <w:ind w:firstLine="720"/>
        <w:jc w:val="both"/>
        <w:rPr>
          <w:rFonts w:ascii="Times New Roman" w:hAnsi="Times New Roman" w:cs="Times New Roman"/>
          <w:sz w:val="24"/>
          <w:szCs w:val="24"/>
        </w:rPr>
      </w:pPr>
      <w:r w:rsidRPr="00971C24">
        <w:rPr>
          <w:rFonts w:ascii="Times New Roman" w:hAnsi="Times New Roman" w:cs="Times New Roman"/>
          <w:sz w:val="24"/>
          <w:szCs w:val="24"/>
        </w:rPr>
        <w:t xml:space="preserve">A continuación, se presenta una tabla detallada que muestra los índices de mora de los distintos productos ofrecidos por la microfinanciera </w:t>
      </w:r>
      <w:r>
        <w:rPr>
          <w:rFonts w:ascii="Times New Roman" w:hAnsi="Times New Roman" w:cs="Times New Roman"/>
          <w:sz w:val="24"/>
          <w:szCs w:val="24"/>
        </w:rPr>
        <w:t>“</w:t>
      </w:r>
      <w:r w:rsidRPr="00971C24">
        <w:rPr>
          <w:rFonts w:ascii="Times New Roman" w:hAnsi="Times New Roman" w:cs="Times New Roman"/>
          <w:sz w:val="24"/>
          <w:szCs w:val="24"/>
        </w:rPr>
        <w:t>XYZ</w:t>
      </w:r>
      <w:r>
        <w:rPr>
          <w:rFonts w:ascii="Times New Roman" w:hAnsi="Times New Roman" w:cs="Times New Roman"/>
          <w:sz w:val="24"/>
          <w:szCs w:val="24"/>
        </w:rPr>
        <w:t>”</w:t>
      </w:r>
      <w:r w:rsidRPr="00971C24">
        <w:rPr>
          <w:rFonts w:ascii="Times New Roman" w:hAnsi="Times New Roman" w:cs="Times New Roman"/>
          <w:sz w:val="24"/>
          <w:szCs w:val="24"/>
        </w:rPr>
        <w:t xml:space="preserve"> durante el periodo comprendido entre 2019 y 2023. Este análisis proporciona una visión clara y comprensible de la evolución del comportamiento de pago de </w:t>
      </w:r>
      <w:r>
        <w:rPr>
          <w:rFonts w:ascii="Times New Roman" w:hAnsi="Times New Roman" w:cs="Times New Roman"/>
          <w:sz w:val="24"/>
          <w:szCs w:val="24"/>
        </w:rPr>
        <w:t>sus</w:t>
      </w:r>
      <w:r w:rsidRPr="00971C24">
        <w:rPr>
          <w:rFonts w:ascii="Times New Roman" w:hAnsi="Times New Roman" w:cs="Times New Roman"/>
          <w:sz w:val="24"/>
          <w:szCs w:val="24"/>
        </w:rPr>
        <w:t xml:space="preserve"> clientes en relación con cada tipo de producto financiero.</w:t>
      </w:r>
    </w:p>
    <w:p w14:paraId="26EAFE6E" w14:textId="77777777" w:rsidR="00971C24" w:rsidRDefault="00971C24" w:rsidP="00971C24">
      <w:pPr>
        <w:spacing w:line="360" w:lineRule="auto"/>
        <w:ind w:firstLine="720"/>
        <w:jc w:val="both"/>
        <w:rPr>
          <w:rFonts w:ascii="Times New Roman" w:hAnsi="Times New Roman" w:cs="Times New Roman"/>
          <w:sz w:val="24"/>
          <w:szCs w:val="24"/>
        </w:rPr>
      </w:pPr>
      <w:r w:rsidRPr="00971C24">
        <w:rPr>
          <w:rFonts w:ascii="Times New Roman" w:hAnsi="Times New Roman" w:cs="Times New Roman"/>
          <w:sz w:val="24"/>
          <w:szCs w:val="24"/>
        </w:rPr>
        <w:t xml:space="preserve">La tabla que sigue presenta los índices de mora por producto de manera anual, permitiendo una evaluación comparativa y una identificación precisa de las áreas que requieren atención y posibles ajustes en </w:t>
      </w:r>
      <w:r>
        <w:rPr>
          <w:rFonts w:ascii="Times New Roman" w:hAnsi="Times New Roman" w:cs="Times New Roman"/>
          <w:sz w:val="24"/>
          <w:szCs w:val="24"/>
        </w:rPr>
        <w:t>las</w:t>
      </w:r>
      <w:r w:rsidRPr="00971C24">
        <w:rPr>
          <w:rFonts w:ascii="Times New Roman" w:hAnsi="Times New Roman" w:cs="Times New Roman"/>
          <w:sz w:val="24"/>
          <w:szCs w:val="24"/>
        </w:rPr>
        <w:t xml:space="preserve"> políticas de crédito y recuperación.</w:t>
      </w:r>
    </w:p>
    <w:p w14:paraId="5CDAA202" w14:textId="77777777" w:rsidR="00971C24" w:rsidRDefault="00971C24" w:rsidP="00971C24">
      <w:pPr>
        <w:spacing w:line="360" w:lineRule="auto"/>
        <w:jc w:val="both"/>
        <w:rPr>
          <w:rFonts w:ascii="Times New Roman" w:hAnsi="Times New Roman" w:cs="Times New Roman"/>
          <w:sz w:val="24"/>
          <w:szCs w:val="24"/>
        </w:rPr>
      </w:pPr>
    </w:p>
    <w:p w14:paraId="265549F4" w14:textId="77777777" w:rsidR="00816B30" w:rsidRDefault="00816B30">
      <w:pPr>
        <w:widowControl/>
        <w:spacing w:after="160" w:line="259" w:lineRule="auto"/>
        <w:rPr>
          <w:rFonts w:ascii="Times New Roman" w:hAnsi="Times New Roman" w:cs="Times New Roman"/>
          <w:sz w:val="24"/>
          <w:szCs w:val="24"/>
        </w:rPr>
      </w:pPr>
      <w:r>
        <w:rPr>
          <w:rFonts w:ascii="Times New Roman" w:hAnsi="Times New Roman" w:cs="Times New Roman"/>
          <w:sz w:val="24"/>
          <w:szCs w:val="24"/>
        </w:rPr>
        <w:br w:type="page"/>
      </w:r>
    </w:p>
    <w:p w14:paraId="0603E95C" w14:textId="18C3B075" w:rsidR="00971C24" w:rsidRDefault="00971C24" w:rsidP="00971C24">
      <w:pPr>
        <w:spacing w:line="360" w:lineRule="auto"/>
        <w:ind w:firstLine="720"/>
        <w:jc w:val="both"/>
        <w:rPr>
          <w:rFonts w:ascii="Times New Roman" w:hAnsi="Times New Roman" w:cs="Times New Roman"/>
          <w:sz w:val="24"/>
          <w:szCs w:val="24"/>
        </w:rPr>
      </w:pPr>
      <w:r w:rsidRPr="00783048">
        <w:rPr>
          <w:rFonts w:ascii="Times New Roman" w:hAnsi="Times New Roman" w:cs="Times New Roman"/>
          <w:sz w:val="24"/>
          <w:szCs w:val="24"/>
        </w:rPr>
        <w:lastRenderedPageBreak/>
        <w:t>Tabla 1</w:t>
      </w:r>
      <w:r>
        <w:rPr>
          <w:rFonts w:ascii="Times New Roman" w:hAnsi="Times New Roman" w:cs="Times New Roman"/>
          <w:sz w:val="24"/>
          <w:szCs w:val="24"/>
        </w:rPr>
        <w:t>7</w:t>
      </w:r>
      <w:r w:rsidRPr="00783048">
        <w:rPr>
          <w:rFonts w:ascii="Times New Roman" w:hAnsi="Times New Roman" w:cs="Times New Roman"/>
          <w:sz w:val="24"/>
          <w:szCs w:val="24"/>
        </w:rPr>
        <w:t>. Índice</w:t>
      </w:r>
      <w:r>
        <w:rPr>
          <w:rFonts w:ascii="Times New Roman" w:hAnsi="Times New Roman" w:cs="Times New Roman"/>
          <w:sz w:val="24"/>
          <w:szCs w:val="24"/>
        </w:rPr>
        <w:t>s</w:t>
      </w:r>
      <w:r w:rsidRPr="00783048">
        <w:rPr>
          <w:rFonts w:ascii="Times New Roman" w:hAnsi="Times New Roman" w:cs="Times New Roman"/>
          <w:sz w:val="24"/>
          <w:szCs w:val="24"/>
        </w:rPr>
        <w:t xml:space="preserve"> de Mora </w:t>
      </w:r>
      <w:r>
        <w:rPr>
          <w:rFonts w:ascii="Times New Roman" w:hAnsi="Times New Roman" w:cs="Times New Roman"/>
          <w:sz w:val="24"/>
          <w:szCs w:val="24"/>
        </w:rPr>
        <w:t>por productos</w:t>
      </w:r>
      <w:r w:rsidRPr="00783048">
        <w:rPr>
          <w:rFonts w:ascii="Times New Roman" w:hAnsi="Times New Roman" w:cs="Times New Roman"/>
          <w:sz w:val="24"/>
          <w:szCs w:val="24"/>
        </w:rPr>
        <w:t xml:space="preserve"> </w:t>
      </w:r>
      <w:r>
        <w:rPr>
          <w:rFonts w:ascii="Times New Roman" w:hAnsi="Times New Roman" w:cs="Times New Roman"/>
          <w:sz w:val="24"/>
          <w:szCs w:val="24"/>
        </w:rPr>
        <w:t xml:space="preserve">de la </w:t>
      </w:r>
      <w:r w:rsidRPr="00783048">
        <w:rPr>
          <w:rFonts w:ascii="Times New Roman" w:hAnsi="Times New Roman" w:cs="Times New Roman"/>
          <w:sz w:val="24"/>
          <w:szCs w:val="24"/>
        </w:rPr>
        <w:t>microfinanciera “XYZ” periodo 2019-2023.</w:t>
      </w:r>
    </w:p>
    <w:p w14:paraId="6C646B85" w14:textId="48422739" w:rsidR="00971C24" w:rsidRDefault="00582FF0" w:rsidP="00971C24">
      <w:pPr>
        <w:spacing w:after="240" w:line="360" w:lineRule="auto"/>
        <w:jc w:val="both"/>
        <w:rPr>
          <w:rFonts w:ascii="Times New Roman" w:hAnsi="Times New Roman" w:cs="Times New Roman"/>
          <w:sz w:val="24"/>
          <w:szCs w:val="24"/>
        </w:rPr>
      </w:pPr>
      <w:r w:rsidRPr="00582FF0">
        <w:drawing>
          <wp:inline distT="0" distB="0" distL="0" distR="0" wp14:anchorId="04BCC929" wp14:editId="6AD25035">
            <wp:extent cx="5943600" cy="6726555"/>
            <wp:effectExtent l="0" t="0" r="0" b="0"/>
            <wp:docPr id="827451649"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5943600" cy="6726555"/>
                    </a:xfrm>
                    <a:prstGeom prst="rect">
                      <a:avLst/>
                    </a:prstGeom>
                    <a:noFill/>
                    <a:ln>
                      <a:noFill/>
                    </a:ln>
                  </pic:spPr>
                </pic:pic>
              </a:graphicData>
            </a:graphic>
          </wp:inline>
        </w:drawing>
      </w:r>
    </w:p>
    <w:p w14:paraId="6057C6C5" w14:textId="77777777" w:rsidR="00582FF0" w:rsidRDefault="00582FF0" w:rsidP="00582FF0">
      <w:pPr>
        <w:spacing w:before="240" w:after="240" w:line="360" w:lineRule="auto"/>
        <w:ind w:firstLine="720"/>
        <w:jc w:val="both"/>
        <w:rPr>
          <w:rFonts w:ascii="Times New Roman" w:hAnsi="Times New Roman" w:cs="Times New Roman"/>
          <w:noProof/>
          <w:sz w:val="24"/>
          <w:szCs w:val="24"/>
        </w:rPr>
      </w:pPr>
      <w:r w:rsidRPr="00783048">
        <w:rPr>
          <w:rFonts w:ascii="Times New Roman" w:hAnsi="Times New Roman" w:cs="Times New Roman"/>
          <w:sz w:val="24"/>
          <w:szCs w:val="24"/>
        </w:rPr>
        <w:t>Fuente: Elaboración propia con datos de microfinanciera “XYZ”</w:t>
      </w:r>
      <w:r w:rsidRPr="00783048">
        <w:rPr>
          <w:rFonts w:ascii="Times New Roman" w:hAnsi="Times New Roman" w:cs="Times New Roman"/>
          <w:noProof/>
          <w:sz w:val="24"/>
          <w:szCs w:val="24"/>
        </w:rPr>
        <w:t>.</w:t>
      </w:r>
    </w:p>
    <w:p w14:paraId="367DF193" w14:textId="17E1A5B4" w:rsidR="00582FF0" w:rsidRPr="00582FF0" w:rsidRDefault="00582FF0" w:rsidP="00582FF0">
      <w:pPr>
        <w:spacing w:after="240" w:line="360" w:lineRule="auto"/>
        <w:ind w:firstLine="720"/>
        <w:jc w:val="both"/>
        <w:rPr>
          <w:rFonts w:ascii="Times New Roman" w:hAnsi="Times New Roman" w:cs="Times New Roman"/>
          <w:sz w:val="24"/>
          <w:szCs w:val="24"/>
        </w:rPr>
      </w:pPr>
      <w:r w:rsidRPr="00582FF0">
        <w:rPr>
          <w:rFonts w:ascii="Times New Roman" w:hAnsi="Times New Roman" w:cs="Times New Roman"/>
          <w:sz w:val="24"/>
          <w:szCs w:val="24"/>
        </w:rPr>
        <w:t xml:space="preserve">La tabla </w:t>
      </w:r>
      <w:r>
        <w:rPr>
          <w:rFonts w:ascii="Times New Roman" w:hAnsi="Times New Roman" w:cs="Times New Roman"/>
          <w:sz w:val="24"/>
          <w:szCs w:val="24"/>
        </w:rPr>
        <w:t xml:space="preserve">anterior </w:t>
      </w:r>
      <w:r w:rsidRPr="00582FF0">
        <w:rPr>
          <w:rFonts w:ascii="Times New Roman" w:hAnsi="Times New Roman" w:cs="Times New Roman"/>
          <w:sz w:val="24"/>
          <w:szCs w:val="24"/>
        </w:rPr>
        <w:t>muestra la evolución de la cartera de crédito y los porcentajes de mora de diferentes tipos de créditos a lo largo de cinco años, desde 2019 hasta 2023.</w:t>
      </w:r>
    </w:p>
    <w:p w14:paraId="21676CD8" w14:textId="43081CDC" w:rsidR="00582FF0" w:rsidRDefault="00582FF0" w:rsidP="00A409F2">
      <w:pPr>
        <w:spacing w:after="240" w:line="360" w:lineRule="auto"/>
        <w:ind w:firstLine="720"/>
        <w:jc w:val="both"/>
        <w:rPr>
          <w:rFonts w:ascii="Times New Roman" w:hAnsi="Times New Roman" w:cs="Times New Roman"/>
          <w:sz w:val="24"/>
          <w:szCs w:val="24"/>
        </w:rPr>
      </w:pPr>
      <w:r w:rsidRPr="00582FF0">
        <w:rPr>
          <w:rFonts w:ascii="Times New Roman" w:hAnsi="Times New Roman" w:cs="Times New Roman"/>
          <w:sz w:val="24"/>
          <w:szCs w:val="24"/>
        </w:rPr>
        <w:lastRenderedPageBreak/>
        <w:t>La cartera total ha disminuido desde 2019, pero muestra una recuperación en 2023 en comparación con 2022. En 2019 era de aproximadamente 669 millones y en 2023 es de 435 millones.</w:t>
      </w:r>
      <w:r>
        <w:rPr>
          <w:rFonts w:ascii="Times New Roman" w:hAnsi="Times New Roman" w:cs="Times New Roman"/>
          <w:sz w:val="24"/>
          <w:szCs w:val="24"/>
        </w:rPr>
        <w:t xml:space="preserve"> </w:t>
      </w:r>
      <w:r w:rsidRPr="00582FF0">
        <w:rPr>
          <w:rFonts w:ascii="Times New Roman" w:hAnsi="Times New Roman" w:cs="Times New Roman"/>
          <w:sz w:val="24"/>
          <w:szCs w:val="24"/>
        </w:rPr>
        <w:t>El porcentaje total de mora aumentó significativamente en 2020, alcanzando un 34.23%, posiblemente como resultado de la pandemia. Desde entonces, ha ido disminuyendo gradualmente, situándose en un 27.09% en 2023.</w:t>
      </w:r>
    </w:p>
    <w:p w14:paraId="48638495" w14:textId="02EF874B" w:rsidR="00A409F2" w:rsidRPr="00582FF0" w:rsidRDefault="00A409F2" w:rsidP="00A409F2">
      <w:pPr>
        <w:spacing w:after="240"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Un análisis más detallado de los productos con mayor afectación nos muestra </w:t>
      </w:r>
      <w:r w:rsidR="007C6FC5">
        <w:rPr>
          <w:rFonts w:ascii="Times New Roman" w:hAnsi="Times New Roman" w:cs="Times New Roman"/>
          <w:sz w:val="24"/>
          <w:szCs w:val="24"/>
        </w:rPr>
        <w:t>que:</w:t>
      </w:r>
    </w:p>
    <w:p w14:paraId="17C752D1" w14:textId="7CB11482" w:rsidR="00582FF0" w:rsidRPr="00582FF0" w:rsidRDefault="00A409F2" w:rsidP="00582FF0">
      <w:pPr>
        <w:spacing w:after="240" w:line="360" w:lineRule="auto"/>
        <w:ind w:firstLine="720"/>
        <w:jc w:val="both"/>
        <w:rPr>
          <w:rFonts w:ascii="Times New Roman" w:hAnsi="Times New Roman" w:cs="Times New Roman"/>
          <w:sz w:val="24"/>
          <w:szCs w:val="24"/>
        </w:rPr>
      </w:pPr>
      <w:r w:rsidRPr="00582FF0">
        <w:rPr>
          <w:rFonts w:ascii="Times New Roman" w:hAnsi="Times New Roman" w:cs="Times New Roman"/>
          <w:sz w:val="24"/>
          <w:szCs w:val="24"/>
        </w:rPr>
        <w:t>Credi agro</w:t>
      </w:r>
      <w:r w:rsidR="00582FF0" w:rsidRPr="00582FF0">
        <w:rPr>
          <w:rFonts w:ascii="Times New Roman" w:hAnsi="Times New Roman" w:cs="Times New Roman"/>
          <w:sz w:val="24"/>
          <w:szCs w:val="24"/>
        </w:rPr>
        <w:t>: Este tipo de crédito muestra un incremento en la mora a largo plazo (más de 180 días), alcanzando el 12.50% en 2023, lo que sugiere dificultades en este sector.</w:t>
      </w:r>
    </w:p>
    <w:p w14:paraId="54C0E62E" w14:textId="38763DEA" w:rsidR="00582FF0" w:rsidRPr="00582FF0" w:rsidRDefault="00A409F2" w:rsidP="00582FF0">
      <w:pPr>
        <w:spacing w:after="240" w:line="360" w:lineRule="auto"/>
        <w:ind w:firstLine="720"/>
        <w:jc w:val="both"/>
        <w:rPr>
          <w:rFonts w:ascii="Times New Roman" w:hAnsi="Times New Roman" w:cs="Times New Roman"/>
          <w:sz w:val="24"/>
          <w:szCs w:val="24"/>
        </w:rPr>
      </w:pPr>
      <w:r w:rsidRPr="00582FF0">
        <w:rPr>
          <w:rFonts w:ascii="Times New Roman" w:hAnsi="Times New Roman" w:cs="Times New Roman"/>
          <w:sz w:val="24"/>
          <w:szCs w:val="24"/>
        </w:rPr>
        <w:t xml:space="preserve">Credi produ: </w:t>
      </w:r>
      <w:r w:rsidR="00582FF0" w:rsidRPr="00582FF0">
        <w:rPr>
          <w:rFonts w:ascii="Times New Roman" w:hAnsi="Times New Roman" w:cs="Times New Roman"/>
          <w:sz w:val="24"/>
          <w:szCs w:val="24"/>
        </w:rPr>
        <w:t xml:space="preserve">Similar al </w:t>
      </w:r>
      <w:r w:rsidRPr="00582FF0">
        <w:rPr>
          <w:rFonts w:ascii="Times New Roman" w:hAnsi="Times New Roman" w:cs="Times New Roman"/>
          <w:sz w:val="24"/>
          <w:szCs w:val="24"/>
        </w:rPr>
        <w:t>credi agro</w:t>
      </w:r>
      <w:r w:rsidR="00582FF0" w:rsidRPr="00582FF0">
        <w:rPr>
          <w:rFonts w:ascii="Times New Roman" w:hAnsi="Times New Roman" w:cs="Times New Roman"/>
          <w:sz w:val="24"/>
          <w:szCs w:val="24"/>
        </w:rPr>
        <w:t>, la mora a largo plazo ha crecido significativamente, manteniéndose alta en 2023 (10.93%).</w:t>
      </w:r>
    </w:p>
    <w:p w14:paraId="074B4CC7" w14:textId="5367C5C9" w:rsidR="00582FF0" w:rsidRPr="00582FF0" w:rsidRDefault="00A409F2" w:rsidP="00A409F2">
      <w:pPr>
        <w:spacing w:after="240" w:line="360" w:lineRule="auto"/>
        <w:ind w:firstLine="720"/>
        <w:jc w:val="both"/>
        <w:rPr>
          <w:rFonts w:ascii="Times New Roman" w:hAnsi="Times New Roman" w:cs="Times New Roman"/>
          <w:sz w:val="24"/>
          <w:szCs w:val="24"/>
        </w:rPr>
      </w:pPr>
      <w:r>
        <w:rPr>
          <w:rFonts w:ascii="Times New Roman" w:hAnsi="Times New Roman" w:cs="Times New Roman"/>
          <w:sz w:val="24"/>
          <w:szCs w:val="24"/>
        </w:rPr>
        <w:t>Credi fijo y credi mejora</w:t>
      </w:r>
      <w:r w:rsidR="00582FF0" w:rsidRPr="00582FF0">
        <w:rPr>
          <w:rFonts w:ascii="Times New Roman" w:hAnsi="Times New Roman" w:cs="Times New Roman"/>
          <w:sz w:val="24"/>
          <w:szCs w:val="24"/>
        </w:rPr>
        <w:t>: Mantienen niveles de mora relativamente bajos y estables a lo largo de los años.</w:t>
      </w:r>
    </w:p>
    <w:p w14:paraId="64940732" w14:textId="022326A1" w:rsidR="00325761" w:rsidRDefault="00A409F2" w:rsidP="00A409F2">
      <w:pPr>
        <w:spacing w:line="360" w:lineRule="auto"/>
        <w:ind w:firstLine="720"/>
        <w:jc w:val="both"/>
        <w:rPr>
          <w:rFonts w:ascii="Times New Roman" w:hAnsi="Times New Roman" w:cs="Times New Roman"/>
          <w:sz w:val="24"/>
          <w:szCs w:val="24"/>
        </w:rPr>
      </w:pPr>
      <w:r w:rsidRPr="00A409F2">
        <w:rPr>
          <w:rFonts w:ascii="Times New Roman" w:hAnsi="Times New Roman" w:cs="Times New Roman"/>
          <w:sz w:val="24"/>
          <w:szCs w:val="24"/>
        </w:rPr>
        <w:t>La morosidad se disparó en 2020 debido a la pandemia y aunque ha disminuido ligeramente desde entonces, los sectores agrícola y productivo siguen enfrentando altos niveles de mora a largo plazo, reflejando una recuperación incompleta en estos segmentos.</w:t>
      </w:r>
    </w:p>
    <w:p w14:paraId="32C34F2F" w14:textId="198DA616" w:rsidR="00F21407" w:rsidRDefault="00F21407">
      <w:pPr>
        <w:widowControl/>
        <w:spacing w:after="160" w:line="259" w:lineRule="auto"/>
        <w:rPr>
          <w:rFonts w:ascii="Times New Roman" w:eastAsiaTheme="majorEastAsia" w:hAnsi="Times New Roman" w:cs="Times New Roman"/>
          <w:b/>
          <w:bCs/>
          <w:color w:val="000000" w:themeColor="text1"/>
          <w:sz w:val="24"/>
          <w:szCs w:val="24"/>
        </w:rPr>
      </w:pPr>
    </w:p>
    <w:p w14:paraId="4F7A698D" w14:textId="5205E9CC" w:rsidR="00B77490" w:rsidRPr="00195CA2" w:rsidRDefault="00B77490" w:rsidP="00195CA2">
      <w:pPr>
        <w:pStyle w:val="Ttulo5"/>
        <w:spacing w:line="360" w:lineRule="auto"/>
        <w:ind w:firstLine="1440"/>
        <w:rPr>
          <w:rFonts w:ascii="Times New Roman" w:hAnsi="Times New Roman" w:cs="Times New Roman"/>
          <w:b/>
          <w:bCs/>
          <w:color w:val="000000" w:themeColor="text1"/>
          <w:sz w:val="24"/>
          <w:szCs w:val="24"/>
        </w:rPr>
      </w:pPr>
      <w:bookmarkStart w:id="306" w:name="_Toc175171449"/>
      <w:r w:rsidRPr="00195CA2">
        <w:rPr>
          <w:rFonts w:ascii="Times New Roman" w:hAnsi="Times New Roman" w:cs="Times New Roman"/>
          <w:b/>
          <w:bCs/>
          <w:color w:val="000000" w:themeColor="text1"/>
          <w:sz w:val="24"/>
          <w:szCs w:val="24"/>
        </w:rPr>
        <w:t>4.2.4.1.</w:t>
      </w:r>
      <w:r w:rsidR="00A409F2">
        <w:rPr>
          <w:rFonts w:ascii="Times New Roman" w:hAnsi="Times New Roman" w:cs="Times New Roman"/>
          <w:b/>
          <w:bCs/>
          <w:color w:val="000000" w:themeColor="text1"/>
          <w:sz w:val="24"/>
          <w:szCs w:val="24"/>
        </w:rPr>
        <w:t>5</w:t>
      </w:r>
      <w:r w:rsidRPr="00195CA2">
        <w:rPr>
          <w:rFonts w:ascii="Times New Roman" w:hAnsi="Times New Roman" w:cs="Times New Roman"/>
          <w:b/>
          <w:bCs/>
          <w:color w:val="000000" w:themeColor="text1"/>
          <w:sz w:val="24"/>
          <w:szCs w:val="24"/>
        </w:rPr>
        <w:t>. INCOBRABILIDAD</w:t>
      </w:r>
      <w:bookmarkEnd w:id="306"/>
    </w:p>
    <w:p w14:paraId="027D5CE3" w14:textId="77777777" w:rsidR="0081027F" w:rsidRPr="0081027F" w:rsidRDefault="0081027F" w:rsidP="0081027F">
      <w:pPr>
        <w:spacing w:line="360" w:lineRule="auto"/>
        <w:ind w:firstLine="720"/>
        <w:jc w:val="both"/>
        <w:rPr>
          <w:rFonts w:ascii="Times New Roman" w:hAnsi="Times New Roman" w:cs="Times New Roman"/>
          <w:b/>
          <w:bCs/>
          <w:sz w:val="24"/>
          <w:szCs w:val="24"/>
        </w:rPr>
      </w:pPr>
      <w:r w:rsidRPr="0081027F">
        <w:rPr>
          <w:rFonts w:ascii="Times New Roman" w:hAnsi="Times New Roman" w:cs="Times New Roman"/>
          <w:sz w:val="24"/>
          <w:szCs w:val="24"/>
        </w:rPr>
        <w:t>Este indicador permite tener conocimiento de los créditos que han sido clasificados como categoría V, es decir, que hayan sido castigados contra las provisiones. A través de este indicador se mide el porcentaje de la cartera que la IMF ha castigado</w:t>
      </w:r>
      <w:r w:rsidRPr="0081027F">
        <w:rPr>
          <w:rFonts w:ascii="Times New Roman" w:hAnsi="Times New Roman" w:cs="Times New Roman"/>
          <w:b/>
          <w:bCs/>
          <w:sz w:val="24"/>
          <w:szCs w:val="24"/>
        </w:rPr>
        <w:t xml:space="preserve">.  </w:t>
      </w:r>
    </w:p>
    <w:p w14:paraId="1E611AE0" w14:textId="3F134C66" w:rsidR="0081027F" w:rsidRPr="0081027F" w:rsidRDefault="00BA4F50" w:rsidP="00BA4F50">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ab/>
      </w:r>
      <w:r w:rsidR="0081027F" w:rsidRPr="0081027F">
        <w:rPr>
          <w:rFonts w:ascii="Times New Roman" w:hAnsi="Times New Roman" w:cs="Times New Roman"/>
          <w:sz w:val="24"/>
          <w:szCs w:val="24"/>
        </w:rPr>
        <w:t>La fórmula utilizada para determinar este indicador es:</w:t>
      </w:r>
    </w:p>
    <w:p w14:paraId="3C86AB5E" w14:textId="15691715" w:rsidR="009140A7" w:rsidRDefault="0081027F" w:rsidP="0081027F">
      <w:pPr>
        <w:spacing w:line="360" w:lineRule="auto"/>
        <w:ind w:firstLine="720"/>
        <w:jc w:val="both"/>
        <w:rPr>
          <w:rFonts w:ascii="Times New Roman" w:hAnsi="Times New Roman" w:cs="Times New Roman"/>
          <w:b/>
          <w:bCs/>
          <w:i/>
          <w:iCs/>
          <w:sz w:val="24"/>
          <w:szCs w:val="24"/>
        </w:rPr>
      </w:pPr>
      <w:r>
        <w:rPr>
          <w:rFonts w:ascii="Times New Roman" w:hAnsi="Times New Roman" w:cs="Times New Roman"/>
          <w:b/>
          <w:bCs/>
          <w:i/>
          <w:iCs/>
          <w:sz w:val="24"/>
          <w:szCs w:val="24"/>
        </w:rPr>
        <w:tab/>
      </w:r>
      <w:r w:rsidRPr="0081027F">
        <w:rPr>
          <w:rFonts w:ascii="Times New Roman" w:hAnsi="Times New Roman" w:cs="Times New Roman"/>
          <w:b/>
          <w:bCs/>
          <w:i/>
          <w:iCs/>
          <w:sz w:val="24"/>
          <w:szCs w:val="24"/>
        </w:rPr>
        <w:t>Incobrabilidad = Cartera Castigada / Cartera Crediticia</w:t>
      </w:r>
    </w:p>
    <w:p w14:paraId="6B9F9A62" w14:textId="5EA9B4B5" w:rsidR="0010645D" w:rsidRDefault="009140A7" w:rsidP="003E2058">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Tabla 1</w:t>
      </w:r>
      <w:r w:rsidR="007C6FC5">
        <w:rPr>
          <w:rFonts w:ascii="Times New Roman" w:hAnsi="Times New Roman" w:cs="Times New Roman"/>
          <w:sz w:val="24"/>
          <w:szCs w:val="24"/>
        </w:rPr>
        <w:t>8</w:t>
      </w:r>
      <w:r>
        <w:rPr>
          <w:rFonts w:ascii="Times New Roman" w:hAnsi="Times New Roman" w:cs="Times New Roman"/>
          <w:sz w:val="24"/>
          <w:szCs w:val="24"/>
        </w:rPr>
        <w:t>. Índice de Incobrabilidad</w:t>
      </w:r>
      <w:r w:rsidRPr="00B149BE">
        <w:rPr>
          <w:rFonts w:ascii="Times New Roman" w:hAnsi="Times New Roman" w:cs="Times New Roman"/>
          <w:sz w:val="24"/>
          <w:szCs w:val="24"/>
        </w:rPr>
        <w:t xml:space="preserve"> microfinanciera </w:t>
      </w:r>
      <w:r w:rsidR="00E5074B">
        <w:rPr>
          <w:rFonts w:ascii="Times New Roman" w:hAnsi="Times New Roman" w:cs="Times New Roman"/>
          <w:sz w:val="24"/>
          <w:szCs w:val="24"/>
        </w:rPr>
        <w:t>“XYZ”</w:t>
      </w:r>
      <w:r w:rsidRPr="00B149BE">
        <w:rPr>
          <w:rFonts w:ascii="Times New Roman" w:hAnsi="Times New Roman" w:cs="Times New Roman"/>
          <w:sz w:val="24"/>
          <w:szCs w:val="24"/>
        </w:rPr>
        <w:t xml:space="preserve"> periodo 2019-2023</w:t>
      </w:r>
      <w:r w:rsidR="00783048">
        <w:rPr>
          <w:rFonts w:ascii="Times New Roman" w:hAnsi="Times New Roman" w:cs="Times New Roman"/>
          <w:sz w:val="24"/>
          <w:szCs w:val="24"/>
        </w:rPr>
        <w:t>.</w:t>
      </w:r>
    </w:p>
    <w:tbl>
      <w:tblPr>
        <w:tblW w:w="9262" w:type="dxa"/>
        <w:tblCellMar>
          <w:left w:w="70" w:type="dxa"/>
          <w:right w:w="70" w:type="dxa"/>
        </w:tblCellMar>
        <w:tblLook w:val="04A0" w:firstRow="1" w:lastRow="0" w:firstColumn="1" w:lastColumn="0" w:noHBand="0" w:noVBand="1"/>
      </w:tblPr>
      <w:tblGrid>
        <w:gridCol w:w="2119"/>
        <w:gridCol w:w="328"/>
        <w:gridCol w:w="1363"/>
        <w:gridCol w:w="1363"/>
        <w:gridCol w:w="1363"/>
        <w:gridCol w:w="1363"/>
        <w:gridCol w:w="1363"/>
      </w:tblGrid>
      <w:tr w:rsidR="0010645D" w:rsidRPr="0010645D" w14:paraId="2D24311A" w14:textId="77777777" w:rsidTr="0010645D">
        <w:trPr>
          <w:trHeight w:val="201"/>
        </w:trPr>
        <w:tc>
          <w:tcPr>
            <w:tcW w:w="2119" w:type="dxa"/>
            <w:tcBorders>
              <w:top w:val="nil"/>
              <w:left w:val="nil"/>
              <w:bottom w:val="nil"/>
              <w:right w:val="nil"/>
            </w:tcBorders>
            <w:shd w:val="clear" w:color="auto" w:fill="auto"/>
            <w:noWrap/>
            <w:vAlign w:val="bottom"/>
            <w:hideMark/>
          </w:tcPr>
          <w:p w14:paraId="3215B28E" w14:textId="77777777" w:rsidR="0010645D" w:rsidRPr="0010645D" w:rsidRDefault="0010645D" w:rsidP="0010645D">
            <w:pPr>
              <w:widowControl/>
              <w:rPr>
                <w:rFonts w:ascii="Times New Roman" w:eastAsia="Times New Roman" w:hAnsi="Times New Roman" w:cs="Times New Roman"/>
                <w:sz w:val="24"/>
                <w:szCs w:val="24"/>
                <w:lang w:eastAsia="es-HN"/>
              </w:rPr>
            </w:pPr>
          </w:p>
        </w:tc>
        <w:tc>
          <w:tcPr>
            <w:tcW w:w="328" w:type="dxa"/>
            <w:tcBorders>
              <w:top w:val="nil"/>
              <w:left w:val="nil"/>
              <w:bottom w:val="nil"/>
              <w:right w:val="nil"/>
            </w:tcBorders>
            <w:shd w:val="clear" w:color="auto" w:fill="auto"/>
            <w:noWrap/>
            <w:vAlign w:val="bottom"/>
            <w:hideMark/>
          </w:tcPr>
          <w:p w14:paraId="056FC91B" w14:textId="77777777" w:rsidR="0010645D" w:rsidRPr="0010645D" w:rsidRDefault="0010645D" w:rsidP="0010645D">
            <w:pPr>
              <w:widowControl/>
              <w:rPr>
                <w:rFonts w:ascii="Times New Roman" w:eastAsia="Times New Roman" w:hAnsi="Times New Roman" w:cs="Times New Roman"/>
                <w:sz w:val="20"/>
                <w:szCs w:val="20"/>
                <w:lang w:eastAsia="es-HN"/>
              </w:rPr>
            </w:pPr>
          </w:p>
        </w:tc>
        <w:tc>
          <w:tcPr>
            <w:tcW w:w="1363" w:type="dxa"/>
            <w:tcBorders>
              <w:top w:val="nil"/>
              <w:left w:val="nil"/>
              <w:bottom w:val="nil"/>
              <w:right w:val="nil"/>
            </w:tcBorders>
            <w:shd w:val="clear" w:color="auto" w:fill="auto"/>
            <w:noWrap/>
            <w:vAlign w:val="bottom"/>
            <w:hideMark/>
          </w:tcPr>
          <w:p w14:paraId="2C82CA48" w14:textId="77777777" w:rsidR="0010645D" w:rsidRPr="0010645D" w:rsidRDefault="0010645D" w:rsidP="0010645D">
            <w:pPr>
              <w:widowControl/>
              <w:jc w:val="center"/>
              <w:rPr>
                <w:rFonts w:ascii="Times New Roman" w:eastAsia="Times New Roman" w:hAnsi="Times New Roman" w:cs="Times New Roman"/>
                <w:b/>
                <w:bCs/>
                <w:color w:val="000000"/>
                <w:lang w:eastAsia="es-HN"/>
              </w:rPr>
            </w:pPr>
            <w:r w:rsidRPr="0010645D">
              <w:rPr>
                <w:rFonts w:ascii="Times New Roman" w:eastAsia="Times New Roman" w:hAnsi="Times New Roman" w:cs="Times New Roman"/>
                <w:b/>
                <w:bCs/>
                <w:color w:val="000000"/>
                <w:lang w:eastAsia="es-HN"/>
              </w:rPr>
              <w:t>2019</w:t>
            </w:r>
          </w:p>
        </w:tc>
        <w:tc>
          <w:tcPr>
            <w:tcW w:w="1363" w:type="dxa"/>
            <w:tcBorders>
              <w:top w:val="nil"/>
              <w:left w:val="nil"/>
              <w:bottom w:val="nil"/>
              <w:right w:val="nil"/>
            </w:tcBorders>
            <w:shd w:val="clear" w:color="auto" w:fill="auto"/>
            <w:noWrap/>
            <w:vAlign w:val="bottom"/>
            <w:hideMark/>
          </w:tcPr>
          <w:p w14:paraId="3096EBD9" w14:textId="77777777" w:rsidR="0010645D" w:rsidRPr="0010645D" w:rsidRDefault="0010645D" w:rsidP="0010645D">
            <w:pPr>
              <w:widowControl/>
              <w:jc w:val="center"/>
              <w:rPr>
                <w:rFonts w:ascii="Times New Roman" w:eastAsia="Times New Roman" w:hAnsi="Times New Roman" w:cs="Times New Roman"/>
                <w:b/>
                <w:bCs/>
                <w:color w:val="000000"/>
                <w:lang w:eastAsia="es-HN"/>
              </w:rPr>
            </w:pPr>
            <w:r w:rsidRPr="0010645D">
              <w:rPr>
                <w:rFonts w:ascii="Times New Roman" w:eastAsia="Times New Roman" w:hAnsi="Times New Roman" w:cs="Times New Roman"/>
                <w:b/>
                <w:bCs/>
                <w:color w:val="000000"/>
                <w:lang w:eastAsia="es-HN"/>
              </w:rPr>
              <w:t>2020</w:t>
            </w:r>
          </w:p>
        </w:tc>
        <w:tc>
          <w:tcPr>
            <w:tcW w:w="1363" w:type="dxa"/>
            <w:tcBorders>
              <w:top w:val="nil"/>
              <w:left w:val="nil"/>
              <w:bottom w:val="nil"/>
              <w:right w:val="nil"/>
            </w:tcBorders>
            <w:shd w:val="clear" w:color="auto" w:fill="auto"/>
            <w:noWrap/>
            <w:vAlign w:val="bottom"/>
            <w:hideMark/>
          </w:tcPr>
          <w:p w14:paraId="28E2A672" w14:textId="77777777" w:rsidR="0010645D" w:rsidRPr="0010645D" w:rsidRDefault="0010645D" w:rsidP="0010645D">
            <w:pPr>
              <w:widowControl/>
              <w:jc w:val="center"/>
              <w:rPr>
                <w:rFonts w:ascii="Times New Roman" w:eastAsia="Times New Roman" w:hAnsi="Times New Roman" w:cs="Times New Roman"/>
                <w:b/>
                <w:bCs/>
                <w:color w:val="000000"/>
                <w:lang w:eastAsia="es-HN"/>
              </w:rPr>
            </w:pPr>
            <w:r w:rsidRPr="0010645D">
              <w:rPr>
                <w:rFonts w:ascii="Times New Roman" w:eastAsia="Times New Roman" w:hAnsi="Times New Roman" w:cs="Times New Roman"/>
                <w:b/>
                <w:bCs/>
                <w:color w:val="000000"/>
                <w:lang w:eastAsia="es-HN"/>
              </w:rPr>
              <w:t>2021</w:t>
            </w:r>
          </w:p>
        </w:tc>
        <w:tc>
          <w:tcPr>
            <w:tcW w:w="1363" w:type="dxa"/>
            <w:tcBorders>
              <w:top w:val="nil"/>
              <w:left w:val="nil"/>
              <w:bottom w:val="nil"/>
              <w:right w:val="nil"/>
            </w:tcBorders>
            <w:shd w:val="clear" w:color="auto" w:fill="auto"/>
            <w:noWrap/>
            <w:vAlign w:val="bottom"/>
            <w:hideMark/>
          </w:tcPr>
          <w:p w14:paraId="1A182940" w14:textId="77777777" w:rsidR="0010645D" w:rsidRPr="0010645D" w:rsidRDefault="0010645D" w:rsidP="0010645D">
            <w:pPr>
              <w:widowControl/>
              <w:jc w:val="center"/>
              <w:rPr>
                <w:rFonts w:ascii="Times New Roman" w:eastAsia="Times New Roman" w:hAnsi="Times New Roman" w:cs="Times New Roman"/>
                <w:b/>
                <w:bCs/>
                <w:color w:val="000000"/>
                <w:lang w:eastAsia="es-HN"/>
              </w:rPr>
            </w:pPr>
            <w:r w:rsidRPr="0010645D">
              <w:rPr>
                <w:rFonts w:ascii="Times New Roman" w:eastAsia="Times New Roman" w:hAnsi="Times New Roman" w:cs="Times New Roman"/>
                <w:b/>
                <w:bCs/>
                <w:color w:val="000000"/>
                <w:lang w:eastAsia="es-HN"/>
              </w:rPr>
              <w:t>2022</w:t>
            </w:r>
          </w:p>
        </w:tc>
        <w:tc>
          <w:tcPr>
            <w:tcW w:w="1363" w:type="dxa"/>
            <w:tcBorders>
              <w:top w:val="nil"/>
              <w:left w:val="nil"/>
              <w:bottom w:val="nil"/>
              <w:right w:val="nil"/>
            </w:tcBorders>
            <w:shd w:val="clear" w:color="auto" w:fill="auto"/>
            <w:noWrap/>
            <w:vAlign w:val="bottom"/>
            <w:hideMark/>
          </w:tcPr>
          <w:p w14:paraId="2BF33AD1" w14:textId="77777777" w:rsidR="0010645D" w:rsidRPr="0010645D" w:rsidRDefault="0010645D" w:rsidP="0010645D">
            <w:pPr>
              <w:widowControl/>
              <w:jc w:val="center"/>
              <w:rPr>
                <w:rFonts w:ascii="Times New Roman" w:eastAsia="Times New Roman" w:hAnsi="Times New Roman" w:cs="Times New Roman"/>
                <w:b/>
                <w:bCs/>
                <w:color w:val="000000"/>
                <w:lang w:eastAsia="es-HN"/>
              </w:rPr>
            </w:pPr>
            <w:r w:rsidRPr="0010645D">
              <w:rPr>
                <w:rFonts w:ascii="Times New Roman" w:eastAsia="Times New Roman" w:hAnsi="Times New Roman" w:cs="Times New Roman"/>
                <w:b/>
                <w:bCs/>
                <w:color w:val="000000"/>
                <w:lang w:eastAsia="es-HN"/>
              </w:rPr>
              <w:t>2023</w:t>
            </w:r>
          </w:p>
        </w:tc>
      </w:tr>
      <w:tr w:rsidR="0010645D" w:rsidRPr="0010645D" w14:paraId="0C5BE944" w14:textId="77777777" w:rsidTr="0010645D">
        <w:trPr>
          <w:trHeight w:val="201"/>
        </w:trPr>
        <w:tc>
          <w:tcPr>
            <w:tcW w:w="2119" w:type="dxa"/>
            <w:tcBorders>
              <w:top w:val="nil"/>
              <w:left w:val="nil"/>
              <w:bottom w:val="nil"/>
              <w:right w:val="nil"/>
            </w:tcBorders>
            <w:shd w:val="clear" w:color="auto" w:fill="auto"/>
            <w:noWrap/>
            <w:vAlign w:val="bottom"/>
            <w:hideMark/>
          </w:tcPr>
          <w:p w14:paraId="607C8FBB" w14:textId="77777777" w:rsidR="0010645D" w:rsidRPr="0010645D" w:rsidRDefault="0010645D" w:rsidP="0010645D">
            <w:pPr>
              <w:widowControl/>
              <w:rPr>
                <w:rFonts w:ascii="Times New Roman" w:eastAsia="Times New Roman" w:hAnsi="Times New Roman" w:cs="Times New Roman"/>
                <w:color w:val="000000"/>
                <w:lang w:eastAsia="es-HN"/>
              </w:rPr>
            </w:pPr>
            <w:r w:rsidRPr="0010645D">
              <w:rPr>
                <w:rFonts w:ascii="Times New Roman" w:eastAsia="Times New Roman" w:hAnsi="Times New Roman" w:cs="Times New Roman"/>
                <w:color w:val="000000"/>
                <w:lang w:eastAsia="es-HN"/>
              </w:rPr>
              <w:t>Incobrabilidad</w:t>
            </w:r>
          </w:p>
        </w:tc>
        <w:tc>
          <w:tcPr>
            <w:tcW w:w="328" w:type="dxa"/>
            <w:vMerge w:val="restart"/>
            <w:tcBorders>
              <w:top w:val="nil"/>
              <w:left w:val="nil"/>
              <w:bottom w:val="nil"/>
              <w:right w:val="nil"/>
            </w:tcBorders>
            <w:shd w:val="clear" w:color="auto" w:fill="auto"/>
            <w:noWrap/>
            <w:vAlign w:val="center"/>
            <w:hideMark/>
          </w:tcPr>
          <w:p w14:paraId="25A2D83F" w14:textId="77777777" w:rsidR="0010645D" w:rsidRPr="0010645D" w:rsidRDefault="0010645D" w:rsidP="0010645D">
            <w:pPr>
              <w:widowControl/>
              <w:jc w:val="center"/>
              <w:rPr>
                <w:rFonts w:ascii="Times New Roman" w:eastAsia="Times New Roman" w:hAnsi="Times New Roman" w:cs="Times New Roman"/>
                <w:color w:val="000000"/>
                <w:lang w:eastAsia="es-HN"/>
              </w:rPr>
            </w:pPr>
            <w:r w:rsidRPr="0010645D">
              <w:rPr>
                <w:rFonts w:ascii="Times New Roman" w:eastAsia="Times New Roman" w:hAnsi="Times New Roman" w:cs="Times New Roman"/>
                <w:color w:val="000000"/>
                <w:lang w:eastAsia="es-HN"/>
              </w:rPr>
              <w:t>=</w:t>
            </w:r>
          </w:p>
        </w:tc>
        <w:tc>
          <w:tcPr>
            <w:tcW w:w="1363" w:type="dxa"/>
            <w:tcBorders>
              <w:top w:val="nil"/>
              <w:left w:val="nil"/>
              <w:bottom w:val="single" w:sz="4" w:space="0" w:color="auto"/>
              <w:right w:val="nil"/>
            </w:tcBorders>
            <w:shd w:val="clear" w:color="auto" w:fill="auto"/>
            <w:noWrap/>
            <w:vAlign w:val="bottom"/>
            <w:hideMark/>
          </w:tcPr>
          <w:p w14:paraId="734E9E28" w14:textId="77777777" w:rsidR="0010645D" w:rsidRPr="0010645D" w:rsidRDefault="0010645D" w:rsidP="0010645D">
            <w:pPr>
              <w:widowControl/>
              <w:rPr>
                <w:rFonts w:ascii="Times New Roman" w:eastAsia="Times New Roman" w:hAnsi="Times New Roman" w:cs="Times New Roman"/>
                <w:color w:val="000000"/>
                <w:lang w:eastAsia="es-HN"/>
              </w:rPr>
            </w:pPr>
            <w:r w:rsidRPr="0010645D">
              <w:rPr>
                <w:rFonts w:ascii="Times New Roman" w:eastAsia="Times New Roman" w:hAnsi="Times New Roman" w:cs="Times New Roman"/>
                <w:color w:val="000000"/>
                <w:lang w:eastAsia="es-HN"/>
              </w:rPr>
              <w:t xml:space="preserve">          19,420,652 </w:t>
            </w:r>
          </w:p>
        </w:tc>
        <w:tc>
          <w:tcPr>
            <w:tcW w:w="1363" w:type="dxa"/>
            <w:tcBorders>
              <w:top w:val="nil"/>
              <w:left w:val="nil"/>
              <w:bottom w:val="single" w:sz="4" w:space="0" w:color="auto"/>
              <w:right w:val="nil"/>
            </w:tcBorders>
            <w:shd w:val="clear" w:color="auto" w:fill="auto"/>
            <w:noWrap/>
            <w:vAlign w:val="bottom"/>
            <w:hideMark/>
          </w:tcPr>
          <w:p w14:paraId="2A166A5B" w14:textId="77777777" w:rsidR="0010645D" w:rsidRPr="0010645D" w:rsidRDefault="0010645D" w:rsidP="0010645D">
            <w:pPr>
              <w:widowControl/>
              <w:rPr>
                <w:rFonts w:ascii="Times New Roman" w:eastAsia="Times New Roman" w:hAnsi="Times New Roman" w:cs="Times New Roman"/>
                <w:color w:val="000000"/>
                <w:lang w:eastAsia="es-HN"/>
              </w:rPr>
            </w:pPr>
            <w:r w:rsidRPr="0010645D">
              <w:rPr>
                <w:rFonts w:ascii="Times New Roman" w:eastAsia="Times New Roman" w:hAnsi="Times New Roman" w:cs="Times New Roman"/>
                <w:color w:val="000000"/>
                <w:lang w:eastAsia="es-HN"/>
              </w:rPr>
              <w:t xml:space="preserve">          16,300,017 </w:t>
            </w:r>
          </w:p>
        </w:tc>
        <w:tc>
          <w:tcPr>
            <w:tcW w:w="1363" w:type="dxa"/>
            <w:tcBorders>
              <w:top w:val="nil"/>
              <w:left w:val="nil"/>
              <w:bottom w:val="single" w:sz="4" w:space="0" w:color="auto"/>
              <w:right w:val="nil"/>
            </w:tcBorders>
            <w:shd w:val="clear" w:color="auto" w:fill="auto"/>
            <w:noWrap/>
            <w:vAlign w:val="bottom"/>
            <w:hideMark/>
          </w:tcPr>
          <w:p w14:paraId="38FAE86B" w14:textId="77777777" w:rsidR="0010645D" w:rsidRPr="0010645D" w:rsidRDefault="0010645D" w:rsidP="0010645D">
            <w:pPr>
              <w:widowControl/>
              <w:rPr>
                <w:rFonts w:ascii="Times New Roman" w:eastAsia="Times New Roman" w:hAnsi="Times New Roman" w:cs="Times New Roman"/>
                <w:color w:val="000000"/>
                <w:lang w:eastAsia="es-HN"/>
              </w:rPr>
            </w:pPr>
            <w:r w:rsidRPr="0010645D">
              <w:rPr>
                <w:rFonts w:ascii="Times New Roman" w:eastAsia="Times New Roman" w:hAnsi="Times New Roman" w:cs="Times New Roman"/>
                <w:color w:val="000000"/>
                <w:lang w:eastAsia="es-HN"/>
              </w:rPr>
              <w:t xml:space="preserve">          54,081,060 </w:t>
            </w:r>
          </w:p>
        </w:tc>
        <w:tc>
          <w:tcPr>
            <w:tcW w:w="1363" w:type="dxa"/>
            <w:tcBorders>
              <w:top w:val="nil"/>
              <w:left w:val="nil"/>
              <w:bottom w:val="single" w:sz="4" w:space="0" w:color="auto"/>
              <w:right w:val="nil"/>
            </w:tcBorders>
            <w:shd w:val="clear" w:color="auto" w:fill="auto"/>
            <w:noWrap/>
            <w:vAlign w:val="bottom"/>
            <w:hideMark/>
          </w:tcPr>
          <w:p w14:paraId="0CB33607" w14:textId="77777777" w:rsidR="0010645D" w:rsidRPr="0010645D" w:rsidRDefault="0010645D" w:rsidP="0010645D">
            <w:pPr>
              <w:widowControl/>
              <w:rPr>
                <w:rFonts w:ascii="Times New Roman" w:eastAsia="Times New Roman" w:hAnsi="Times New Roman" w:cs="Times New Roman"/>
                <w:color w:val="000000"/>
                <w:lang w:eastAsia="es-HN"/>
              </w:rPr>
            </w:pPr>
            <w:r w:rsidRPr="0010645D">
              <w:rPr>
                <w:rFonts w:ascii="Times New Roman" w:eastAsia="Times New Roman" w:hAnsi="Times New Roman" w:cs="Times New Roman"/>
                <w:color w:val="000000"/>
                <w:lang w:eastAsia="es-HN"/>
              </w:rPr>
              <w:t xml:space="preserve">          24,999,060 </w:t>
            </w:r>
          </w:p>
        </w:tc>
        <w:tc>
          <w:tcPr>
            <w:tcW w:w="1363" w:type="dxa"/>
            <w:tcBorders>
              <w:top w:val="nil"/>
              <w:left w:val="nil"/>
              <w:bottom w:val="single" w:sz="4" w:space="0" w:color="auto"/>
              <w:right w:val="nil"/>
            </w:tcBorders>
            <w:shd w:val="clear" w:color="auto" w:fill="auto"/>
            <w:noWrap/>
            <w:vAlign w:val="bottom"/>
            <w:hideMark/>
          </w:tcPr>
          <w:p w14:paraId="522C6643" w14:textId="77777777" w:rsidR="0010645D" w:rsidRPr="0010645D" w:rsidRDefault="0010645D" w:rsidP="0010645D">
            <w:pPr>
              <w:widowControl/>
              <w:rPr>
                <w:rFonts w:ascii="Times New Roman" w:eastAsia="Times New Roman" w:hAnsi="Times New Roman" w:cs="Times New Roman"/>
                <w:color w:val="000000"/>
                <w:lang w:eastAsia="es-HN"/>
              </w:rPr>
            </w:pPr>
            <w:r w:rsidRPr="0010645D">
              <w:rPr>
                <w:rFonts w:ascii="Times New Roman" w:eastAsia="Times New Roman" w:hAnsi="Times New Roman" w:cs="Times New Roman"/>
                <w:color w:val="000000"/>
                <w:lang w:eastAsia="es-HN"/>
              </w:rPr>
              <w:t xml:space="preserve">           7,300,843 </w:t>
            </w:r>
          </w:p>
        </w:tc>
      </w:tr>
      <w:tr w:rsidR="0010645D" w:rsidRPr="0010645D" w14:paraId="3909D128" w14:textId="77777777" w:rsidTr="0010645D">
        <w:trPr>
          <w:trHeight w:val="201"/>
        </w:trPr>
        <w:tc>
          <w:tcPr>
            <w:tcW w:w="2119" w:type="dxa"/>
            <w:tcBorders>
              <w:top w:val="nil"/>
              <w:left w:val="nil"/>
              <w:bottom w:val="nil"/>
              <w:right w:val="nil"/>
            </w:tcBorders>
            <w:shd w:val="clear" w:color="auto" w:fill="auto"/>
            <w:noWrap/>
            <w:vAlign w:val="bottom"/>
            <w:hideMark/>
          </w:tcPr>
          <w:p w14:paraId="3D108FC6" w14:textId="77777777" w:rsidR="0010645D" w:rsidRPr="0010645D" w:rsidRDefault="0010645D" w:rsidP="0010645D">
            <w:pPr>
              <w:widowControl/>
              <w:rPr>
                <w:rFonts w:ascii="Times New Roman" w:eastAsia="Times New Roman" w:hAnsi="Times New Roman" w:cs="Times New Roman"/>
                <w:color w:val="000000"/>
                <w:lang w:eastAsia="es-HN"/>
              </w:rPr>
            </w:pPr>
          </w:p>
        </w:tc>
        <w:tc>
          <w:tcPr>
            <w:tcW w:w="328" w:type="dxa"/>
            <w:vMerge/>
            <w:tcBorders>
              <w:top w:val="nil"/>
              <w:left w:val="nil"/>
              <w:bottom w:val="nil"/>
              <w:right w:val="nil"/>
            </w:tcBorders>
            <w:vAlign w:val="center"/>
            <w:hideMark/>
          </w:tcPr>
          <w:p w14:paraId="3F687001" w14:textId="77777777" w:rsidR="0010645D" w:rsidRPr="0010645D" w:rsidRDefault="0010645D" w:rsidP="0010645D">
            <w:pPr>
              <w:widowControl/>
              <w:rPr>
                <w:rFonts w:ascii="Times New Roman" w:eastAsia="Times New Roman" w:hAnsi="Times New Roman" w:cs="Times New Roman"/>
                <w:color w:val="000000"/>
                <w:lang w:eastAsia="es-HN"/>
              </w:rPr>
            </w:pPr>
          </w:p>
        </w:tc>
        <w:tc>
          <w:tcPr>
            <w:tcW w:w="1363" w:type="dxa"/>
            <w:tcBorders>
              <w:top w:val="nil"/>
              <w:left w:val="nil"/>
              <w:bottom w:val="nil"/>
              <w:right w:val="nil"/>
            </w:tcBorders>
            <w:shd w:val="clear" w:color="auto" w:fill="auto"/>
            <w:noWrap/>
            <w:vAlign w:val="bottom"/>
            <w:hideMark/>
          </w:tcPr>
          <w:p w14:paraId="249D9E5F" w14:textId="77777777" w:rsidR="0010645D" w:rsidRPr="0010645D" w:rsidRDefault="0010645D" w:rsidP="0010645D">
            <w:pPr>
              <w:widowControl/>
              <w:rPr>
                <w:rFonts w:ascii="Times New Roman" w:eastAsia="Times New Roman" w:hAnsi="Times New Roman" w:cs="Times New Roman"/>
                <w:color w:val="000000"/>
                <w:lang w:eastAsia="es-HN"/>
              </w:rPr>
            </w:pPr>
            <w:r w:rsidRPr="0010645D">
              <w:rPr>
                <w:rFonts w:ascii="Times New Roman" w:eastAsia="Times New Roman" w:hAnsi="Times New Roman" w:cs="Times New Roman"/>
                <w:color w:val="000000"/>
                <w:lang w:eastAsia="es-HN"/>
              </w:rPr>
              <w:t xml:space="preserve">        502,459,426 </w:t>
            </w:r>
          </w:p>
        </w:tc>
        <w:tc>
          <w:tcPr>
            <w:tcW w:w="1363" w:type="dxa"/>
            <w:tcBorders>
              <w:top w:val="nil"/>
              <w:left w:val="nil"/>
              <w:bottom w:val="nil"/>
              <w:right w:val="nil"/>
            </w:tcBorders>
            <w:shd w:val="clear" w:color="auto" w:fill="auto"/>
            <w:noWrap/>
            <w:vAlign w:val="bottom"/>
            <w:hideMark/>
          </w:tcPr>
          <w:p w14:paraId="4DD16B57" w14:textId="77777777" w:rsidR="0010645D" w:rsidRPr="0010645D" w:rsidRDefault="0010645D" w:rsidP="0010645D">
            <w:pPr>
              <w:widowControl/>
              <w:rPr>
                <w:rFonts w:ascii="Times New Roman" w:eastAsia="Times New Roman" w:hAnsi="Times New Roman" w:cs="Times New Roman"/>
                <w:color w:val="000000"/>
                <w:lang w:eastAsia="es-HN"/>
              </w:rPr>
            </w:pPr>
            <w:r w:rsidRPr="0010645D">
              <w:rPr>
                <w:rFonts w:ascii="Times New Roman" w:eastAsia="Times New Roman" w:hAnsi="Times New Roman" w:cs="Times New Roman"/>
                <w:color w:val="000000"/>
                <w:lang w:eastAsia="es-HN"/>
              </w:rPr>
              <w:t xml:space="preserve">        493,476,658 </w:t>
            </w:r>
          </w:p>
        </w:tc>
        <w:tc>
          <w:tcPr>
            <w:tcW w:w="1363" w:type="dxa"/>
            <w:tcBorders>
              <w:top w:val="nil"/>
              <w:left w:val="nil"/>
              <w:bottom w:val="nil"/>
              <w:right w:val="nil"/>
            </w:tcBorders>
            <w:shd w:val="clear" w:color="auto" w:fill="auto"/>
            <w:noWrap/>
            <w:vAlign w:val="bottom"/>
            <w:hideMark/>
          </w:tcPr>
          <w:p w14:paraId="760FD7B9" w14:textId="77777777" w:rsidR="0010645D" w:rsidRPr="0010645D" w:rsidRDefault="0010645D" w:rsidP="0010645D">
            <w:pPr>
              <w:widowControl/>
              <w:rPr>
                <w:rFonts w:ascii="Times New Roman" w:eastAsia="Times New Roman" w:hAnsi="Times New Roman" w:cs="Times New Roman"/>
                <w:color w:val="000000"/>
                <w:lang w:eastAsia="es-HN"/>
              </w:rPr>
            </w:pPr>
            <w:r w:rsidRPr="0010645D">
              <w:rPr>
                <w:rFonts w:ascii="Times New Roman" w:eastAsia="Times New Roman" w:hAnsi="Times New Roman" w:cs="Times New Roman"/>
                <w:color w:val="000000"/>
                <w:lang w:eastAsia="es-HN"/>
              </w:rPr>
              <w:t xml:space="preserve">        415,652,235 </w:t>
            </w:r>
          </w:p>
        </w:tc>
        <w:tc>
          <w:tcPr>
            <w:tcW w:w="1363" w:type="dxa"/>
            <w:tcBorders>
              <w:top w:val="nil"/>
              <w:left w:val="nil"/>
              <w:bottom w:val="nil"/>
              <w:right w:val="nil"/>
            </w:tcBorders>
            <w:shd w:val="clear" w:color="auto" w:fill="auto"/>
            <w:noWrap/>
            <w:vAlign w:val="bottom"/>
            <w:hideMark/>
          </w:tcPr>
          <w:p w14:paraId="58D3BC5B" w14:textId="77777777" w:rsidR="0010645D" w:rsidRPr="0010645D" w:rsidRDefault="0010645D" w:rsidP="0010645D">
            <w:pPr>
              <w:widowControl/>
              <w:rPr>
                <w:rFonts w:ascii="Times New Roman" w:eastAsia="Times New Roman" w:hAnsi="Times New Roman" w:cs="Times New Roman"/>
                <w:color w:val="000000"/>
                <w:lang w:eastAsia="es-HN"/>
              </w:rPr>
            </w:pPr>
            <w:r w:rsidRPr="0010645D">
              <w:rPr>
                <w:rFonts w:ascii="Times New Roman" w:eastAsia="Times New Roman" w:hAnsi="Times New Roman" w:cs="Times New Roman"/>
                <w:color w:val="000000"/>
                <w:lang w:eastAsia="es-HN"/>
              </w:rPr>
              <w:t xml:space="preserve">        371,942,556 </w:t>
            </w:r>
          </w:p>
        </w:tc>
        <w:tc>
          <w:tcPr>
            <w:tcW w:w="1363" w:type="dxa"/>
            <w:tcBorders>
              <w:top w:val="nil"/>
              <w:left w:val="nil"/>
              <w:bottom w:val="nil"/>
              <w:right w:val="nil"/>
            </w:tcBorders>
            <w:shd w:val="clear" w:color="auto" w:fill="auto"/>
            <w:noWrap/>
            <w:vAlign w:val="bottom"/>
            <w:hideMark/>
          </w:tcPr>
          <w:p w14:paraId="4DEDDB7B" w14:textId="77777777" w:rsidR="0010645D" w:rsidRPr="0010645D" w:rsidRDefault="0010645D" w:rsidP="0010645D">
            <w:pPr>
              <w:widowControl/>
              <w:rPr>
                <w:rFonts w:ascii="Times New Roman" w:eastAsia="Times New Roman" w:hAnsi="Times New Roman" w:cs="Times New Roman"/>
                <w:color w:val="000000"/>
                <w:lang w:eastAsia="es-HN"/>
              </w:rPr>
            </w:pPr>
            <w:r w:rsidRPr="0010645D">
              <w:rPr>
                <w:rFonts w:ascii="Times New Roman" w:eastAsia="Times New Roman" w:hAnsi="Times New Roman" w:cs="Times New Roman"/>
                <w:color w:val="000000"/>
                <w:lang w:eastAsia="es-HN"/>
              </w:rPr>
              <w:t xml:space="preserve">        377,045,047 </w:t>
            </w:r>
          </w:p>
        </w:tc>
      </w:tr>
      <w:tr w:rsidR="0010645D" w:rsidRPr="0010645D" w14:paraId="326AB34A" w14:textId="77777777" w:rsidTr="0010645D">
        <w:trPr>
          <w:trHeight w:val="201"/>
        </w:trPr>
        <w:tc>
          <w:tcPr>
            <w:tcW w:w="2119" w:type="dxa"/>
            <w:tcBorders>
              <w:top w:val="nil"/>
              <w:left w:val="nil"/>
              <w:bottom w:val="nil"/>
              <w:right w:val="nil"/>
            </w:tcBorders>
            <w:shd w:val="clear" w:color="auto" w:fill="auto"/>
            <w:noWrap/>
            <w:vAlign w:val="bottom"/>
            <w:hideMark/>
          </w:tcPr>
          <w:p w14:paraId="48A9AC58" w14:textId="77777777" w:rsidR="0010645D" w:rsidRPr="0010645D" w:rsidRDefault="0010645D" w:rsidP="0010645D">
            <w:pPr>
              <w:widowControl/>
              <w:rPr>
                <w:rFonts w:ascii="Times New Roman" w:eastAsia="Times New Roman" w:hAnsi="Times New Roman" w:cs="Times New Roman"/>
                <w:color w:val="000000"/>
                <w:lang w:eastAsia="es-HN"/>
              </w:rPr>
            </w:pPr>
          </w:p>
        </w:tc>
        <w:tc>
          <w:tcPr>
            <w:tcW w:w="328" w:type="dxa"/>
            <w:tcBorders>
              <w:top w:val="nil"/>
              <w:left w:val="nil"/>
              <w:bottom w:val="nil"/>
              <w:right w:val="nil"/>
            </w:tcBorders>
            <w:shd w:val="clear" w:color="auto" w:fill="auto"/>
            <w:noWrap/>
            <w:vAlign w:val="bottom"/>
            <w:hideMark/>
          </w:tcPr>
          <w:p w14:paraId="30458A61" w14:textId="77777777" w:rsidR="0010645D" w:rsidRPr="0010645D" w:rsidRDefault="0010645D" w:rsidP="0010645D">
            <w:pPr>
              <w:widowControl/>
              <w:rPr>
                <w:rFonts w:ascii="Times New Roman" w:eastAsia="Times New Roman" w:hAnsi="Times New Roman" w:cs="Times New Roman"/>
                <w:sz w:val="20"/>
                <w:szCs w:val="20"/>
                <w:lang w:eastAsia="es-HN"/>
              </w:rPr>
            </w:pPr>
          </w:p>
        </w:tc>
        <w:tc>
          <w:tcPr>
            <w:tcW w:w="1363" w:type="dxa"/>
            <w:tcBorders>
              <w:top w:val="nil"/>
              <w:left w:val="nil"/>
              <w:bottom w:val="nil"/>
              <w:right w:val="nil"/>
            </w:tcBorders>
            <w:shd w:val="clear" w:color="000000" w:fill="CAEDFB"/>
            <w:noWrap/>
            <w:vAlign w:val="bottom"/>
            <w:hideMark/>
          </w:tcPr>
          <w:p w14:paraId="76DA7FFB" w14:textId="77777777" w:rsidR="0010645D" w:rsidRPr="0010645D" w:rsidRDefault="0010645D" w:rsidP="0010645D">
            <w:pPr>
              <w:widowControl/>
              <w:jc w:val="center"/>
              <w:rPr>
                <w:rFonts w:ascii="Times New Roman" w:eastAsia="Times New Roman" w:hAnsi="Times New Roman" w:cs="Times New Roman"/>
                <w:b/>
                <w:bCs/>
                <w:color w:val="000000"/>
                <w:lang w:eastAsia="es-HN"/>
              </w:rPr>
            </w:pPr>
            <w:r w:rsidRPr="0010645D">
              <w:rPr>
                <w:rFonts w:ascii="Times New Roman" w:eastAsia="Times New Roman" w:hAnsi="Times New Roman" w:cs="Times New Roman"/>
                <w:b/>
                <w:bCs/>
                <w:color w:val="000000"/>
                <w:lang w:eastAsia="es-HN"/>
              </w:rPr>
              <w:t>4%</w:t>
            </w:r>
          </w:p>
        </w:tc>
        <w:tc>
          <w:tcPr>
            <w:tcW w:w="1363" w:type="dxa"/>
            <w:tcBorders>
              <w:top w:val="nil"/>
              <w:left w:val="nil"/>
              <w:bottom w:val="nil"/>
              <w:right w:val="nil"/>
            </w:tcBorders>
            <w:shd w:val="clear" w:color="000000" w:fill="CAEDFB"/>
            <w:noWrap/>
            <w:vAlign w:val="bottom"/>
            <w:hideMark/>
          </w:tcPr>
          <w:p w14:paraId="376CAABC" w14:textId="77777777" w:rsidR="0010645D" w:rsidRPr="0010645D" w:rsidRDefault="0010645D" w:rsidP="0010645D">
            <w:pPr>
              <w:widowControl/>
              <w:jc w:val="center"/>
              <w:rPr>
                <w:rFonts w:ascii="Times New Roman" w:eastAsia="Times New Roman" w:hAnsi="Times New Roman" w:cs="Times New Roman"/>
                <w:b/>
                <w:bCs/>
                <w:color w:val="000000"/>
                <w:lang w:eastAsia="es-HN"/>
              </w:rPr>
            </w:pPr>
            <w:r w:rsidRPr="0010645D">
              <w:rPr>
                <w:rFonts w:ascii="Times New Roman" w:eastAsia="Times New Roman" w:hAnsi="Times New Roman" w:cs="Times New Roman"/>
                <w:b/>
                <w:bCs/>
                <w:color w:val="000000"/>
                <w:lang w:eastAsia="es-HN"/>
              </w:rPr>
              <w:t>3.3%</w:t>
            </w:r>
          </w:p>
        </w:tc>
        <w:tc>
          <w:tcPr>
            <w:tcW w:w="1363" w:type="dxa"/>
            <w:tcBorders>
              <w:top w:val="nil"/>
              <w:left w:val="nil"/>
              <w:bottom w:val="nil"/>
              <w:right w:val="nil"/>
            </w:tcBorders>
            <w:shd w:val="clear" w:color="000000" w:fill="CAEDFB"/>
            <w:noWrap/>
            <w:vAlign w:val="bottom"/>
            <w:hideMark/>
          </w:tcPr>
          <w:p w14:paraId="5EDEAD29" w14:textId="77777777" w:rsidR="0010645D" w:rsidRPr="0010645D" w:rsidRDefault="0010645D" w:rsidP="0010645D">
            <w:pPr>
              <w:widowControl/>
              <w:jc w:val="center"/>
              <w:rPr>
                <w:rFonts w:ascii="Times New Roman" w:eastAsia="Times New Roman" w:hAnsi="Times New Roman" w:cs="Times New Roman"/>
                <w:b/>
                <w:bCs/>
                <w:color w:val="000000"/>
                <w:lang w:eastAsia="es-HN"/>
              </w:rPr>
            </w:pPr>
            <w:r w:rsidRPr="0010645D">
              <w:rPr>
                <w:rFonts w:ascii="Times New Roman" w:eastAsia="Times New Roman" w:hAnsi="Times New Roman" w:cs="Times New Roman"/>
                <w:b/>
                <w:bCs/>
                <w:color w:val="000000"/>
                <w:lang w:eastAsia="es-HN"/>
              </w:rPr>
              <w:t>13.0%</w:t>
            </w:r>
          </w:p>
        </w:tc>
        <w:tc>
          <w:tcPr>
            <w:tcW w:w="1363" w:type="dxa"/>
            <w:tcBorders>
              <w:top w:val="nil"/>
              <w:left w:val="nil"/>
              <w:bottom w:val="nil"/>
              <w:right w:val="nil"/>
            </w:tcBorders>
            <w:shd w:val="clear" w:color="000000" w:fill="CAEDFB"/>
            <w:noWrap/>
            <w:vAlign w:val="bottom"/>
            <w:hideMark/>
          </w:tcPr>
          <w:p w14:paraId="1FA5E6F2" w14:textId="77777777" w:rsidR="0010645D" w:rsidRPr="0010645D" w:rsidRDefault="0010645D" w:rsidP="0010645D">
            <w:pPr>
              <w:widowControl/>
              <w:jc w:val="center"/>
              <w:rPr>
                <w:rFonts w:ascii="Times New Roman" w:eastAsia="Times New Roman" w:hAnsi="Times New Roman" w:cs="Times New Roman"/>
                <w:b/>
                <w:bCs/>
                <w:color w:val="000000"/>
                <w:lang w:eastAsia="es-HN"/>
              </w:rPr>
            </w:pPr>
            <w:r w:rsidRPr="0010645D">
              <w:rPr>
                <w:rFonts w:ascii="Times New Roman" w:eastAsia="Times New Roman" w:hAnsi="Times New Roman" w:cs="Times New Roman"/>
                <w:b/>
                <w:bCs/>
                <w:color w:val="000000"/>
                <w:lang w:eastAsia="es-HN"/>
              </w:rPr>
              <w:t>6.7%</w:t>
            </w:r>
          </w:p>
        </w:tc>
        <w:tc>
          <w:tcPr>
            <w:tcW w:w="1363" w:type="dxa"/>
            <w:tcBorders>
              <w:top w:val="nil"/>
              <w:left w:val="nil"/>
              <w:bottom w:val="nil"/>
              <w:right w:val="nil"/>
            </w:tcBorders>
            <w:shd w:val="clear" w:color="000000" w:fill="CAEDFB"/>
            <w:noWrap/>
            <w:vAlign w:val="bottom"/>
            <w:hideMark/>
          </w:tcPr>
          <w:p w14:paraId="3A999EB7" w14:textId="77777777" w:rsidR="0010645D" w:rsidRPr="0010645D" w:rsidRDefault="0010645D" w:rsidP="0010645D">
            <w:pPr>
              <w:widowControl/>
              <w:jc w:val="center"/>
              <w:rPr>
                <w:rFonts w:ascii="Times New Roman" w:eastAsia="Times New Roman" w:hAnsi="Times New Roman" w:cs="Times New Roman"/>
                <w:b/>
                <w:bCs/>
                <w:color w:val="000000"/>
                <w:lang w:eastAsia="es-HN"/>
              </w:rPr>
            </w:pPr>
            <w:r w:rsidRPr="0010645D">
              <w:rPr>
                <w:rFonts w:ascii="Times New Roman" w:eastAsia="Times New Roman" w:hAnsi="Times New Roman" w:cs="Times New Roman"/>
                <w:b/>
                <w:bCs/>
                <w:color w:val="000000"/>
                <w:lang w:eastAsia="es-HN"/>
              </w:rPr>
              <w:t>1.9%</w:t>
            </w:r>
          </w:p>
        </w:tc>
      </w:tr>
    </w:tbl>
    <w:p w14:paraId="66604015" w14:textId="7F1E987B" w:rsidR="009140A7" w:rsidRDefault="009140A7" w:rsidP="003E2058">
      <w:pPr>
        <w:spacing w:before="240" w:after="240" w:line="360" w:lineRule="auto"/>
        <w:ind w:firstLine="720"/>
        <w:rPr>
          <w:noProof/>
        </w:rPr>
      </w:pPr>
      <w:r w:rsidRPr="00957314">
        <w:rPr>
          <w:rFonts w:ascii="Times New Roman" w:hAnsi="Times New Roman" w:cs="Times New Roman"/>
          <w:sz w:val="24"/>
          <w:szCs w:val="24"/>
        </w:rPr>
        <w:t xml:space="preserve">Fuente: Elaboración propia con datos de microfinanciera </w:t>
      </w:r>
      <w:r w:rsidR="00E5074B">
        <w:rPr>
          <w:rFonts w:ascii="Times New Roman" w:hAnsi="Times New Roman" w:cs="Times New Roman"/>
          <w:sz w:val="24"/>
          <w:szCs w:val="24"/>
        </w:rPr>
        <w:t>“XYZ”</w:t>
      </w:r>
      <w:r>
        <w:rPr>
          <w:noProof/>
        </w:rPr>
        <w:t>.</w:t>
      </w:r>
    </w:p>
    <w:p w14:paraId="65016B96" w14:textId="6E35242E" w:rsidR="009140A7" w:rsidRDefault="0095604B" w:rsidP="0095604B">
      <w:pPr>
        <w:spacing w:line="360" w:lineRule="auto"/>
        <w:ind w:firstLine="720"/>
        <w:jc w:val="both"/>
        <w:rPr>
          <w:rFonts w:ascii="Times New Roman" w:hAnsi="Times New Roman" w:cs="Times New Roman"/>
          <w:sz w:val="24"/>
          <w:szCs w:val="24"/>
        </w:rPr>
      </w:pPr>
      <w:r w:rsidRPr="0095604B">
        <w:rPr>
          <w:rFonts w:ascii="Times New Roman" w:hAnsi="Times New Roman" w:cs="Times New Roman"/>
          <w:sz w:val="24"/>
          <w:szCs w:val="24"/>
        </w:rPr>
        <w:lastRenderedPageBreak/>
        <w:t>La empresa ha mostrado una mejora significativa en los últimos dos años, reduciendo la incobrabilidad a niveles muy bajos en 2023. Esto refleja una gestión más efectiva de la cartera de créditos y una recuperación económica. Sin embargo, es crucial mantener y mejorar estas estrategias para asegurar una gestión sostenible y cumplir con los estándares regulatorios.</w:t>
      </w:r>
    </w:p>
    <w:p w14:paraId="5325D958" w14:textId="77777777" w:rsidR="00783048" w:rsidRDefault="00783048" w:rsidP="0095604B">
      <w:pPr>
        <w:spacing w:line="360" w:lineRule="auto"/>
        <w:ind w:firstLine="720"/>
        <w:jc w:val="both"/>
        <w:rPr>
          <w:rFonts w:ascii="Times New Roman" w:hAnsi="Times New Roman" w:cs="Times New Roman"/>
          <w:sz w:val="24"/>
          <w:szCs w:val="24"/>
        </w:rPr>
      </w:pPr>
    </w:p>
    <w:p w14:paraId="409DCBED" w14:textId="0AC1BCC2" w:rsidR="0010645D" w:rsidRDefault="0010645D" w:rsidP="00272B2F">
      <w:pPr>
        <w:spacing w:line="360" w:lineRule="auto"/>
        <w:jc w:val="center"/>
        <w:rPr>
          <w:rFonts w:ascii="Times New Roman" w:hAnsi="Times New Roman" w:cs="Times New Roman"/>
          <w:sz w:val="24"/>
          <w:szCs w:val="24"/>
        </w:rPr>
      </w:pPr>
      <w:r>
        <w:rPr>
          <w:noProof/>
        </w:rPr>
        <w:drawing>
          <wp:inline distT="0" distB="0" distL="0" distR="0" wp14:anchorId="45730630" wp14:editId="114AE457">
            <wp:extent cx="4438650" cy="2987040"/>
            <wp:effectExtent l="0" t="0" r="0" b="3810"/>
            <wp:docPr id="1589855270" name="Gráfico 1">
              <a:extLst xmlns:a="http://schemas.openxmlformats.org/drawingml/2006/main">
                <a:ext uri="{FF2B5EF4-FFF2-40B4-BE49-F238E27FC236}">
                  <a16:creationId xmlns:a16="http://schemas.microsoft.com/office/drawing/2014/main" id="{78C2A193-524D-D7D8-8D4C-BA591192FDA5}"/>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4"/>
              </a:graphicData>
            </a:graphic>
          </wp:inline>
        </w:drawing>
      </w:r>
    </w:p>
    <w:p w14:paraId="0679EE66" w14:textId="77777777" w:rsidR="00DF41E4" w:rsidRDefault="009140A7" w:rsidP="00783048">
      <w:pPr>
        <w:spacing w:line="360" w:lineRule="auto"/>
        <w:ind w:firstLine="720"/>
        <w:jc w:val="both"/>
        <w:rPr>
          <w:rFonts w:ascii="Times New Roman" w:hAnsi="Times New Roman" w:cs="Times New Roman"/>
          <w:sz w:val="24"/>
          <w:szCs w:val="24"/>
          <w:lang w:val="es-ES"/>
        </w:rPr>
      </w:pPr>
      <w:r>
        <w:rPr>
          <w:rFonts w:ascii="Times New Roman" w:hAnsi="Times New Roman" w:cs="Times New Roman"/>
          <w:sz w:val="24"/>
          <w:szCs w:val="24"/>
          <w:lang w:val="es-ES"/>
        </w:rPr>
        <w:t xml:space="preserve">Figura 16. </w:t>
      </w:r>
      <w:r>
        <w:rPr>
          <w:rFonts w:ascii="Times New Roman" w:hAnsi="Times New Roman" w:cs="Times New Roman"/>
          <w:sz w:val="24"/>
          <w:szCs w:val="24"/>
        </w:rPr>
        <w:t>Índice de Incobrabilidad</w:t>
      </w:r>
      <w:r>
        <w:rPr>
          <w:rFonts w:ascii="Times New Roman" w:hAnsi="Times New Roman" w:cs="Times New Roman"/>
          <w:sz w:val="24"/>
          <w:szCs w:val="24"/>
          <w:lang w:val="es-ES"/>
        </w:rPr>
        <w:t>.</w:t>
      </w:r>
    </w:p>
    <w:p w14:paraId="19FF3190" w14:textId="76101695" w:rsidR="009140A7" w:rsidRDefault="00DF41E4" w:rsidP="00783048">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lang w:val="es-ES"/>
        </w:rPr>
        <w:t xml:space="preserve">Fuente: </w:t>
      </w:r>
      <w:r w:rsidR="009140A7" w:rsidRPr="009968F1">
        <w:rPr>
          <w:rFonts w:ascii="Times New Roman" w:hAnsi="Times New Roman" w:cs="Times New Roman"/>
          <w:sz w:val="24"/>
          <w:szCs w:val="24"/>
        </w:rPr>
        <w:t xml:space="preserve">Elaboración propia con datos de microfinanciera </w:t>
      </w:r>
      <w:r w:rsidR="00E5074B">
        <w:rPr>
          <w:rFonts w:ascii="Times New Roman" w:hAnsi="Times New Roman" w:cs="Times New Roman"/>
          <w:sz w:val="24"/>
          <w:szCs w:val="24"/>
        </w:rPr>
        <w:t>“XYZ”</w:t>
      </w:r>
      <w:r w:rsidR="00783048">
        <w:rPr>
          <w:rFonts w:ascii="Times New Roman" w:hAnsi="Times New Roman" w:cs="Times New Roman"/>
          <w:sz w:val="24"/>
          <w:szCs w:val="24"/>
        </w:rPr>
        <w:t>.</w:t>
      </w:r>
    </w:p>
    <w:p w14:paraId="5953F4DC" w14:textId="77777777" w:rsidR="0010645D" w:rsidRDefault="0010645D" w:rsidP="00195CA2">
      <w:pPr>
        <w:spacing w:line="360" w:lineRule="auto"/>
        <w:jc w:val="both"/>
        <w:rPr>
          <w:rFonts w:ascii="Times New Roman" w:hAnsi="Times New Roman" w:cs="Times New Roman"/>
          <w:sz w:val="24"/>
          <w:szCs w:val="24"/>
        </w:rPr>
      </w:pPr>
    </w:p>
    <w:p w14:paraId="0BBD6221" w14:textId="77777777" w:rsidR="0095604B" w:rsidRPr="0095604B" w:rsidRDefault="0095604B" w:rsidP="0095604B">
      <w:pPr>
        <w:spacing w:line="360" w:lineRule="auto"/>
        <w:ind w:firstLine="720"/>
        <w:jc w:val="both"/>
        <w:rPr>
          <w:rFonts w:ascii="Times New Roman" w:hAnsi="Times New Roman" w:cs="Times New Roman"/>
          <w:sz w:val="24"/>
          <w:szCs w:val="24"/>
        </w:rPr>
      </w:pPr>
      <w:r w:rsidRPr="0095604B">
        <w:rPr>
          <w:rFonts w:ascii="Times New Roman" w:hAnsi="Times New Roman" w:cs="Times New Roman"/>
          <w:sz w:val="24"/>
          <w:szCs w:val="24"/>
        </w:rPr>
        <w:t>En 2019 y 2020, la incobrabilidad está por encima del parámetro regulatorio del 2%, lo que sugiere posibles problemas en la gestión de créditos y cobranzas durante esos años.</w:t>
      </w:r>
    </w:p>
    <w:p w14:paraId="6844C6B4" w14:textId="45CC83E4" w:rsidR="00166343" w:rsidRDefault="0095604B" w:rsidP="0095604B">
      <w:pPr>
        <w:spacing w:line="360" w:lineRule="auto"/>
        <w:ind w:firstLine="720"/>
        <w:jc w:val="both"/>
        <w:rPr>
          <w:rFonts w:ascii="Times New Roman" w:hAnsi="Times New Roman" w:cs="Times New Roman"/>
          <w:sz w:val="24"/>
          <w:szCs w:val="24"/>
        </w:rPr>
      </w:pPr>
      <w:r w:rsidRPr="0095604B">
        <w:rPr>
          <w:rFonts w:ascii="Times New Roman" w:hAnsi="Times New Roman" w:cs="Times New Roman"/>
          <w:sz w:val="24"/>
          <w:szCs w:val="24"/>
        </w:rPr>
        <w:t>En 2021, la incobrabilidad alcanza un pico notable del 13.0%, muy por encima del límite del 2%. Esto podría indicar dificultades financieras significativas, posiblemente debido a cambios económicos o problemas internos en la empresa</w:t>
      </w:r>
      <w:r w:rsidR="00166343">
        <w:rPr>
          <w:rFonts w:ascii="Times New Roman" w:hAnsi="Times New Roman" w:cs="Times New Roman"/>
          <w:sz w:val="24"/>
          <w:szCs w:val="24"/>
        </w:rPr>
        <w:t>,</w:t>
      </w:r>
    </w:p>
    <w:p w14:paraId="7B6A363F" w14:textId="2B658C83" w:rsidR="0095604B" w:rsidRDefault="00791D94" w:rsidP="0095604B">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 </w:t>
      </w:r>
      <w:r w:rsidR="00166343">
        <w:rPr>
          <w:rFonts w:ascii="Times New Roman" w:hAnsi="Times New Roman" w:cs="Times New Roman"/>
          <w:sz w:val="24"/>
          <w:szCs w:val="24"/>
        </w:rPr>
        <w:t xml:space="preserve">Es necesario </w:t>
      </w:r>
      <w:r>
        <w:rPr>
          <w:rFonts w:ascii="Times New Roman" w:hAnsi="Times New Roman" w:cs="Times New Roman"/>
          <w:sz w:val="24"/>
          <w:szCs w:val="24"/>
        </w:rPr>
        <w:t xml:space="preserve">que la IMF </w:t>
      </w:r>
      <w:r w:rsidR="00166343">
        <w:rPr>
          <w:rFonts w:ascii="Times New Roman" w:hAnsi="Times New Roman" w:cs="Times New Roman"/>
          <w:sz w:val="24"/>
          <w:szCs w:val="24"/>
        </w:rPr>
        <w:t>mantenga estos porcentajes por encima de lo establecido, ya que de esta forma podrá realizar los castigos de los préstamos que se consideran cuentas incobrables, siempre y cuando estos sean autorizados por el ente regulador, y de esta manera la empresa hasta cierto punto podrá reducir sus niveles de mora.</w:t>
      </w:r>
    </w:p>
    <w:p w14:paraId="19592EFB" w14:textId="77777777" w:rsidR="0095604B" w:rsidRDefault="0095604B" w:rsidP="00195CA2">
      <w:pPr>
        <w:spacing w:line="360" w:lineRule="auto"/>
        <w:jc w:val="both"/>
        <w:rPr>
          <w:rFonts w:ascii="Times New Roman" w:hAnsi="Times New Roman" w:cs="Times New Roman"/>
          <w:sz w:val="24"/>
          <w:szCs w:val="24"/>
        </w:rPr>
      </w:pPr>
    </w:p>
    <w:p w14:paraId="63384734" w14:textId="0340BC8F" w:rsidR="001E4EB3" w:rsidRPr="001E4EB3" w:rsidRDefault="001E4EB3" w:rsidP="001E4EB3">
      <w:pPr>
        <w:pStyle w:val="Ttulo3"/>
        <w:ind w:left="0" w:firstLine="720"/>
      </w:pPr>
      <w:bookmarkStart w:id="307" w:name="_Toc175171450"/>
      <w:r w:rsidRPr="001E4EB3">
        <w:lastRenderedPageBreak/>
        <w:t>4.2.</w:t>
      </w:r>
      <w:r w:rsidR="00340C62">
        <w:t>5</w:t>
      </w:r>
      <w:r w:rsidRPr="001E4EB3">
        <w:t>. SEM</w:t>
      </w:r>
      <w:r w:rsidR="00AE1556">
        <w:t>Á</w:t>
      </w:r>
      <w:r w:rsidRPr="001E4EB3">
        <w:t>FORO FINANCIERO</w:t>
      </w:r>
      <w:bookmarkEnd w:id="307"/>
    </w:p>
    <w:p w14:paraId="01108FA7" w14:textId="77777777" w:rsidR="001E4EB3" w:rsidRPr="001E4EB3" w:rsidRDefault="001E4EB3" w:rsidP="001E4EB3">
      <w:pPr>
        <w:spacing w:line="360" w:lineRule="auto"/>
        <w:ind w:firstLine="720"/>
        <w:jc w:val="both"/>
        <w:rPr>
          <w:rFonts w:ascii="Times New Roman" w:hAnsi="Times New Roman" w:cs="Times New Roman"/>
          <w:sz w:val="24"/>
          <w:szCs w:val="24"/>
        </w:rPr>
      </w:pPr>
      <w:r w:rsidRPr="001E4EB3">
        <w:rPr>
          <w:rFonts w:ascii="Times New Roman" w:hAnsi="Times New Roman" w:cs="Times New Roman"/>
          <w:sz w:val="24"/>
          <w:szCs w:val="24"/>
        </w:rPr>
        <w:t>El semáforo financiero es una herramienta visual que utiliza colores para representar la salud financiera de la empresa o de sus indicadores financieros clave. Este sistema de colores permite a las partes interesadas entender rápidamente el estado financiero de la empresa, asimismo, ayuda a identificar las áreas que requieren mayor atención; este se interpreta de la siguiente manera:</w:t>
      </w:r>
    </w:p>
    <w:p w14:paraId="7363B383" w14:textId="77777777" w:rsidR="001E4EB3" w:rsidRPr="001E4EB3" w:rsidRDefault="001E4EB3" w:rsidP="001E4EB3">
      <w:pPr>
        <w:spacing w:line="360" w:lineRule="auto"/>
        <w:ind w:firstLine="720"/>
        <w:jc w:val="both"/>
        <w:rPr>
          <w:rFonts w:ascii="Times New Roman" w:hAnsi="Times New Roman" w:cs="Times New Roman"/>
          <w:sz w:val="24"/>
          <w:szCs w:val="24"/>
        </w:rPr>
      </w:pPr>
      <w:r w:rsidRPr="001E4EB3">
        <w:rPr>
          <w:rFonts w:ascii="Times New Roman" w:hAnsi="Times New Roman" w:cs="Times New Roman"/>
          <w:b/>
          <w:bCs/>
          <w:sz w:val="24"/>
          <w:szCs w:val="24"/>
        </w:rPr>
        <w:t>Verde</w:t>
      </w:r>
      <w:r w:rsidRPr="001E4EB3">
        <w:rPr>
          <w:rFonts w:ascii="Times New Roman" w:hAnsi="Times New Roman" w:cs="Times New Roman"/>
          <w:sz w:val="24"/>
          <w:szCs w:val="24"/>
        </w:rPr>
        <w:t>: Indica que los indicadores financieros están dentro de los rangos deseados o favorables, lo que sugiere una situación financiera saludable.</w:t>
      </w:r>
    </w:p>
    <w:p w14:paraId="52EA8B1F" w14:textId="77777777" w:rsidR="001E4EB3" w:rsidRPr="001E4EB3" w:rsidRDefault="001E4EB3" w:rsidP="001E4EB3">
      <w:pPr>
        <w:spacing w:line="360" w:lineRule="auto"/>
        <w:ind w:firstLine="720"/>
        <w:jc w:val="both"/>
        <w:rPr>
          <w:rFonts w:ascii="Times New Roman" w:hAnsi="Times New Roman" w:cs="Times New Roman"/>
          <w:sz w:val="24"/>
          <w:szCs w:val="24"/>
        </w:rPr>
      </w:pPr>
      <w:r w:rsidRPr="001E4EB3">
        <w:rPr>
          <w:rFonts w:ascii="Times New Roman" w:hAnsi="Times New Roman" w:cs="Times New Roman"/>
          <w:b/>
          <w:bCs/>
          <w:sz w:val="24"/>
          <w:szCs w:val="24"/>
        </w:rPr>
        <w:t>Amarillo o Naranja</w:t>
      </w:r>
      <w:r w:rsidRPr="001E4EB3">
        <w:rPr>
          <w:rFonts w:ascii="Times New Roman" w:hAnsi="Times New Roman" w:cs="Times New Roman"/>
          <w:sz w:val="24"/>
          <w:szCs w:val="24"/>
        </w:rPr>
        <w:t>: Indica un estado de precaución, ya que los indicadores están cerca de los límites aceptables. Aunque la situación es manejable, podría requerir seguimiento especial y potenciales ajustes para evitar problemas</w:t>
      </w:r>
    </w:p>
    <w:p w14:paraId="0AE80440" w14:textId="77777777" w:rsidR="001E4EB3" w:rsidRPr="001E4EB3" w:rsidRDefault="001E4EB3" w:rsidP="001E4EB3">
      <w:pPr>
        <w:spacing w:line="360" w:lineRule="auto"/>
        <w:ind w:firstLine="720"/>
        <w:jc w:val="both"/>
        <w:rPr>
          <w:rFonts w:ascii="Times New Roman" w:hAnsi="Times New Roman" w:cs="Times New Roman"/>
          <w:sz w:val="24"/>
          <w:szCs w:val="24"/>
        </w:rPr>
      </w:pPr>
      <w:r w:rsidRPr="001E4EB3">
        <w:rPr>
          <w:rFonts w:ascii="Times New Roman" w:hAnsi="Times New Roman" w:cs="Times New Roman"/>
          <w:b/>
          <w:bCs/>
          <w:sz w:val="24"/>
          <w:szCs w:val="24"/>
        </w:rPr>
        <w:t>Rojo</w:t>
      </w:r>
      <w:r w:rsidRPr="001E4EB3">
        <w:rPr>
          <w:rFonts w:ascii="Times New Roman" w:hAnsi="Times New Roman" w:cs="Times New Roman"/>
          <w:sz w:val="24"/>
          <w:szCs w:val="24"/>
        </w:rPr>
        <w:t>: Indica una situación financiera problemática o negativa, lo que significa que los indicadores están fuera de los límites deseados. Esta situación requiere una acción inmediata para corregir los problemas financieros identificados.</w:t>
      </w:r>
    </w:p>
    <w:p w14:paraId="72D1C96C" w14:textId="784127A0" w:rsidR="00E24D9A" w:rsidRDefault="001E4EB3" w:rsidP="00130620">
      <w:pPr>
        <w:spacing w:line="360" w:lineRule="auto"/>
        <w:ind w:firstLine="720"/>
        <w:jc w:val="both"/>
        <w:rPr>
          <w:rFonts w:ascii="Times New Roman" w:hAnsi="Times New Roman" w:cs="Times New Roman"/>
          <w:sz w:val="24"/>
          <w:szCs w:val="24"/>
        </w:rPr>
      </w:pPr>
      <w:r w:rsidRPr="001E4EB3">
        <w:rPr>
          <w:rFonts w:ascii="Times New Roman" w:hAnsi="Times New Roman" w:cs="Times New Roman"/>
          <w:sz w:val="24"/>
          <w:szCs w:val="24"/>
        </w:rPr>
        <w:t xml:space="preserve">A continuación, se presenta el semáforo financiero de los indicadores de la IMF </w:t>
      </w:r>
      <w:r w:rsidR="00E5074B">
        <w:rPr>
          <w:rFonts w:ascii="Times New Roman" w:hAnsi="Times New Roman" w:cs="Times New Roman"/>
          <w:sz w:val="24"/>
          <w:szCs w:val="24"/>
        </w:rPr>
        <w:t>“XYZ”</w:t>
      </w:r>
      <w:r w:rsidRPr="001E4EB3">
        <w:rPr>
          <w:rFonts w:ascii="Times New Roman" w:hAnsi="Times New Roman" w:cs="Times New Roman"/>
          <w:sz w:val="24"/>
          <w:szCs w:val="24"/>
        </w:rPr>
        <w:t xml:space="preserve"> para el período 2019-2023.</w:t>
      </w:r>
      <w:bookmarkStart w:id="308" w:name="_Toc166705834"/>
    </w:p>
    <w:p w14:paraId="1CAAFC71" w14:textId="33902845" w:rsidR="00130620" w:rsidRPr="00130620" w:rsidRDefault="00130620" w:rsidP="00AE1556">
      <w:pPr>
        <w:spacing w:line="360" w:lineRule="auto"/>
        <w:ind w:firstLine="720"/>
        <w:jc w:val="both"/>
        <w:rPr>
          <w:rFonts w:ascii="Times New Roman" w:hAnsi="Times New Roman" w:cs="Times New Roman"/>
          <w:sz w:val="24"/>
          <w:szCs w:val="24"/>
        </w:rPr>
      </w:pPr>
    </w:p>
    <w:tbl>
      <w:tblPr>
        <w:tblW w:w="9350" w:type="dxa"/>
        <w:tblCellMar>
          <w:left w:w="70" w:type="dxa"/>
          <w:right w:w="70" w:type="dxa"/>
        </w:tblCellMar>
        <w:tblLook w:val="04A0" w:firstRow="1" w:lastRow="0" w:firstColumn="1" w:lastColumn="0" w:noHBand="0" w:noVBand="1"/>
      </w:tblPr>
      <w:tblGrid>
        <w:gridCol w:w="1117"/>
        <w:gridCol w:w="786"/>
        <w:gridCol w:w="910"/>
        <w:gridCol w:w="785"/>
        <w:gridCol w:w="1406"/>
        <w:gridCol w:w="884"/>
        <w:gridCol w:w="884"/>
        <w:gridCol w:w="810"/>
        <w:gridCol w:w="884"/>
        <w:gridCol w:w="884"/>
      </w:tblGrid>
      <w:tr w:rsidR="006A1A18" w:rsidRPr="006A1A18" w14:paraId="38CE2BA9" w14:textId="77777777" w:rsidTr="00AE1556">
        <w:trPr>
          <w:trHeight w:val="260"/>
        </w:trPr>
        <w:tc>
          <w:tcPr>
            <w:tcW w:w="1117" w:type="dxa"/>
            <w:vMerge w:val="restart"/>
            <w:tcBorders>
              <w:top w:val="single" w:sz="4" w:space="0" w:color="auto"/>
              <w:left w:val="single" w:sz="4" w:space="0" w:color="auto"/>
              <w:bottom w:val="single" w:sz="4" w:space="0" w:color="auto"/>
              <w:right w:val="single" w:sz="4" w:space="0" w:color="auto"/>
            </w:tcBorders>
            <w:shd w:val="clear" w:color="000000" w:fill="CAEDFB"/>
            <w:vAlign w:val="center"/>
            <w:hideMark/>
          </w:tcPr>
          <w:p w14:paraId="4CB29963" w14:textId="77777777" w:rsidR="006A1A18" w:rsidRPr="006A1A18" w:rsidRDefault="006A1A18" w:rsidP="006A1A18">
            <w:pPr>
              <w:widowControl/>
              <w:jc w:val="center"/>
              <w:rPr>
                <w:rFonts w:ascii="Times" w:eastAsia="Times New Roman" w:hAnsi="Times" w:cs="Times"/>
                <w:b/>
                <w:bCs/>
                <w:color w:val="000000"/>
                <w:sz w:val="18"/>
                <w:szCs w:val="18"/>
                <w:lang w:eastAsia="es-HN"/>
              </w:rPr>
            </w:pPr>
            <w:r w:rsidRPr="006A1A18">
              <w:rPr>
                <w:rFonts w:ascii="Times" w:eastAsia="Times New Roman" w:hAnsi="Times" w:cs="Times"/>
                <w:b/>
                <w:bCs/>
                <w:color w:val="000000"/>
                <w:sz w:val="18"/>
                <w:szCs w:val="18"/>
                <w:lang w:eastAsia="es-HN"/>
              </w:rPr>
              <w:t xml:space="preserve">Indicador </w:t>
            </w:r>
          </w:p>
        </w:tc>
        <w:tc>
          <w:tcPr>
            <w:tcW w:w="2481" w:type="dxa"/>
            <w:gridSpan w:val="3"/>
            <w:tcBorders>
              <w:top w:val="single" w:sz="4" w:space="0" w:color="auto"/>
              <w:left w:val="nil"/>
              <w:bottom w:val="single" w:sz="4" w:space="0" w:color="auto"/>
              <w:right w:val="single" w:sz="4" w:space="0" w:color="auto"/>
            </w:tcBorders>
            <w:shd w:val="clear" w:color="000000" w:fill="CAEDFB"/>
            <w:noWrap/>
            <w:vAlign w:val="center"/>
            <w:hideMark/>
          </w:tcPr>
          <w:p w14:paraId="7AB3598E" w14:textId="77777777" w:rsidR="006A1A18" w:rsidRPr="006A1A18" w:rsidRDefault="006A1A18" w:rsidP="006A1A18">
            <w:pPr>
              <w:widowControl/>
              <w:jc w:val="center"/>
              <w:rPr>
                <w:rFonts w:ascii="Times" w:eastAsia="Times New Roman" w:hAnsi="Times" w:cs="Times"/>
                <w:b/>
                <w:bCs/>
                <w:color w:val="000000"/>
                <w:sz w:val="18"/>
                <w:szCs w:val="18"/>
                <w:lang w:eastAsia="es-HN"/>
              </w:rPr>
            </w:pPr>
            <w:r w:rsidRPr="006A1A18">
              <w:rPr>
                <w:rFonts w:ascii="Times" w:eastAsia="Times New Roman" w:hAnsi="Times" w:cs="Times"/>
                <w:b/>
                <w:bCs/>
                <w:color w:val="000000"/>
                <w:sz w:val="18"/>
                <w:szCs w:val="18"/>
                <w:lang w:eastAsia="es-HN"/>
              </w:rPr>
              <w:t xml:space="preserve">Valores de Referencia </w:t>
            </w:r>
          </w:p>
        </w:tc>
        <w:tc>
          <w:tcPr>
            <w:tcW w:w="1406" w:type="dxa"/>
            <w:vMerge w:val="restart"/>
            <w:tcBorders>
              <w:top w:val="single" w:sz="4" w:space="0" w:color="auto"/>
              <w:left w:val="single" w:sz="4" w:space="0" w:color="auto"/>
              <w:bottom w:val="single" w:sz="4" w:space="0" w:color="auto"/>
              <w:right w:val="single" w:sz="4" w:space="0" w:color="auto"/>
            </w:tcBorders>
            <w:shd w:val="clear" w:color="000000" w:fill="CAEDFB"/>
            <w:vAlign w:val="center"/>
            <w:hideMark/>
          </w:tcPr>
          <w:p w14:paraId="4D7FA0AF" w14:textId="77777777" w:rsidR="006A1A18" w:rsidRPr="006A1A18" w:rsidRDefault="006A1A18" w:rsidP="006A1A18">
            <w:pPr>
              <w:widowControl/>
              <w:jc w:val="center"/>
              <w:rPr>
                <w:rFonts w:ascii="Times" w:eastAsia="Times New Roman" w:hAnsi="Times" w:cs="Times"/>
                <w:b/>
                <w:bCs/>
                <w:color w:val="000000"/>
                <w:sz w:val="18"/>
                <w:szCs w:val="18"/>
                <w:lang w:eastAsia="es-HN"/>
              </w:rPr>
            </w:pPr>
            <w:r w:rsidRPr="006A1A18">
              <w:rPr>
                <w:rFonts w:ascii="Times" w:eastAsia="Times New Roman" w:hAnsi="Times" w:cs="Times"/>
                <w:b/>
                <w:bCs/>
                <w:color w:val="000000"/>
                <w:sz w:val="18"/>
                <w:szCs w:val="18"/>
                <w:lang w:eastAsia="es-HN"/>
              </w:rPr>
              <w:t xml:space="preserve">Formulas </w:t>
            </w:r>
          </w:p>
        </w:tc>
        <w:tc>
          <w:tcPr>
            <w:tcW w:w="4346" w:type="dxa"/>
            <w:gridSpan w:val="5"/>
            <w:tcBorders>
              <w:top w:val="single" w:sz="4" w:space="0" w:color="auto"/>
              <w:left w:val="nil"/>
              <w:bottom w:val="single" w:sz="4" w:space="0" w:color="auto"/>
              <w:right w:val="single" w:sz="4" w:space="0" w:color="auto"/>
            </w:tcBorders>
            <w:shd w:val="clear" w:color="000000" w:fill="CAEDFB"/>
            <w:noWrap/>
            <w:vAlign w:val="center"/>
            <w:hideMark/>
          </w:tcPr>
          <w:p w14:paraId="34443C68" w14:textId="1379EF20" w:rsidR="006A1A18" w:rsidRPr="006A1A18" w:rsidRDefault="006A1A18" w:rsidP="006A1A18">
            <w:pPr>
              <w:widowControl/>
              <w:jc w:val="center"/>
              <w:rPr>
                <w:rFonts w:ascii="Times" w:eastAsia="Times New Roman" w:hAnsi="Times" w:cs="Times"/>
                <w:b/>
                <w:bCs/>
                <w:color w:val="000000"/>
                <w:sz w:val="18"/>
                <w:szCs w:val="18"/>
                <w:lang w:eastAsia="es-HN"/>
              </w:rPr>
            </w:pPr>
            <w:r w:rsidRPr="006A1A18">
              <w:rPr>
                <w:rFonts w:ascii="Times" w:eastAsia="Times New Roman" w:hAnsi="Times" w:cs="Times"/>
                <w:b/>
                <w:bCs/>
                <w:color w:val="000000"/>
                <w:sz w:val="18"/>
                <w:szCs w:val="18"/>
                <w:lang w:eastAsia="es-HN"/>
              </w:rPr>
              <w:t xml:space="preserve">Valores IMF </w:t>
            </w:r>
            <w:r w:rsidR="00E5074B">
              <w:rPr>
                <w:rFonts w:ascii="Times" w:eastAsia="Times New Roman" w:hAnsi="Times" w:cs="Times"/>
                <w:b/>
                <w:bCs/>
                <w:color w:val="000000"/>
                <w:sz w:val="18"/>
                <w:szCs w:val="18"/>
                <w:lang w:eastAsia="es-HN"/>
              </w:rPr>
              <w:t>“XYZ”</w:t>
            </w:r>
            <w:r w:rsidRPr="006A1A18">
              <w:rPr>
                <w:rFonts w:ascii="Times" w:eastAsia="Times New Roman" w:hAnsi="Times" w:cs="Times"/>
                <w:b/>
                <w:bCs/>
                <w:color w:val="000000"/>
                <w:sz w:val="18"/>
                <w:szCs w:val="18"/>
                <w:lang w:eastAsia="es-HN"/>
              </w:rPr>
              <w:t xml:space="preserve"> </w:t>
            </w:r>
          </w:p>
        </w:tc>
      </w:tr>
      <w:tr w:rsidR="006A1A18" w:rsidRPr="006A1A18" w14:paraId="06BD398A" w14:textId="77777777" w:rsidTr="00AE1556">
        <w:trPr>
          <w:trHeight w:val="260"/>
        </w:trPr>
        <w:tc>
          <w:tcPr>
            <w:tcW w:w="1117" w:type="dxa"/>
            <w:vMerge/>
            <w:tcBorders>
              <w:top w:val="single" w:sz="4" w:space="0" w:color="auto"/>
              <w:left w:val="single" w:sz="4" w:space="0" w:color="auto"/>
              <w:bottom w:val="single" w:sz="4" w:space="0" w:color="auto"/>
              <w:right w:val="single" w:sz="4" w:space="0" w:color="auto"/>
            </w:tcBorders>
            <w:vAlign w:val="center"/>
            <w:hideMark/>
          </w:tcPr>
          <w:p w14:paraId="586DCFFB" w14:textId="77777777" w:rsidR="006A1A18" w:rsidRPr="006A1A18" w:rsidRDefault="006A1A18" w:rsidP="006A1A18">
            <w:pPr>
              <w:widowControl/>
              <w:rPr>
                <w:rFonts w:ascii="Times" w:eastAsia="Times New Roman" w:hAnsi="Times" w:cs="Times"/>
                <w:b/>
                <w:bCs/>
                <w:color w:val="000000"/>
                <w:sz w:val="18"/>
                <w:szCs w:val="18"/>
                <w:lang w:eastAsia="es-HN"/>
              </w:rPr>
            </w:pPr>
          </w:p>
        </w:tc>
        <w:tc>
          <w:tcPr>
            <w:tcW w:w="786" w:type="dxa"/>
            <w:tcBorders>
              <w:top w:val="nil"/>
              <w:left w:val="nil"/>
              <w:bottom w:val="single" w:sz="4" w:space="0" w:color="auto"/>
              <w:right w:val="single" w:sz="4" w:space="0" w:color="auto"/>
            </w:tcBorders>
            <w:shd w:val="clear" w:color="000000" w:fill="CAEDFB"/>
            <w:noWrap/>
            <w:vAlign w:val="center"/>
            <w:hideMark/>
          </w:tcPr>
          <w:p w14:paraId="07D0A502" w14:textId="77777777" w:rsidR="006A1A18" w:rsidRPr="006A1A18" w:rsidRDefault="006A1A18" w:rsidP="006A1A18">
            <w:pPr>
              <w:widowControl/>
              <w:jc w:val="center"/>
              <w:rPr>
                <w:rFonts w:ascii="Times" w:eastAsia="Times New Roman" w:hAnsi="Times" w:cs="Times"/>
                <w:b/>
                <w:bCs/>
                <w:color w:val="000000"/>
                <w:sz w:val="18"/>
                <w:szCs w:val="18"/>
                <w:lang w:eastAsia="es-HN"/>
              </w:rPr>
            </w:pPr>
            <w:r w:rsidRPr="006A1A18">
              <w:rPr>
                <w:rFonts w:ascii="Times" w:eastAsia="Times New Roman" w:hAnsi="Times" w:cs="Times"/>
                <w:b/>
                <w:bCs/>
                <w:color w:val="000000"/>
                <w:sz w:val="18"/>
                <w:szCs w:val="18"/>
                <w:lang w:eastAsia="es-HN"/>
              </w:rPr>
              <w:t>Favorable</w:t>
            </w:r>
          </w:p>
        </w:tc>
        <w:tc>
          <w:tcPr>
            <w:tcW w:w="910" w:type="dxa"/>
            <w:tcBorders>
              <w:top w:val="nil"/>
              <w:left w:val="nil"/>
              <w:bottom w:val="single" w:sz="4" w:space="0" w:color="auto"/>
              <w:right w:val="single" w:sz="4" w:space="0" w:color="auto"/>
            </w:tcBorders>
            <w:shd w:val="clear" w:color="000000" w:fill="CAEDFB"/>
            <w:noWrap/>
            <w:vAlign w:val="center"/>
            <w:hideMark/>
          </w:tcPr>
          <w:p w14:paraId="6A56E284" w14:textId="77777777" w:rsidR="006A1A18" w:rsidRPr="006A1A18" w:rsidRDefault="006A1A18" w:rsidP="006A1A18">
            <w:pPr>
              <w:widowControl/>
              <w:jc w:val="center"/>
              <w:rPr>
                <w:rFonts w:ascii="Times" w:eastAsia="Times New Roman" w:hAnsi="Times" w:cs="Times"/>
                <w:b/>
                <w:bCs/>
                <w:color w:val="000000"/>
                <w:sz w:val="18"/>
                <w:szCs w:val="18"/>
                <w:lang w:eastAsia="es-HN"/>
              </w:rPr>
            </w:pPr>
            <w:r w:rsidRPr="006A1A18">
              <w:rPr>
                <w:rFonts w:ascii="Times" w:eastAsia="Times New Roman" w:hAnsi="Times" w:cs="Times"/>
                <w:b/>
                <w:bCs/>
                <w:color w:val="000000"/>
                <w:sz w:val="18"/>
                <w:szCs w:val="18"/>
                <w:lang w:eastAsia="es-HN"/>
              </w:rPr>
              <w:t xml:space="preserve">Equilibrado </w:t>
            </w:r>
          </w:p>
        </w:tc>
        <w:tc>
          <w:tcPr>
            <w:tcW w:w="785" w:type="dxa"/>
            <w:tcBorders>
              <w:top w:val="nil"/>
              <w:left w:val="nil"/>
              <w:bottom w:val="single" w:sz="4" w:space="0" w:color="auto"/>
              <w:right w:val="single" w:sz="4" w:space="0" w:color="auto"/>
            </w:tcBorders>
            <w:shd w:val="clear" w:color="000000" w:fill="CAEDFB"/>
            <w:noWrap/>
            <w:vAlign w:val="center"/>
            <w:hideMark/>
          </w:tcPr>
          <w:p w14:paraId="223CC2EA" w14:textId="77777777" w:rsidR="006A1A18" w:rsidRPr="006A1A18" w:rsidRDefault="006A1A18" w:rsidP="006A1A18">
            <w:pPr>
              <w:widowControl/>
              <w:jc w:val="center"/>
              <w:rPr>
                <w:rFonts w:ascii="Times" w:eastAsia="Times New Roman" w:hAnsi="Times" w:cs="Times"/>
                <w:b/>
                <w:bCs/>
                <w:color w:val="000000"/>
                <w:sz w:val="18"/>
                <w:szCs w:val="18"/>
                <w:lang w:eastAsia="es-HN"/>
              </w:rPr>
            </w:pPr>
            <w:r w:rsidRPr="006A1A18">
              <w:rPr>
                <w:rFonts w:ascii="Times" w:eastAsia="Times New Roman" w:hAnsi="Times" w:cs="Times"/>
                <w:b/>
                <w:bCs/>
                <w:color w:val="000000"/>
                <w:sz w:val="18"/>
                <w:szCs w:val="18"/>
                <w:lang w:eastAsia="es-HN"/>
              </w:rPr>
              <w:t xml:space="preserve">No Favorable </w:t>
            </w:r>
          </w:p>
        </w:tc>
        <w:tc>
          <w:tcPr>
            <w:tcW w:w="1406" w:type="dxa"/>
            <w:vMerge/>
            <w:tcBorders>
              <w:top w:val="single" w:sz="4" w:space="0" w:color="auto"/>
              <w:left w:val="single" w:sz="4" w:space="0" w:color="auto"/>
              <w:bottom w:val="single" w:sz="4" w:space="0" w:color="auto"/>
              <w:right w:val="single" w:sz="4" w:space="0" w:color="auto"/>
            </w:tcBorders>
            <w:vAlign w:val="center"/>
            <w:hideMark/>
          </w:tcPr>
          <w:p w14:paraId="100E4023" w14:textId="77777777" w:rsidR="006A1A18" w:rsidRPr="006A1A18" w:rsidRDefault="006A1A18" w:rsidP="006A1A18">
            <w:pPr>
              <w:widowControl/>
              <w:rPr>
                <w:rFonts w:ascii="Times" w:eastAsia="Times New Roman" w:hAnsi="Times" w:cs="Times"/>
                <w:b/>
                <w:bCs/>
                <w:color w:val="000000"/>
                <w:sz w:val="18"/>
                <w:szCs w:val="18"/>
                <w:lang w:eastAsia="es-HN"/>
              </w:rPr>
            </w:pPr>
          </w:p>
        </w:tc>
        <w:tc>
          <w:tcPr>
            <w:tcW w:w="884" w:type="dxa"/>
            <w:tcBorders>
              <w:top w:val="nil"/>
              <w:left w:val="nil"/>
              <w:bottom w:val="single" w:sz="4" w:space="0" w:color="auto"/>
              <w:right w:val="single" w:sz="4" w:space="0" w:color="auto"/>
            </w:tcBorders>
            <w:shd w:val="clear" w:color="000000" w:fill="CAEDFB"/>
            <w:noWrap/>
            <w:vAlign w:val="center"/>
            <w:hideMark/>
          </w:tcPr>
          <w:p w14:paraId="0DBF29E0" w14:textId="77777777" w:rsidR="006A1A18" w:rsidRPr="006A1A18" w:rsidRDefault="006A1A18" w:rsidP="006A1A18">
            <w:pPr>
              <w:widowControl/>
              <w:jc w:val="center"/>
              <w:rPr>
                <w:rFonts w:ascii="Times" w:eastAsia="Times New Roman" w:hAnsi="Times" w:cs="Times"/>
                <w:b/>
                <w:bCs/>
                <w:color w:val="000000"/>
                <w:sz w:val="18"/>
                <w:szCs w:val="18"/>
                <w:lang w:eastAsia="es-HN"/>
              </w:rPr>
            </w:pPr>
            <w:r w:rsidRPr="006A1A18">
              <w:rPr>
                <w:rFonts w:ascii="Times" w:eastAsia="Times New Roman" w:hAnsi="Times" w:cs="Times"/>
                <w:b/>
                <w:bCs/>
                <w:color w:val="000000"/>
                <w:sz w:val="18"/>
                <w:szCs w:val="18"/>
                <w:lang w:eastAsia="es-HN"/>
              </w:rPr>
              <w:t>2019</w:t>
            </w:r>
          </w:p>
        </w:tc>
        <w:tc>
          <w:tcPr>
            <w:tcW w:w="884" w:type="dxa"/>
            <w:tcBorders>
              <w:top w:val="nil"/>
              <w:left w:val="nil"/>
              <w:bottom w:val="single" w:sz="4" w:space="0" w:color="auto"/>
              <w:right w:val="single" w:sz="4" w:space="0" w:color="auto"/>
            </w:tcBorders>
            <w:shd w:val="clear" w:color="000000" w:fill="CAEDFB"/>
            <w:noWrap/>
            <w:vAlign w:val="center"/>
            <w:hideMark/>
          </w:tcPr>
          <w:p w14:paraId="79B641D3" w14:textId="77777777" w:rsidR="006A1A18" w:rsidRPr="006A1A18" w:rsidRDefault="006A1A18" w:rsidP="006A1A18">
            <w:pPr>
              <w:widowControl/>
              <w:jc w:val="center"/>
              <w:rPr>
                <w:rFonts w:ascii="Times" w:eastAsia="Times New Roman" w:hAnsi="Times" w:cs="Times"/>
                <w:b/>
                <w:bCs/>
                <w:color w:val="000000"/>
                <w:sz w:val="18"/>
                <w:szCs w:val="18"/>
                <w:lang w:eastAsia="es-HN"/>
              </w:rPr>
            </w:pPr>
            <w:r w:rsidRPr="006A1A18">
              <w:rPr>
                <w:rFonts w:ascii="Times" w:eastAsia="Times New Roman" w:hAnsi="Times" w:cs="Times"/>
                <w:b/>
                <w:bCs/>
                <w:color w:val="000000"/>
                <w:sz w:val="18"/>
                <w:szCs w:val="18"/>
                <w:lang w:eastAsia="es-HN"/>
              </w:rPr>
              <w:t>2020</w:t>
            </w:r>
          </w:p>
        </w:tc>
        <w:tc>
          <w:tcPr>
            <w:tcW w:w="810" w:type="dxa"/>
            <w:tcBorders>
              <w:top w:val="nil"/>
              <w:left w:val="nil"/>
              <w:bottom w:val="single" w:sz="4" w:space="0" w:color="auto"/>
              <w:right w:val="single" w:sz="4" w:space="0" w:color="auto"/>
            </w:tcBorders>
            <w:shd w:val="clear" w:color="000000" w:fill="CAEDFB"/>
            <w:noWrap/>
            <w:vAlign w:val="center"/>
            <w:hideMark/>
          </w:tcPr>
          <w:p w14:paraId="6008387B" w14:textId="77777777" w:rsidR="006A1A18" w:rsidRPr="006A1A18" w:rsidRDefault="006A1A18" w:rsidP="006A1A18">
            <w:pPr>
              <w:widowControl/>
              <w:jc w:val="center"/>
              <w:rPr>
                <w:rFonts w:ascii="Times" w:eastAsia="Times New Roman" w:hAnsi="Times" w:cs="Times"/>
                <w:b/>
                <w:bCs/>
                <w:color w:val="000000"/>
                <w:sz w:val="18"/>
                <w:szCs w:val="18"/>
                <w:lang w:eastAsia="es-HN"/>
              </w:rPr>
            </w:pPr>
            <w:r w:rsidRPr="006A1A18">
              <w:rPr>
                <w:rFonts w:ascii="Times" w:eastAsia="Times New Roman" w:hAnsi="Times" w:cs="Times"/>
                <w:b/>
                <w:bCs/>
                <w:color w:val="000000"/>
                <w:sz w:val="18"/>
                <w:szCs w:val="18"/>
                <w:lang w:eastAsia="es-HN"/>
              </w:rPr>
              <w:t>2021</w:t>
            </w:r>
          </w:p>
        </w:tc>
        <w:tc>
          <w:tcPr>
            <w:tcW w:w="884" w:type="dxa"/>
            <w:tcBorders>
              <w:top w:val="nil"/>
              <w:left w:val="nil"/>
              <w:bottom w:val="single" w:sz="4" w:space="0" w:color="auto"/>
              <w:right w:val="single" w:sz="4" w:space="0" w:color="auto"/>
            </w:tcBorders>
            <w:shd w:val="clear" w:color="000000" w:fill="CAEDFB"/>
            <w:noWrap/>
            <w:vAlign w:val="center"/>
            <w:hideMark/>
          </w:tcPr>
          <w:p w14:paraId="366BB833" w14:textId="77777777" w:rsidR="006A1A18" w:rsidRPr="006A1A18" w:rsidRDefault="006A1A18" w:rsidP="006A1A18">
            <w:pPr>
              <w:widowControl/>
              <w:jc w:val="center"/>
              <w:rPr>
                <w:rFonts w:ascii="Times" w:eastAsia="Times New Roman" w:hAnsi="Times" w:cs="Times"/>
                <w:b/>
                <w:bCs/>
                <w:color w:val="000000"/>
                <w:sz w:val="18"/>
                <w:szCs w:val="18"/>
                <w:lang w:eastAsia="es-HN"/>
              </w:rPr>
            </w:pPr>
            <w:r w:rsidRPr="006A1A18">
              <w:rPr>
                <w:rFonts w:ascii="Times" w:eastAsia="Times New Roman" w:hAnsi="Times" w:cs="Times"/>
                <w:b/>
                <w:bCs/>
                <w:color w:val="000000"/>
                <w:sz w:val="18"/>
                <w:szCs w:val="18"/>
                <w:lang w:eastAsia="es-HN"/>
              </w:rPr>
              <w:t>2022</w:t>
            </w:r>
          </w:p>
        </w:tc>
        <w:tc>
          <w:tcPr>
            <w:tcW w:w="884" w:type="dxa"/>
            <w:tcBorders>
              <w:top w:val="nil"/>
              <w:left w:val="nil"/>
              <w:bottom w:val="single" w:sz="4" w:space="0" w:color="auto"/>
              <w:right w:val="single" w:sz="4" w:space="0" w:color="auto"/>
            </w:tcBorders>
            <w:shd w:val="clear" w:color="000000" w:fill="CAEDFB"/>
            <w:noWrap/>
            <w:vAlign w:val="center"/>
            <w:hideMark/>
          </w:tcPr>
          <w:p w14:paraId="5D865D7C" w14:textId="77777777" w:rsidR="006A1A18" w:rsidRPr="006A1A18" w:rsidRDefault="006A1A18" w:rsidP="006A1A18">
            <w:pPr>
              <w:widowControl/>
              <w:jc w:val="center"/>
              <w:rPr>
                <w:rFonts w:ascii="Times" w:eastAsia="Times New Roman" w:hAnsi="Times" w:cs="Times"/>
                <w:b/>
                <w:bCs/>
                <w:color w:val="000000"/>
                <w:sz w:val="18"/>
                <w:szCs w:val="18"/>
                <w:lang w:eastAsia="es-HN"/>
              </w:rPr>
            </w:pPr>
            <w:r w:rsidRPr="006A1A18">
              <w:rPr>
                <w:rFonts w:ascii="Times" w:eastAsia="Times New Roman" w:hAnsi="Times" w:cs="Times"/>
                <w:b/>
                <w:bCs/>
                <w:color w:val="000000"/>
                <w:sz w:val="18"/>
                <w:szCs w:val="18"/>
                <w:lang w:eastAsia="es-HN"/>
              </w:rPr>
              <w:t>2023</w:t>
            </w:r>
          </w:p>
        </w:tc>
      </w:tr>
      <w:tr w:rsidR="006A1A18" w:rsidRPr="006A1A18" w14:paraId="0F7B66FD" w14:textId="77777777" w:rsidTr="00AE1556">
        <w:trPr>
          <w:trHeight w:val="260"/>
        </w:trPr>
        <w:tc>
          <w:tcPr>
            <w:tcW w:w="1117" w:type="dxa"/>
            <w:tcBorders>
              <w:top w:val="nil"/>
              <w:left w:val="single" w:sz="4" w:space="0" w:color="auto"/>
              <w:bottom w:val="single" w:sz="4" w:space="0" w:color="auto"/>
              <w:right w:val="single" w:sz="4" w:space="0" w:color="auto"/>
            </w:tcBorders>
            <w:shd w:val="clear" w:color="auto" w:fill="auto"/>
            <w:vAlign w:val="center"/>
            <w:hideMark/>
          </w:tcPr>
          <w:p w14:paraId="24550E4B" w14:textId="77777777" w:rsidR="006A1A18" w:rsidRPr="006A1A18" w:rsidRDefault="006A1A18" w:rsidP="006A1A18">
            <w:pPr>
              <w:widowControl/>
              <w:jc w:val="center"/>
              <w:rPr>
                <w:rFonts w:ascii="Times" w:eastAsia="Times New Roman" w:hAnsi="Times" w:cs="Times"/>
                <w:color w:val="000000"/>
                <w:sz w:val="18"/>
                <w:szCs w:val="18"/>
                <w:lang w:eastAsia="es-HN"/>
              </w:rPr>
            </w:pPr>
            <w:r w:rsidRPr="006A1A18">
              <w:rPr>
                <w:rFonts w:ascii="Times" w:eastAsia="Times New Roman" w:hAnsi="Times" w:cs="Times"/>
                <w:color w:val="000000"/>
                <w:sz w:val="18"/>
                <w:szCs w:val="18"/>
                <w:lang w:eastAsia="es-HN"/>
              </w:rPr>
              <w:t>ROA</w:t>
            </w:r>
          </w:p>
        </w:tc>
        <w:tc>
          <w:tcPr>
            <w:tcW w:w="786" w:type="dxa"/>
            <w:tcBorders>
              <w:top w:val="nil"/>
              <w:left w:val="nil"/>
              <w:bottom w:val="single" w:sz="4" w:space="0" w:color="auto"/>
              <w:right w:val="single" w:sz="4" w:space="0" w:color="auto"/>
            </w:tcBorders>
            <w:shd w:val="clear" w:color="000000" w:fill="00B050"/>
            <w:noWrap/>
            <w:vAlign w:val="center"/>
            <w:hideMark/>
          </w:tcPr>
          <w:p w14:paraId="6E121EB2" w14:textId="77777777" w:rsidR="006A1A18" w:rsidRPr="006A1A18" w:rsidRDefault="006A1A18" w:rsidP="006A1A18">
            <w:pPr>
              <w:widowControl/>
              <w:jc w:val="center"/>
              <w:rPr>
                <w:rFonts w:ascii="Times" w:eastAsia="Times New Roman" w:hAnsi="Times" w:cs="Times"/>
                <w:color w:val="000000"/>
                <w:sz w:val="18"/>
                <w:szCs w:val="18"/>
                <w:lang w:eastAsia="es-HN"/>
              </w:rPr>
            </w:pPr>
            <w:r w:rsidRPr="006A1A18">
              <w:rPr>
                <w:rFonts w:ascii="Times" w:eastAsia="Times New Roman" w:hAnsi="Times" w:cs="Times"/>
                <w:color w:val="000000"/>
                <w:sz w:val="18"/>
                <w:szCs w:val="18"/>
                <w:lang w:eastAsia="es-HN"/>
              </w:rPr>
              <w:t>&gt;= 5</w:t>
            </w:r>
          </w:p>
        </w:tc>
        <w:tc>
          <w:tcPr>
            <w:tcW w:w="910" w:type="dxa"/>
            <w:tcBorders>
              <w:top w:val="nil"/>
              <w:left w:val="nil"/>
              <w:bottom w:val="single" w:sz="4" w:space="0" w:color="auto"/>
              <w:right w:val="single" w:sz="4" w:space="0" w:color="auto"/>
            </w:tcBorders>
            <w:shd w:val="clear" w:color="000000" w:fill="FFFF00"/>
            <w:noWrap/>
            <w:vAlign w:val="center"/>
            <w:hideMark/>
          </w:tcPr>
          <w:p w14:paraId="48308F7F" w14:textId="77777777" w:rsidR="006A1A18" w:rsidRPr="006A1A18" w:rsidRDefault="006A1A18" w:rsidP="006A1A18">
            <w:pPr>
              <w:widowControl/>
              <w:jc w:val="center"/>
              <w:rPr>
                <w:rFonts w:ascii="Times" w:eastAsia="Times New Roman" w:hAnsi="Times" w:cs="Times"/>
                <w:color w:val="000000"/>
                <w:sz w:val="18"/>
                <w:szCs w:val="18"/>
                <w:lang w:eastAsia="es-HN"/>
              </w:rPr>
            </w:pPr>
            <w:r w:rsidRPr="006A1A18">
              <w:rPr>
                <w:rFonts w:ascii="Times" w:eastAsia="Times New Roman" w:hAnsi="Times" w:cs="Times"/>
                <w:color w:val="000000"/>
                <w:sz w:val="18"/>
                <w:szCs w:val="18"/>
                <w:lang w:eastAsia="es-HN"/>
              </w:rPr>
              <w:t>5</w:t>
            </w:r>
          </w:p>
        </w:tc>
        <w:tc>
          <w:tcPr>
            <w:tcW w:w="785" w:type="dxa"/>
            <w:tcBorders>
              <w:top w:val="nil"/>
              <w:left w:val="nil"/>
              <w:bottom w:val="single" w:sz="4" w:space="0" w:color="auto"/>
              <w:right w:val="single" w:sz="4" w:space="0" w:color="auto"/>
            </w:tcBorders>
            <w:shd w:val="clear" w:color="000000" w:fill="FF0000"/>
            <w:noWrap/>
            <w:vAlign w:val="center"/>
            <w:hideMark/>
          </w:tcPr>
          <w:p w14:paraId="09FDC64B" w14:textId="77777777" w:rsidR="006A1A18" w:rsidRPr="006A1A18" w:rsidRDefault="006A1A18" w:rsidP="006A1A18">
            <w:pPr>
              <w:widowControl/>
              <w:jc w:val="center"/>
              <w:rPr>
                <w:rFonts w:ascii="Times" w:eastAsia="Times New Roman" w:hAnsi="Times" w:cs="Times"/>
                <w:color w:val="000000"/>
                <w:sz w:val="18"/>
                <w:szCs w:val="18"/>
                <w:lang w:eastAsia="es-HN"/>
              </w:rPr>
            </w:pPr>
            <w:r w:rsidRPr="006A1A18">
              <w:rPr>
                <w:rFonts w:ascii="Times" w:eastAsia="Times New Roman" w:hAnsi="Times" w:cs="Times"/>
                <w:color w:val="000000"/>
                <w:sz w:val="18"/>
                <w:szCs w:val="18"/>
                <w:lang w:eastAsia="es-HN"/>
              </w:rPr>
              <w:t>&lt; 5</w:t>
            </w:r>
          </w:p>
        </w:tc>
        <w:tc>
          <w:tcPr>
            <w:tcW w:w="1406" w:type="dxa"/>
            <w:tcBorders>
              <w:top w:val="nil"/>
              <w:left w:val="nil"/>
              <w:bottom w:val="single" w:sz="4" w:space="0" w:color="auto"/>
              <w:right w:val="single" w:sz="4" w:space="0" w:color="auto"/>
            </w:tcBorders>
            <w:shd w:val="clear" w:color="auto" w:fill="auto"/>
            <w:vAlign w:val="center"/>
            <w:hideMark/>
          </w:tcPr>
          <w:p w14:paraId="67ACE5D7" w14:textId="77777777" w:rsidR="006A1A18" w:rsidRPr="006A1A18" w:rsidRDefault="006A1A18" w:rsidP="006A1A18">
            <w:pPr>
              <w:widowControl/>
              <w:jc w:val="center"/>
              <w:rPr>
                <w:rFonts w:ascii="Times" w:eastAsia="Times New Roman" w:hAnsi="Times" w:cs="Times"/>
                <w:color w:val="000000"/>
                <w:sz w:val="18"/>
                <w:szCs w:val="18"/>
                <w:lang w:eastAsia="es-HN"/>
              </w:rPr>
            </w:pPr>
            <w:r w:rsidRPr="006A1A18">
              <w:rPr>
                <w:rFonts w:ascii="Times" w:eastAsia="Times New Roman" w:hAnsi="Times" w:cs="Times"/>
                <w:color w:val="000000"/>
                <w:sz w:val="18"/>
                <w:szCs w:val="18"/>
                <w:lang w:eastAsia="es-HN"/>
              </w:rPr>
              <w:t>Utilidad Neta/Activo</w:t>
            </w:r>
          </w:p>
        </w:tc>
        <w:tc>
          <w:tcPr>
            <w:tcW w:w="884" w:type="dxa"/>
            <w:tcBorders>
              <w:top w:val="nil"/>
              <w:left w:val="nil"/>
              <w:bottom w:val="single" w:sz="4" w:space="0" w:color="auto"/>
              <w:right w:val="single" w:sz="4" w:space="0" w:color="auto"/>
            </w:tcBorders>
            <w:shd w:val="clear" w:color="000000" w:fill="FF0000"/>
            <w:noWrap/>
            <w:vAlign w:val="center"/>
            <w:hideMark/>
          </w:tcPr>
          <w:p w14:paraId="6EFA4497" w14:textId="77777777" w:rsidR="006A1A18" w:rsidRPr="006A1A18" w:rsidRDefault="006A1A18" w:rsidP="006A1A18">
            <w:pPr>
              <w:widowControl/>
              <w:jc w:val="center"/>
              <w:rPr>
                <w:rFonts w:ascii="Times" w:eastAsia="Times New Roman" w:hAnsi="Times" w:cs="Times"/>
                <w:color w:val="000000"/>
                <w:sz w:val="18"/>
                <w:szCs w:val="18"/>
                <w:lang w:eastAsia="es-HN"/>
              </w:rPr>
            </w:pPr>
            <w:r w:rsidRPr="006A1A18">
              <w:rPr>
                <w:rFonts w:ascii="Times" w:eastAsia="Times New Roman" w:hAnsi="Times" w:cs="Times"/>
                <w:color w:val="000000"/>
                <w:sz w:val="18"/>
                <w:szCs w:val="18"/>
                <w:lang w:eastAsia="es-HN"/>
              </w:rPr>
              <w:t>-2.6</w:t>
            </w:r>
          </w:p>
        </w:tc>
        <w:tc>
          <w:tcPr>
            <w:tcW w:w="884" w:type="dxa"/>
            <w:tcBorders>
              <w:top w:val="nil"/>
              <w:left w:val="nil"/>
              <w:bottom w:val="single" w:sz="4" w:space="0" w:color="auto"/>
              <w:right w:val="single" w:sz="4" w:space="0" w:color="auto"/>
            </w:tcBorders>
            <w:shd w:val="clear" w:color="000000" w:fill="FF0000"/>
            <w:noWrap/>
            <w:vAlign w:val="center"/>
            <w:hideMark/>
          </w:tcPr>
          <w:p w14:paraId="12264CBE" w14:textId="77777777" w:rsidR="006A1A18" w:rsidRPr="006A1A18" w:rsidRDefault="006A1A18" w:rsidP="006A1A18">
            <w:pPr>
              <w:widowControl/>
              <w:jc w:val="center"/>
              <w:rPr>
                <w:rFonts w:ascii="Times" w:eastAsia="Times New Roman" w:hAnsi="Times" w:cs="Times"/>
                <w:color w:val="000000"/>
                <w:sz w:val="18"/>
                <w:szCs w:val="18"/>
                <w:lang w:eastAsia="es-HN"/>
              </w:rPr>
            </w:pPr>
            <w:r w:rsidRPr="006A1A18">
              <w:rPr>
                <w:rFonts w:ascii="Times" w:eastAsia="Times New Roman" w:hAnsi="Times" w:cs="Times"/>
                <w:color w:val="000000"/>
                <w:sz w:val="18"/>
                <w:szCs w:val="18"/>
                <w:lang w:eastAsia="es-HN"/>
              </w:rPr>
              <w:t>-20.4</w:t>
            </w:r>
          </w:p>
        </w:tc>
        <w:tc>
          <w:tcPr>
            <w:tcW w:w="810" w:type="dxa"/>
            <w:tcBorders>
              <w:top w:val="nil"/>
              <w:left w:val="nil"/>
              <w:bottom w:val="single" w:sz="4" w:space="0" w:color="auto"/>
              <w:right w:val="single" w:sz="4" w:space="0" w:color="auto"/>
            </w:tcBorders>
            <w:shd w:val="clear" w:color="000000" w:fill="FF0000"/>
            <w:noWrap/>
            <w:vAlign w:val="center"/>
            <w:hideMark/>
          </w:tcPr>
          <w:p w14:paraId="625AE079" w14:textId="77777777" w:rsidR="006A1A18" w:rsidRPr="006A1A18" w:rsidRDefault="006A1A18" w:rsidP="006A1A18">
            <w:pPr>
              <w:widowControl/>
              <w:jc w:val="center"/>
              <w:rPr>
                <w:rFonts w:ascii="Times" w:eastAsia="Times New Roman" w:hAnsi="Times" w:cs="Times"/>
                <w:color w:val="000000"/>
                <w:sz w:val="18"/>
                <w:szCs w:val="18"/>
                <w:lang w:eastAsia="es-HN"/>
              </w:rPr>
            </w:pPr>
            <w:r w:rsidRPr="006A1A18">
              <w:rPr>
                <w:rFonts w:ascii="Times" w:eastAsia="Times New Roman" w:hAnsi="Times" w:cs="Times"/>
                <w:color w:val="000000"/>
                <w:sz w:val="18"/>
                <w:szCs w:val="18"/>
                <w:lang w:eastAsia="es-HN"/>
              </w:rPr>
              <w:t>-28.5</w:t>
            </w:r>
          </w:p>
        </w:tc>
        <w:tc>
          <w:tcPr>
            <w:tcW w:w="884" w:type="dxa"/>
            <w:tcBorders>
              <w:top w:val="nil"/>
              <w:left w:val="nil"/>
              <w:bottom w:val="single" w:sz="4" w:space="0" w:color="auto"/>
              <w:right w:val="single" w:sz="4" w:space="0" w:color="auto"/>
            </w:tcBorders>
            <w:shd w:val="clear" w:color="000000" w:fill="FF0000"/>
            <w:noWrap/>
            <w:vAlign w:val="center"/>
            <w:hideMark/>
          </w:tcPr>
          <w:p w14:paraId="53627EC9" w14:textId="77777777" w:rsidR="006A1A18" w:rsidRPr="006A1A18" w:rsidRDefault="006A1A18" w:rsidP="006A1A18">
            <w:pPr>
              <w:widowControl/>
              <w:jc w:val="center"/>
              <w:rPr>
                <w:rFonts w:ascii="Times" w:eastAsia="Times New Roman" w:hAnsi="Times" w:cs="Times"/>
                <w:color w:val="000000"/>
                <w:sz w:val="18"/>
                <w:szCs w:val="18"/>
                <w:lang w:eastAsia="es-HN"/>
              </w:rPr>
            </w:pPr>
            <w:r w:rsidRPr="006A1A18">
              <w:rPr>
                <w:rFonts w:ascii="Times" w:eastAsia="Times New Roman" w:hAnsi="Times" w:cs="Times"/>
                <w:color w:val="000000"/>
                <w:sz w:val="18"/>
                <w:szCs w:val="18"/>
                <w:lang w:eastAsia="es-HN"/>
              </w:rPr>
              <w:t>-9.9</w:t>
            </w:r>
          </w:p>
        </w:tc>
        <w:tc>
          <w:tcPr>
            <w:tcW w:w="884" w:type="dxa"/>
            <w:tcBorders>
              <w:top w:val="nil"/>
              <w:left w:val="nil"/>
              <w:bottom w:val="single" w:sz="4" w:space="0" w:color="auto"/>
              <w:right w:val="single" w:sz="4" w:space="0" w:color="auto"/>
            </w:tcBorders>
            <w:shd w:val="clear" w:color="000000" w:fill="FF0000"/>
            <w:noWrap/>
            <w:vAlign w:val="center"/>
            <w:hideMark/>
          </w:tcPr>
          <w:p w14:paraId="04A6D664" w14:textId="77777777" w:rsidR="006A1A18" w:rsidRPr="006A1A18" w:rsidRDefault="006A1A18" w:rsidP="006A1A18">
            <w:pPr>
              <w:widowControl/>
              <w:jc w:val="center"/>
              <w:rPr>
                <w:rFonts w:ascii="Times" w:eastAsia="Times New Roman" w:hAnsi="Times" w:cs="Times"/>
                <w:color w:val="000000"/>
                <w:sz w:val="18"/>
                <w:szCs w:val="18"/>
                <w:lang w:eastAsia="es-HN"/>
              </w:rPr>
            </w:pPr>
            <w:r w:rsidRPr="006A1A18">
              <w:rPr>
                <w:rFonts w:ascii="Times" w:eastAsia="Times New Roman" w:hAnsi="Times" w:cs="Times"/>
                <w:color w:val="000000"/>
                <w:sz w:val="18"/>
                <w:szCs w:val="18"/>
                <w:lang w:eastAsia="es-HN"/>
              </w:rPr>
              <w:t>-3.9</w:t>
            </w:r>
          </w:p>
        </w:tc>
      </w:tr>
      <w:tr w:rsidR="006A1A18" w:rsidRPr="006A1A18" w14:paraId="2EC50BD6" w14:textId="77777777" w:rsidTr="00AE1556">
        <w:trPr>
          <w:trHeight w:val="416"/>
        </w:trPr>
        <w:tc>
          <w:tcPr>
            <w:tcW w:w="1117" w:type="dxa"/>
            <w:tcBorders>
              <w:top w:val="nil"/>
              <w:left w:val="single" w:sz="4" w:space="0" w:color="auto"/>
              <w:bottom w:val="single" w:sz="4" w:space="0" w:color="auto"/>
              <w:right w:val="single" w:sz="4" w:space="0" w:color="auto"/>
            </w:tcBorders>
            <w:shd w:val="clear" w:color="auto" w:fill="auto"/>
            <w:vAlign w:val="center"/>
            <w:hideMark/>
          </w:tcPr>
          <w:p w14:paraId="0C2AB548" w14:textId="77777777" w:rsidR="006A1A18" w:rsidRPr="006A1A18" w:rsidRDefault="006A1A18" w:rsidP="006A1A18">
            <w:pPr>
              <w:widowControl/>
              <w:jc w:val="center"/>
              <w:rPr>
                <w:rFonts w:ascii="Times" w:eastAsia="Times New Roman" w:hAnsi="Times" w:cs="Times"/>
                <w:color w:val="000000"/>
                <w:sz w:val="18"/>
                <w:szCs w:val="18"/>
                <w:lang w:eastAsia="es-HN"/>
              </w:rPr>
            </w:pPr>
            <w:r w:rsidRPr="006A1A18">
              <w:rPr>
                <w:rFonts w:ascii="Times" w:eastAsia="Times New Roman" w:hAnsi="Times" w:cs="Times"/>
                <w:color w:val="000000"/>
                <w:sz w:val="18"/>
                <w:szCs w:val="18"/>
                <w:lang w:eastAsia="es-HN"/>
              </w:rPr>
              <w:t>ROE</w:t>
            </w:r>
          </w:p>
        </w:tc>
        <w:tc>
          <w:tcPr>
            <w:tcW w:w="786" w:type="dxa"/>
            <w:tcBorders>
              <w:top w:val="nil"/>
              <w:left w:val="nil"/>
              <w:bottom w:val="single" w:sz="4" w:space="0" w:color="auto"/>
              <w:right w:val="single" w:sz="4" w:space="0" w:color="auto"/>
            </w:tcBorders>
            <w:shd w:val="clear" w:color="000000" w:fill="00B050"/>
            <w:noWrap/>
            <w:vAlign w:val="center"/>
            <w:hideMark/>
          </w:tcPr>
          <w:p w14:paraId="5D793590" w14:textId="77777777" w:rsidR="006A1A18" w:rsidRPr="006A1A18" w:rsidRDefault="006A1A18" w:rsidP="006A1A18">
            <w:pPr>
              <w:widowControl/>
              <w:jc w:val="center"/>
              <w:rPr>
                <w:rFonts w:ascii="Times" w:eastAsia="Times New Roman" w:hAnsi="Times" w:cs="Times"/>
                <w:color w:val="000000"/>
                <w:sz w:val="18"/>
                <w:szCs w:val="18"/>
                <w:lang w:eastAsia="es-HN"/>
              </w:rPr>
            </w:pPr>
            <w:r w:rsidRPr="006A1A18">
              <w:rPr>
                <w:rFonts w:ascii="Times" w:eastAsia="Times New Roman" w:hAnsi="Times" w:cs="Times"/>
                <w:color w:val="000000"/>
                <w:sz w:val="18"/>
                <w:szCs w:val="18"/>
                <w:lang w:eastAsia="es-HN"/>
              </w:rPr>
              <w:t>&gt;= 5</w:t>
            </w:r>
          </w:p>
        </w:tc>
        <w:tc>
          <w:tcPr>
            <w:tcW w:w="910" w:type="dxa"/>
            <w:tcBorders>
              <w:top w:val="nil"/>
              <w:left w:val="nil"/>
              <w:bottom w:val="single" w:sz="4" w:space="0" w:color="auto"/>
              <w:right w:val="single" w:sz="4" w:space="0" w:color="auto"/>
            </w:tcBorders>
            <w:shd w:val="clear" w:color="000000" w:fill="FFFF00"/>
            <w:noWrap/>
            <w:vAlign w:val="center"/>
            <w:hideMark/>
          </w:tcPr>
          <w:p w14:paraId="0E08CE2D" w14:textId="77777777" w:rsidR="006A1A18" w:rsidRPr="006A1A18" w:rsidRDefault="006A1A18" w:rsidP="006A1A18">
            <w:pPr>
              <w:widowControl/>
              <w:jc w:val="center"/>
              <w:rPr>
                <w:rFonts w:ascii="Times" w:eastAsia="Times New Roman" w:hAnsi="Times" w:cs="Times"/>
                <w:color w:val="000000"/>
                <w:sz w:val="18"/>
                <w:szCs w:val="18"/>
                <w:lang w:eastAsia="es-HN"/>
              </w:rPr>
            </w:pPr>
            <w:r w:rsidRPr="006A1A18">
              <w:rPr>
                <w:rFonts w:ascii="Times" w:eastAsia="Times New Roman" w:hAnsi="Times" w:cs="Times"/>
                <w:color w:val="000000"/>
                <w:sz w:val="18"/>
                <w:szCs w:val="18"/>
                <w:lang w:eastAsia="es-HN"/>
              </w:rPr>
              <w:t>5</w:t>
            </w:r>
          </w:p>
        </w:tc>
        <w:tc>
          <w:tcPr>
            <w:tcW w:w="785" w:type="dxa"/>
            <w:tcBorders>
              <w:top w:val="nil"/>
              <w:left w:val="nil"/>
              <w:bottom w:val="single" w:sz="4" w:space="0" w:color="auto"/>
              <w:right w:val="single" w:sz="4" w:space="0" w:color="auto"/>
            </w:tcBorders>
            <w:shd w:val="clear" w:color="000000" w:fill="FF0000"/>
            <w:noWrap/>
            <w:vAlign w:val="center"/>
            <w:hideMark/>
          </w:tcPr>
          <w:p w14:paraId="02DA474E" w14:textId="77777777" w:rsidR="006A1A18" w:rsidRPr="006A1A18" w:rsidRDefault="006A1A18" w:rsidP="006A1A18">
            <w:pPr>
              <w:widowControl/>
              <w:jc w:val="center"/>
              <w:rPr>
                <w:rFonts w:ascii="Times" w:eastAsia="Times New Roman" w:hAnsi="Times" w:cs="Times"/>
                <w:color w:val="000000"/>
                <w:sz w:val="18"/>
                <w:szCs w:val="18"/>
                <w:lang w:eastAsia="es-HN"/>
              </w:rPr>
            </w:pPr>
            <w:r w:rsidRPr="006A1A18">
              <w:rPr>
                <w:rFonts w:ascii="Times" w:eastAsia="Times New Roman" w:hAnsi="Times" w:cs="Times"/>
                <w:color w:val="000000"/>
                <w:sz w:val="18"/>
                <w:szCs w:val="18"/>
                <w:lang w:eastAsia="es-HN"/>
              </w:rPr>
              <w:t>&lt; 5</w:t>
            </w:r>
          </w:p>
        </w:tc>
        <w:tc>
          <w:tcPr>
            <w:tcW w:w="1406" w:type="dxa"/>
            <w:tcBorders>
              <w:top w:val="nil"/>
              <w:left w:val="nil"/>
              <w:bottom w:val="single" w:sz="4" w:space="0" w:color="auto"/>
              <w:right w:val="single" w:sz="4" w:space="0" w:color="auto"/>
            </w:tcBorders>
            <w:shd w:val="clear" w:color="auto" w:fill="auto"/>
            <w:vAlign w:val="center"/>
            <w:hideMark/>
          </w:tcPr>
          <w:p w14:paraId="0AEE1C3C" w14:textId="77777777" w:rsidR="006A1A18" w:rsidRPr="006A1A18" w:rsidRDefault="006A1A18" w:rsidP="006A1A18">
            <w:pPr>
              <w:widowControl/>
              <w:jc w:val="center"/>
              <w:rPr>
                <w:rFonts w:ascii="Times" w:eastAsia="Times New Roman" w:hAnsi="Times" w:cs="Times"/>
                <w:color w:val="000000"/>
                <w:sz w:val="18"/>
                <w:szCs w:val="18"/>
                <w:lang w:eastAsia="es-HN"/>
              </w:rPr>
            </w:pPr>
            <w:r w:rsidRPr="006A1A18">
              <w:rPr>
                <w:rFonts w:ascii="Times" w:eastAsia="Times New Roman" w:hAnsi="Times" w:cs="Times"/>
                <w:color w:val="000000"/>
                <w:sz w:val="18"/>
                <w:szCs w:val="18"/>
                <w:lang w:eastAsia="es-HN"/>
              </w:rPr>
              <w:t>Utilidad Neta/Patrimonio</w:t>
            </w:r>
          </w:p>
        </w:tc>
        <w:tc>
          <w:tcPr>
            <w:tcW w:w="884" w:type="dxa"/>
            <w:tcBorders>
              <w:top w:val="nil"/>
              <w:left w:val="nil"/>
              <w:bottom w:val="single" w:sz="4" w:space="0" w:color="auto"/>
              <w:right w:val="single" w:sz="4" w:space="0" w:color="auto"/>
            </w:tcBorders>
            <w:shd w:val="clear" w:color="000000" w:fill="FF0000"/>
            <w:noWrap/>
            <w:vAlign w:val="center"/>
            <w:hideMark/>
          </w:tcPr>
          <w:p w14:paraId="6BBDD34F" w14:textId="77777777" w:rsidR="006A1A18" w:rsidRPr="006A1A18" w:rsidRDefault="006A1A18" w:rsidP="006A1A18">
            <w:pPr>
              <w:widowControl/>
              <w:jc w:val="center"/>
              <w:rPr>
                <w:rFonts w:ascii="Times" w:eastAsia="Times New Roman" w:hAnsi="Times" w:cs="Times"/>
                <w:color w:val="000000"/>
                <w:sz w:val="18"/>
                <w:szCs w:val="18"/>
                <w:lang w:eastAsia="es-HN"/>
              </w:rPr>
            </w:pPr>
            <w:r w:rsidRPr="006A1A18">
              <w:rPr>
                <w:rFonts w:ascii="Times" w:eastAsia="Times New Roman" w:hAnsi="Times" w:cs="Times"/>
                <w:color w:val="000000"/>
                <w:sz w:val="18"/>
                <w:szCs w:val="18"/>
                <w:lang w:eastAsia="es-HN"/>
              </w:rPr>
              <w:t>-14.1</w:t>
            </w:r>
          </w:p>
        </w:tc>
        <w:tc>
          <w:tcPr>
            <w:tcW w:w="884" w:type="dxa"/>
            <w:tcBorders>
              <w:top w:val="nil"/>
              <w:left w:val="nil"/>
              <w:bottom w:val="single" w:sz="4" w:space="0" w:color="auto"/>
              <w:right w:val="single" w:sz="4" w:space="0" w:color="auto"/>
            </w:tcBorders>
            <w:shd w:val="clear" w:color="000000" w:fill="FF0000"/>
            <w:noWrap/>
            <w:vAlign w:val="center"/>
            <w:hideMark/>
          </w:tcPr>
          <w:p w14:paraId="6C60604B" w14:textId="77777777" w:rsidR="006A1A18" w:rsidRPr="006A1A18" w:rsidRDefault="006A1A18" w:rsidP="006A1A18">
            <w:pPr>
              <w:widowControl/>
              <w:jc w:val="center"/>
              <w:rPr>
                <w:rFonts w:ascii="Times" w:eastAsia="Times New Roman" w:hAnsi="Times" w:cs="Times"/>
                <w:color w:val="000000"/>
                <w:sz w:val="18"/>
                <w:szCs w:val="18"/>
                <w:lang w:eastAsia="es-HN"/>
              </w:rPr>
            </w:pPr>
            <w:r w:rsidRPr="006A1A18">
              <w:rPr>
                <w:rFonts w:ascii="Times" w:eastAsia="Times New Roman" w:hAnsi="Times" w:cs="Times"/>
                <w:color w:val="000000"/>
                <w:sz w:val="18"/>
                <w:szCs w:val="18"/>
                <w:lang w:eastAsia="es-HN"/>
              </w:rPr>
              <w:t>-164.6</w:t>
            </w:r>
          </w:p>
        </w:tc>
        <w:tc>
          <w:tcPr>
            <w:tcW w:w="810" w:type="dxa"/>
            <w:tcBorders>
              <w:top w:val="nil"/>
              <w:left w:val="nil"/>
              <w:bottom w:val="single" w:sz="4" w:space="0" w:color="auto"/>
              <w:right w:val="single" w:sz="4" w:space="0" w:color="auto"/>
            </w:tcBorders>
            <w:shd w:val="clear" w:color="000000" w:fill="FF0000"/>
            <w:noWrap/>
            <w:vAlign w:val="center"/>
            <w:hideMark/>
          </w:tcPr>
          <w:p w14:paraId="485B0FD0" w14:textId="77777777" w:rsidR="006A1A18" w:rsidRPr="006A1A18" w:rsidRDefault="006A1A18" w:rsidP="006A1A18">
            <w:pPr>
              <w:widowControl/>
              <w:jc w:val="center"/>
              <w:rPr>
                <w:rFonts w:ascii="Times" w:eastAsia="Times New Roman" w:hAnsi="Times" w:cs="Times"/>
                <w:color w:val="000000"/>
                <w:sz w:val="18"/>
                <w:szCs w:val="18"/>
                <w:lang w:eastAsia="es-HN"/>
              </w:rPr>
            </w:pPr>
            <w:r w:rsidRPr="006A1A18">
              <w:rPr>
                <w:rFonts w:ascii="Times" w:eastAsia="Times New Roman" w:hAnsi="Times" w:cs="Times"/>
                <w:color w:val="000000"/>
                <w:sz w:val="18"/>
                <w:szCs w:val="18"/>
                <w:lang w:eastAsia="es-HN"/>
              </w:rPr>
              <w:t>-316.5</w:t>
            </w:r>
          </w:p>
        </w:tc>
        <w:tc>
          <w:tcPr>
            <w:tcW w:w="884" w:type="dxa"/>
            <w:tcBorders>
              <w:top w:val="nil"/>
              <w:left w:val="nil"/>
              <w:bottom w:val="single" w:sz="4" w:space="0" w:color="auto"/>
              <w:right w:val="single" w:sz="4" w:space="0" w:color="auto"/>
            </w:tcBorders>
            <w:shd w:val="clear" w:color="000000" w:fill="FF0000"/>
            <w:noWrap/>
            <w:vAlign w:val="center"/>
            <w:hideMark/>
          </w:tcPr>
          <w:p w14:paraId="687A6E0F" w14:textId="77777777" w:rsidR="006A1A18" w:rsidRPr="006A1A18" w:rsidRDefault="006A1A18" w:rsidP="006A1A18">
            <w:pPr>
              <w:widowControl/>
              <w:jc w:val="center"/>
              <w:rPr>
                <w:rFonts w:ascii="Times" w:eastAsia="Times New Roman" w:hAnsi="Times" w:cs="Times"/>
                <w:color w:val="000000"/>
                <w:sz w:val="18"/>
                <w:szCs w:val="18"/>
                <w:lang w:eastAsia="es-HN"/>
              </w:rPr>
            </w:pPr>
            <w:r w:rsidRPr="006A1A18">
              <w:rPr>
                <w:rFonts w:ascii="Times" w:eastAsia="Times New Roman" w:hAnsi="Times" w:cs="Times"/>
                <w:color w:val="000000"/>
                <w:sz w:val="18"/>
                <w:szCs w:val="18"/>
                <w:lang w:eastAsia="es-HN"/>
              </w:rPr>
              <w:t>-48.9</w:t>
            </w:r>
          </w:p>
        </w:tc>
        <w:tc>
          <w:tcPr>
            <w:tcW w:w="884" w:type="dxa"/>
            <w:tcBorders>
              <w:top w:val="nil"/>
              <w:left w:val="nil"/>
              <w:bottom w:val="single" w:sz="4" w:space="0" w:color="auto"/>
              <w:right w:val="single" w:sz="4" w:space="0" w:color="auto"/>
            </w:tcBorders>
            <w:shd w:val="clear" w:color="000000" w:fill="FF0000"/>
            <w:noWrap/>
            <w:vAlign w:val="center"/>
            <w:hideMark/>
          </w:tcPr>
          <w:p w14:paraId="3BDD2AF0" w14:textId="77777777" w:rsidR="006A1A18" w:rsidRPr="006A1A18" w:rsidRDefault="006A1A18" w:rsidP="006A1A18">
            <w:pPr>
              <w:widowControl/>
              <w:jc w:val="center"/>
              <w:rPr>
                <w:rFonts w:ascii="Times" w:eastAsia="Times New Roman" w:hAnsi="Times" w:cs="Times"/>
                <w:color w:val="000000"/>
                <w:sz w:val="18"/>
                <w:szCs w:val="18"/>
                <w:lang w:eastAsia="es-HN"/>
              </w:rPr>
            </w:pPr>
            <w:r w:rsidRPr="006A1A18">
              <w:rPr>
                <w:rFonts w:ascii="Times" w:eastAsia="Times New Roman" w:hAnsi="Times" w:cs="Times"/>
                <w:color w:val="000000"/>
                <w:sz w:val="18"/>
                <w:szCs w:val="18"/>
                <w:lang w:eastAsia="es-HN"/>
              </w:rPr>
              <w:t>-21.8</w:t>
            </w:r>
          </w:p>
        </w:tc>
      </w:tr>
      <w:tr w:rsidR="006A1A18" w:rsidRPr="006A1A18" w14:paraId="27DD4C73" w14:textId="77777777" w:rsidTr="00AE1556">
        <w:trPr>
          <w:trHeight w:val="416"/>
        </w:trPr>
        <w:tc>
          <w:tcPr>
            <w:tcW w:w="1117" w:type="dxa"/>
            <w:tcBorders>
              <w:top w:val="nil"/>
              <w:left w:val="single" w:sz="4" w:space="0" w:color="auto"/>
              <w:bottom w:val="single" w:sz="4" w:space="0" w:color="auto"/>
              <w:right w:val="single" w:sz="4" w:space="0" w:color="auto"/>
            </w:tcBorders>
            <w:shd w:val="clear" w:color="auto" w:fill="auto"/>
            <w:vAlign w:val="center"/>
            <w:hideMark/>
          </w:tcPr>
          <w:p w14:paraId="5863D1A1" w14:textId="77777777" w:rsidR="006A1A18" w:rsidRPr="006A1A18" w:rsidRDefault="006A1A18" w:rsidP="006A1A18">
            <w:pPr>
              <w:widowControl/>
              <w:jc w:val="center"/>
              <w:rPr>
                <w:rFonts w:ascii="Times" w:eastAsia="Times New Roman" w:hAnsi="Times" w:cs="Times"/>
                <w:color w:val="000000"/>
                <w:sz w:val="18"/>
                <w:szCs w:val="18"/>
                <w:lang w:eastAsia="es-HN"/>
              </w:rPr>
            </w:pPr>
            <w:r w:rsidRPr="006A1A18">
              <w:rPr>
                <w:rFonts w:ascii="Times" w:eastAsia="Times New Roman" w:hAnsi="Times" w:cs="Times"/>
                <w:color w:val="000000"/>
                <w:sz w:val="18"/>
                <w:szCs w:val="18"/>
                <w:lang w:eastAsia="es-HN"/>
              </w:rPr>
              <w:t>Margen de Utilidad</w:t>
            </w:r>
          </w:p>
        </w:tc>
        <w:tc>
          <w:tcPr>
            <w:tcW w:w="786" w:type="dxa"/>
            <w:tcBorders>
              <w:top w:val="nil"/>
              <w:left w:val="nil"/>
              <w:bottom w:val="single" w:sz="4" w:space="0" w:color="auto"/>
              <w:right w:val="single" w:sz="4" w:space="0" w:color="auto"/>
            </w:tcBorders>
            <w:shd w:val="clear" w:color="000000" w:fill="00B050"/>
            <w:noWrap/>
            <w:vAlign w:val="center"/>
            <w:hideMark/>
          </w:tcPr>
          <w:p w14:paraId="086DF2DF" w14:textId="77777777" w:rsidR="006A1A18" w:rsidRPr="006A1A18" w:rsidRDefault="006A1A18" w:rsidP="006A1A18">
            <w:pPr>
              <w:widowControl/>
              <w:jc w:val="center"/>
              <w:rPr>
                <w:rFonts w:ascii="Times" w:eastAsia="Times New Roman" w:hAnsi="Times" w:cs="Times"/>
                <w:color w:val="000000"/>
                <w:sz w:val="18"/>
                <w:szCs w:val="18"/>
                <w:lang w:eastAsia="es-HN"/>
              </w:rPr>
            </w:pPr>
            <w:r w:rsidRPr="006A1A18">
              <w:rPr>
                <w:rFonts w:ascii="Times" w:eastAsia="Times New Roman" w:hAnsi="Times" w:cs="Times"/>
                <w:color w:val="000000"/>
                <w:sz w:val="18"/>
                <w:szCs w:val="18"/>
                <w:lang w:eastAsia="es-HN"/>
              </w:rPr>
              <w:t>&gt; = 1</w:t>
            </w:r>
          </w:p>
        </w:tc>
        <w:tc>
          <w:tcPr>
            <w:tcW w:w="910" w:type="dxa"/>
            <w:tcBorders>
              <w:top w:val="nil"/>
              <w:left w:val="nil"/>
              <w:bottom w:val="single" w:sz="4" w:space="0" w:color="auto"/>
              <w:right w:val="single" w:sz="4" w:space="0" w:color="auto"/>
            </w:tcBorders>
            <w:shd w:val="clear" w:color="000000" w:fill="FFFF00"/>
            <w:noWrap/>
            <w:vAlign w:val="center"/>
            <w:hideMark/>
          </w:tcPr>
          <w:p w14:paraId="7D0AFF45" w14:textId="77777777" w:rsidR="006A1A18" w:rsidRPr="006A1A18" w:rsidRDefault="006A1A18" w:rsidP="006A1A18">
            <w:pPr>
              <w:widowControl/>
              <w:jc w:val="center"/>
              <w:rPr>
                <w:rFonts w:ascii="Times" w:eastAsia="Times New Roman" w:hAnsi="Times" w:cs="Times"/>
                <w:color w:val="000000"/>
                <w:sz w:val="18"/>
                <w:szCs w:val="18"/>
                <w:lang w:eastAsia="es-HN"/>
              </w:rPr>
            </w:pPr>
            <w:r w:rsidRPr="006A1A18">
              <w:rPr>
                <w:rFonts w:ascii="Times" w:eastAsia="Times New Roman" w:hAnsi="Times" w:cs="Times"/>
                <w:color w:val="000000"/>
                <w:sz w:val="18"/>
                <w:szCs w:val="18"/>
                <w:lang w:eastAsia="es-HN"/>
              </w:rPr>
              <w:t>1</w:t>
            </w:r>
          </w:p>
        </w:tc>
        <w:tc>
          <w:tcPr>
            <w:tcW w:w="785" w:type="dxa"/>
            <w:tcBorders>
              <w:top w:val="nil"/>
              <w:left w:val="nil"/>
              <w:bottom w:val="single" w:sz="4" w:space="0" w:color="auto"/>
              <w:right w:val="single" w:sz="4" w:space="0" w:color="auto"/>
            </w:tcBorders>
            <w:shd w:val="clear" w:color="000000" w:fill="FF0000"/>
            <w:noWrap/>
            <w:vAlign w:val="center"/>
            <w:hideMark/>
          </w:tcPr>
          <w:p w14:paraId="29EFE4FE" w14:textId="77777777" w:rsidR="006A1A18" w:rsidRPr="006A1A18" w:rsidRDefault="006A1A18" w:rsidP="006A1A18">
            <w:pPr>
              <w:widowControl/>
              <w:jc w:val="center"/>
              <w:rPr>
                <w:rFonts w:ascii="Times" w:eastAsia="Times New Roman" w:hAnsi="Times" w:cs="Times"/>
                <w:color w:val="000000"/>
                <w:sz w:val="18"/>
                <w:szCs w:val="18"/>
                <w:lang w:eastAsia="es-HN"/>
              </w:rPr>
            </w:pPr>
            <w:r w:rsidRPr="006A1A18">
              <w:rPr>
                <w:rFonts w:ascii="Times" w:eastAsia="Times New Roman" w:hAnsi="Times" w:cs="Times"/>
                <w:color w:val="000000"/>
                <w:sz w:val="18"/>
                <w:szCs w:val="18"/>
                <w:lang w:eastAsia="es-HN"/>
              </w:rPr>
              <w:t>&lt; 1</w:t>
            </w:r>
          </w:p>
        </w:tc>
        <w:tc>
          <w:tcPr>
            <w:tcW w:w="1406" w:type="dxa"/>
            <w:tcBorders>
              <w:top w:val="nil"/>
              <w:left w:val="nil"/>
              <w:bottom w:val="single" w:sz="4" w:space="0" w:color="auto"/>
              <w:right w:val="single" w:sz="4" w:space="0" w:color="auto"/>
            </w:tcBorders>
            <w:shd w:val="clear" w:color="auto" w:fill="auto"/>
            <w:vAlign w:val="center"/>
            <w:hideMark/>
          </w:tcPr>
          <w:p w14:paraId="73309F8A" w14:textId="77777777" w:rsidR="006A1A18" w:rsidRPr="006A1A18" w:rsidRDefault="006A1A18" w:rsidP="006A1A18">
            <w:pPr>
              <w:widowControl/>
              <w:jc w:val="center"/>
              <w:rPr>
                <w:rFonts w:ascii="Times" w:eastAsia="Times New Roman" w:hAnsi="Times" w:cs="Times"/>
                <w:color w:val="000000"/>
                <w:sz w:val="18"/>
                <w:szCs w:val="18"/>
                <w:lang w:eastAsia="es-HN"/>
              </w:rPr>
            </w:pPr>
            <w:r w:rsidRPr="006A1A18">
              <w:rPr>
                <w:rFonts w:ascii="Times" w:eastAsia="Times New Roman" w:hAnsi="Times" w:cs="Times"/>
                <w:color w:val="000000"/>
                <w:sz w:val="18"/>
                <w:szCs w:val="18"/>
                <w:lang w:eastAsia="es-HN"/>
              </w:rPr>
              <w:t>Utilidad Neta/Ingresos Financieros</w:t>
            </w:r>
          </w:p>
        </w:tc>
        <w:tc>
          <w:tcPr>
            <w:tcW w:w="884" w:type="dxa"/>
            <w:tcBorders>
              <w:top w:val="nil"/>
              <w:left w:val="nil"/>
              <w:bottom w:val="single" w:sz="4" w:space="0" w:color="auto"/>
              <w:right w:val="single" w:sz="4" w:space="0" w:color="auto"/>
            </w:tcBorders>
            <w:shd w:val="clear" w:color="000000" w:fill="FF0000"/>
            <w:noWrap/>
            <w:vAlign w:val="center"/>
            <w:hideMark/>
          </w:tcPr>
          <w:p w14:paraId="2B6564F9" w14:textId="77777777" w:rsidR="006A1A18" w:rsidRPr="006A1A18" w:rsidRDefault="006A1A18" w:rsidP="006A1A18">
            <w:pPr>
              <w:widowControl/>
              <w:jc w:val="center"/>
              <w:rPr>
                <w:rFonts w:ascii="Times" w:eastAsia="Times New Roman" w:hAnsi="Times" w:cs="Times"/>
                <w:color w:val="000000"/>
                <w:sz w:val="18"/>
                <w:szCs w:val="18"/>
                <w:lang w:eastAsia="es-HN"/>
              </w:rPr>
            </w:pPr>
            <w:r w:rsidRPr="006A1A18">
              <w:rPr>
                <w:rFonts w:ascii="Times" w:eastAsia="Times New Roman" w:hAnsi="Times" w:cs="Times"/>
                <w:color w:val="000000"/>
                <w:sz w:val="18"/>
                <w:szCs w:val="18"/>
                <w:lang w:eastAsia="es-HN"/>
              </w:rPr>
              <w:t>-11.2</w:t>
            </w:r>
          </w:p>
        </w:tc>
        <w:tc>
          <w:tcPr>
            <w:tcW w:w="884" w:type="dxa"/>
            <w:tcBorders>
              <w:top w:val="nil"/>
              <w:left w:val="nil"/>
              <w:bottom w:val="single" w:sz="4" w:space="0" w:color="auto"/>
              <w:right w:val="single" w:sz="4" w:space="0" w:color="auto"/>
            </w:tcBorders>
            <w:shd w:val="clear" w:color="000000" w:fill="FF0000"/>
            <w:noWrap/>
            <w:vAlign w:val="center"/>
            <w:hideMark/>
          </w:tcPr>
          <w:p w14:paraId="6BDF7766" w14:textId="77777777" w:rsidR="006A1A18" w:rsidRPr="006A1A18" w:rsidRDefault="006A1A18" w:rsidP="006A1A18">
            <w:pPr>
              <w:widowControl/>
              <w:jc w:val="center"/>
              <w:rPr>
                <w:rFonts w:ascii="Times" w:eastAsia="Times New Roman" w:hAnsi="Times" w:cs="Times"/>
                <w:color w:val="000000"/>
                <w:sz w:val="18"/>
                <w:szCs w:val="18"/>
                <w:lang w:eastAsia="es-HN"/>
              </w:rPr>
            </w:pPr>
            <w:r w:rsidRPr="006A1A18">
              <w:rPr>
                <w:rFonts w:ascii="Times" w:eastAsia="Times New Roman" w:hAnsi="Times" w:cs="Times"/>
                <w:color w:val="000000"/>
                <w:sz w:val="18"/>
                <w:szCs w:val="18"/>
                <w:lang w:eastAsia="es-HN"/>
              </w:rPr>
              <w:t>-97.6</w:t>
            </w:r>
          </w:p>
        </w:tc>
        <w:tc>
          <w:tcPr>
            <w:tcW w:w="810" w:type="dxa"/>
            <w:tcBorders>
              <w:top w:val="nil"/>
              <w:left w:val="nil"/>
              <w:bottom w:val="single" w:sz="4" w:space="0" w:color="auto"/>
              <w:right w:val="single" w:sz="4" w:space="0" w:color="auto"/>
            </w:tcBorders>
            <w:shd w:val="clear" w:color="000000" w:fill="FF0000"/>
            <w:noWrap/>
            <w:vAlign w:val="center"/>
            <w:hideMark/>
          </w:tcPr>
          <w:p w14:paraId="76F4872D" w14:textId="77777777" w:rsidR="006A1A18" w:rsidRPr="006A1A18" w:rsidRDefault="006A1A18" w:rsidP="006A1A18">
            <w:pPr>
              <w:widowControl/>
              <w:jc w:val="center"/>
              <w:rPr>
                <w:rFonts w:ascii="Times" w:eastAsia="Times New Roman" w:hAnsi="Times" w:cs="Times"/>
                <w:color w:val="000000"/>
                <w:sz w:val="18"/>
                <w:szCs w:val="18"/>
                <w:lang w:eastAsia="es-HN"/>
              </w:rPr>
            </w:pPr>
            <w:r w:rsidRPr="006A1A18">
              <w:rPr>
                <w:rFonts w:ascii="Times" w:eastAsia="Times New Roman" w:hAnsi="Times" w:cs="Times"/>
                <w:color w:val="000000"/>
                <w:sz w:val="18"/>
                <w:szCs w:val="18"/>
                <w:lang w:eastAsia="es-HN"/>
              </w:rPr>
              <w:t>-136.6</w:t>
            </w:r>
          </w:p>
        </w:tc>
        <w:tc>
          <w:tcPr>
            <w:tcW w:w="884" w:type="dxa"/>
            <w:tcBorders>
              <w:top w:val="nil"/>
              <w:left w:val="nil"/>
              <w:bottom w:val="single" w:sz="4" w:space="0" w:color="auto"/>
              <w:right w:val="single" w:sz="4" w:space="0" w:color="auto"/>
            </w:tcBorders>
            <w:shd w:val="clear" w:color="000000" w:fill="FF0000"/>
            <w:noWrap/>
            <w:vAlign w:val="center"/>
            <w:hideMark/>
          </w:tcPr>
          <w:p w14:paraId="1DF2C4C2" w14:textId="77777777" w:rsidR="006A1A18" w:rsidRPr="006A1A18" w:rsidRDefault="006A1A18" w:rsidP="006A1A18">
            <w:pPr>
              <w:widowControl/>
              <w:jc w:val="center"/>
              <w:rPr>
                <w:rFonts w:ascii="Times" w:eastAsia="Times New Roman" w:hAnsi="Times" w:cs="Times"/>
                <w:color w:val="000000"/>
                <w:sz w:val="18"/>
                <w:szCs w:val="18"/>
                <w:lang w:eastAsia="es-HN"/>
              </w:rPr>
            </w:pPr>
            <w:r w:rsidRPr="006A1A18">
              <w:rPr>
                <w:rFonts w:ascii="Times" w:eastAsia="Times New Roman" w:hAnsi="Times" w:cs="Times"/>
                <w:color w:val="000000"/>
                <w:sz w:val="18"/>
                <w:szCs w:val="18"/>
                <w:lang w:eastAsia="es-HN"/>
              </w:rPr>
              <w:t>-35.2</w:t>
            </w:r>
          </w:p>
        </w:tc>
        <w:tc>
          <w:tcPr>
            <w:tcW w:w="884" w:type="dxa"/>
            <w:tcBorders>
              <w:top w:val="nil"/>
              <w:left w:val="nil"/>
              <w:bottom w:val="single" w:sz="4" w:space="0" w:color="auto"/>
              <w:right w:val="single" w:sz="4" w:space="0" w:color="auto"/>
            </w:tcBorders>
            <w:shd w:val="clear" w:color="000000" w:fill="FF0000"/>
            <w:noWrap/>
            <w:vAlign w:val="center"/>
            <w:hideMark/>
          </w:tcPr>
          <w:p w14:paraId="05730040" w14:textId="77777777" w:rsidR="006A1A18" w:rsidRPr="006A1A18" w:rsidRDefault="006A1A18" w:rsidP="006A1A18">
            <w:pPr>
              <w:widowControl/>
              <w:jc w:val="center"/>
              <w:rPr>
                <w:rFonts w:ascii="Times" w:eastAsia="Times New Roman" w:hAnsi="Times" w:cs="Times"/>
                <w:color w:val="000000"/>
                <w:sz w:val="18"/>
                <w:szCs w:val="18"/>
                <w:lang w:eastAsia="es-HN"/>
              </w:rPr>
            </w:pPr>
            <w:r w:rsidRPr="006A1A18">
              <w:rPr>
                <w:rFonts w:ascii="Times" w:eastAsia="Times New Roman" w:hAnsi="Times" w:cs="Times"/>
                <w:color w:val="000000"/>
                <w:sz w:val="18"/>
                <w:szCs w:val="18"/>
                <w:lang w:eastAsia="es-HN"/>
              </w:rPr>
              <w:t>-13.1</w:t>
            </w:r>
          </w:p>
        </w:tc>
      </w:tr>
      <w:tr w:rsidR="006A1A18" w:rsidRPr="006A1A18" w14:paraId="0BF91F84" w14:textId="77777777" w:rsidTr="00AE1556">
        <w:trPr>
          <w:trHeight w:val="416"/>
        </w:trPr>
        <w:tc>
          <w:tcPr>
            <w:tcW w:w="1117" w:type="dxa"/>
            <w:tcBorders>
              <w:top w:val="nil"/>
              <w:left w:val="single" w:sz="4" w:space="0" w:color="auto"/>
              <w:bottom w:val="single" w:sz="4" w:space="0" w:color="auto"/>
              <w:right w:val="single" w:sz="4" w:space="0" w:color="auto"/>
            </w:tcBorders>
            <w:shd w:val="clear" w:color="auto" w:fill="auto"/>
            <w:vAlign w:val="center"/>
            <w:hideMark/>
          </w:tcPr>
          <w:p w14:paraId="6FCAB044" w14:textId="77777777" w:rsidR="006A1A18" w:rsidRPr="006A1A18" w:rsidRDefault="006A1A18" w:rsidP="006A1A18">
            <w:pPr>
              <w:widowControl/>
              <w:jc w:val="center"/>
              <w:rPr>
                <w:rFonts w:ascii="Times" w:eastAsia="Times New Roman" w:hAnsi="Times" w:cs="Times"/>
                <w:color w:val="000000"/>
                <w:sz w:val="18"/>
                <w:szCs w:val="18"/>
                <w:lang w:eastAsia="es-HN"/>
              </w:rPr>
            </w:pPr>
            <w:r w:rsidRPr="006A1A18">
              <w:rPr>
                <w:rFonts w:ascii="Times" w:eastAsia="Times New Roman" w:hAnsi="Times" w:cs="Times"/>
                <w:color w:val="000000"/>
                <w:sz w:val="18"/>
                <w:szCs w:val="18"/>
                <w:lang w:eastAsia="es-HN"/>
              </w:rPr>
              <w:t xml:space="preserve">Liquidez Corriente </w:t>
            </w:r>
          </w:p>
        </w:tc>
        <w:tc>
          <w:tcPr>
            <w:tcW w:w="786" w:type="dxa"/>
            <w:tcBorders>
              <w:top w:val="nil"/>
              <w:left w:val="nil"/>
              <w:bottom w:val="single" w:sz="4" w:space="0" w:color="auto"/>
              <w:right w:val="single" w:sz="4" w:space="0" w:color="auto"/>
            </w:tcBorders>
            <w:shd w:val="clear" w:color="000000" w:fill="00B050"/>
            <w:noWrap/>
            <w:vAlign w:val="center"/>
            <w:hideMark/>
          </w:tcPr>
          <w:p w14:paraId="4DD90E66" w14:textId="77777777" w:rsidR="006A1A18" w:rsidRPr="006A1A18" w:rsidRDefault="006A1A18" w:rsidP="006A1A18">
            <w:pPr>
              <w:widowControl/>
              <w:jc w:val="center"/>
              <w:rPr>
                <w:rFonts w:ascii="Times" w:eastAsia="Times New Roman" w:hAnsi="Times" w:cs="Times"/>
                <w:color w:val="000000"/>
                <w:sz w:val="18"/>
                <w:szCs w:val="18"/>
                <w:lang w:eastAsia="es-HN"/>
              </w:rPr>
            </w:pPr>
            <w:r w:rsidRPr="006A1A18">
              <w:rPr>
                <w:rFonts w:ascii="Times" w:eastAsia="Times New Roman" w:hAnsi="Times" w:cs="Times"/>
                <w:color w:val="000000"/>
                <w:sz w:val="18"/>
                <w:szCs w:val="18"/>
                <w:lang w:eastAsia="es-HN"/>
              </w:rPr>
              <w:t>&gt; = 1</w:t>
            </w:r>
          </w:p>
        </w:tc>
        <w:tc>
          <w:tcPr>
            <w:tcW w:w="910" w:type="dxa"/>
            <w:tcBorders>
              <w:top w:val="nil"/>
              <w:left w:val="nil"/>
              <w:bottom w:val="single" w:sz="4" w:space="0" w:color="auto"/>
              <w:right w:val="single" w:sz="4" w:space="0" w:color="auto"/>
            </w:tcBorders>
            <w:shd w:val="clear" w:color="000000" w:fill="FFFF00"/>
            <w:noWrap/>
            <w:vAlign w:val="center"/>
            <w:hideMark/>
          </w:tcPr>
          <w:p w14:paraId="1B0A35E6" w14:textId="77777777" w:rsidR="006A1A18" w:rsidRPr="006A1A18" w:rsidRDefault="006A1A18" w:rsidP="006A1A18">
            <w:pPr>
              <w:widowControl/>
              <w:jc w:val="center"/>
              <w:rPr>
                <w:rFonts w:ascii="Times" w:eastAsia="Times New Roman" w:hAnsi="Times" w:cs="Times"/>
                <w:color w:val="000000"/>
                <w:sz w:val="18"/>
                <w:szCs w:val="18"/>
                <w:lang w:eastAsia="es-HN"/>
              </w:rPr>
            </w:pPr>
            <w:r w:rsidRPr="006A1A18">
              <w:rPr>
                <w:rFonts w:ascii="Times" w:eastAsia="Times New Roman" w:hAnsi="Times" w:cs="Times"/>
                <w:color w:val="000000"/>
                <w:sz w:val="18"/>
                <w:szCs w:val="18"/>
                <w:lang w:eastAsia="es-HN"/>
              </w:rPr>
              <w:t>1</w:t>
            </w:r>
          </w:p>
        </w:tc>
        <w:tc>
          <w:tcPr>
            <w:tcW w:w="785" w:type="dxa"/>
            <w:tcBorders>
              <w:top w:val="nil"/>
              <w:left w:val="nil"/>
              <w:bottom w:val="single" w:sz="4" w:space="0" w:color="auto"/>
              <w:right w:val="single" w:sz="4" w:space="0" w:color="auto"/>
            </w:tcBorders>
            <w:shd w:val="clear" w:color="000000" w:fill="FF0000"/>
            <w:noWrap/>
            <w:vAlign w:val="center"/>
            <w:hideMark/>
          </w:tcPr>
          <w:p w14:paraId="71C28009" w14:textId="77777777" w:rsidR="006A1A18" w:rsidRPr="006A1A18" w:rsidRDefault="006A1A18" w:rsidP="006A1A18">
            <w:pPr>
              <w:widowControl/>
              <w:jc w:val="center"/>
              <w:rPr>
                <w:rFonts w:ascii="Times" w:eastAsia="Times New Roman" w:hAnsi="Times" w:cs="Times"/>
                <w:color w:val="000000"/>
                <w:sz w:val="18"/>
                <w:szCs w:val="18"/>
                <w:lang w:eastAsia="es-HN"/>
              </w:rPr>
            </w:pPr>
            <w:r w:rsidRPr="006A1A18">
              <w:rPr>
                <w:rFonts w:ascii="Times" w:eastAsia="Times New Roman" w:hAnsi="Times" w:cs="Times"/>
                <w:color w:val="000000"/>
                <w:sz w:val="18"/>
                <w:szCs w:val="18"/>
                <w:lang w:eastAsia="es-HN"/>
              </w:rPr>
              <w:t>&lt; 1</w:t>
            </w:r>
          </w:p>
        </w:tc>
        <w:tc>
          <w:tcPr>
            <w:tcW w:w="1406" w:type="dxa"/>
            <w:tcBorders>
              <w:top w:val="nil"/>
              <w:left w:val="nil"/>
              <w:bottom w:val="single" w:sz="4" w:space="0" w:color="auto"/>
              <w:right w:val="single" w:sz="4" w:space="0" w:color="auto"/>
            </w:tcBorders>
            <w:shd w:val="clear" w:color="auto" w:fill="auto"/>
            <w:vAlign w:val="center"/>
            <w:hideMark/>
          </w:tcPr>
          <w:p w14:paraId="4DB6BE0C" w14:textId="77777777" w:rsidR="006A1A18" w:rsidRPr="006A1A18" w:rsidRDefault="006A1A18" w:rsidP="006A1A18">
            <w:pPr>
              <w:widowControl/>
              <w:jc w:val="center"/>
              <w:rPr>
                <w:rFonts w:ascii="Times" w:eastAsia="Times New Roman" w:hAnsi="Times" w:cs="Times"/>
                <w:color w:val="000000"/>
                <w:sz w:val="18"/>
                <w:szCs w:val="18"/>
                <w:lang w:eastAsia="es-HN"/>
              </w:rPr>
            </w:pPr>
            <w:r w:rsidRPr="006A1A18">
              <w:rPr>
                <w:rFonts w:ascii="Times" w:eastAsia="Times New Roman" w:hAnsi="Times" w:cs="Times"/>
                <w:color w:val="000000"/>
                <w:sz w:val="18"/>
                <w:szCs w:val="18"/>
                <w:lang w:eastAsia="es-HN"/>
              </w:rPr>
              <w:t xml:space="preserve">Activo Corriente/ Pasivo Corriente </w:t>
            </w:r>
          </w:p>
        </w:tc>
        <w:tc>
          <w:tcPr>
            <w:tcW w:w="884" w:type="dxa"/>
            <w:tcBorders>
              <w:top w:val="nil"/>
              <w:left w:val="nil"/>
              <w:bottom w:val="single" w:sz="4" w:space="0" w:color="auto"/>
              <w:right w:val="single" w:sz="4" w:space="0" w:color="auto"/>
            </w:tcBorders>
            <w:shd w:val="clear" w:color="000000" w:fill="00B050"/>
            <w:noWrap/>
            <w:vAlign w:val="center"/>
            <w:hideMark/>
          </w:tcPr>
          <w:p w14:paraId="76A5B809" w14:textId="77777777" w:rsidR="006A1A18" w:rsidRPr="006A1A18" w:rsidRDefault="006A1A18" w:rsidP="006A1A18">
            <w:pPr>
              <w:widowControl/>
              <w:jc w:val="center"/>
              <w:rPr>
                <w:rFonts w:ascii="Times" w:eastAsia="Times New Roman" w:hAnsi="Times" w:cs="Times"/>
                <w:color w:val="000000"/>
                <w:sz w:val="18"/>
                <w:szCs w:val="18"/>
                <w:lang w:eastAsia="es-HN"/>
              </w:rPr>
            </w:pPr>
            <w:r w:rsidRPr="006A1A18">
              <w:rPr>
                <w:rFonts w:ascii="Times" w:eastAsia="Times New Roman" w:hAnsi="Times" w:cs="Times"/>
                <w:color w:val="000000"/>
                <w:sz w:val="18"/>
                <w:szCs w:val="18"/>
                <w:lang w:eastAsia="es-HN"/>
              </w:rPr>
              <w:t>3.0</w:t>
            </w:r>
          </w:p>
        </w:tc>
        <w:tc>
          <w:tcPr>
            <w:tcW w:w="884" w:type="dxa"/>
            <w:tcBorders>
              <w:top w:val="nil"/>
              <w:left w:val="nil"/>
              <w:bottom w:val="single" w:sz="4" w:space="0" w:color="auto"/>
              <w:right w:val="single" w:sz="4" w:space="0" w:color="auto"/>
            </w:tcBorders>
            <w:shd w:val="clear" w:color="000000" w:fill="00B050"/>
            <w:noWrap/>
            <w:vAlign w:val="center"/>
            <w:hideMark/>
          </w:tcPr>
          <w:p w14:paraId="4E921DC4" w14:textId="77777777" w:rsidR="006A1A18" w:rsidRPr="006A1A18" w:rsidRDefault="006A1A18" w:rsidP="006A1A18">
            <w:pPr>
              <w:widowControl/>
              <w:jc w:val="center"/>
              <w:rPr>
                <w:rFonts w:ascii="Times" w:eastAsia="Times New Roman" w:hAnsi="Times" w:cs="Times"/>
                <w:color w:val="000000"/>
                <w:sz w:val="18"/>
                <w:szCs w:val="18"/>
                <w:lang w:eastAsia="es-HN"/>
              </w:rPr>
            </w:pPr>
            <w:r w:rsidRPr="006A1A18">
              <w:rPr>
                <w:rFonts w:ascii="Times" w:eastAsia="Times New Roman" w:hAnsi="Times" w:cs="Times"/>
                <w:color w:val="000000"/>
                <w:sz w:val="18"/>
                <w:szCs w:val="18"/>
                <w:lang w:eastAsia="es-HN"/>
              </w:rPr>
              <w:t>1.6</w:t>
            </w:r>
          </w:p>
        </w:tc>
        <w:tc>
          <w:tcPr>
            <w:tcW w:w="810" w:type="dxa"/>
            <w:tcBorders>
              <w:top w:val="nil"/>
              <w:left w:val="nil"/>
              <w:bottom w:val="single" w:sz="4" w:space="0" w:color="auto"/>
              <w:right w:val="single" w:sz="4" w:space="0" w:color="auto"/>
            </w:tcBorders>
            <w:shd w:val="clear" w:color="000000" w:fill="00B050"/>
            <w:noWrap/>
            <w:vAlign w:val="center"/>
            <w:hideMark/>
          </w:tcPr>
          <w:p w14:paraId="568CC2A4" w14:textId="77777777" w:rsidR="006A1A18" w:rsidRPr="006A1A18" w:rsidRDefault="006A1A18" w:rsidP="006A1A18">
            <w:pPr>
              <w:widowControl/>
              <w:jc w:val="center"/>
              <w:rPr>
                <w:rFonts w:ascii="Times" w:eastAsia="Times New Roman" w:hAnsi="Times" w:cs="Times"/>
                <w:color w:val="000000"/>
                <w:sz w:val="18"/>
                <w:szCs w:val="18"/>
                <w:lang w:eastAsia="es-HN"/>
              </w:rPr>
            </w:pPr>
            <w:r w:rsidRPr="006A1A18">
              <w:rPr>
                <w:rFonts w:ascii="Times" w:eastAsia="Times New Roman" w:hAnsi="Times" w:cs="Times"/>
                <w:color w:val="000000"/>
                <w:sz w:val="18"/>
                <w:szCs w:val="18"/>
                <w:lang w:eastAsia="es-HN"/>
              </w:rPr>
              <w:t>1.3</w:t>
            </w:r>
          </w:p>
        </w:tc>
        <w:tc>
          <w:tcPr>
            <w:tcW w:w="884" w:type="dxa"/>
            <w:tcBorders>
              <w:top w:val="nil"/>
              <w:left w:val="nil"/>
              <w:bottom w:val="single" w:sz="4" w:space="0" w:color="auto"/>
              <w:right w:val="single" w:sz="4" w:space="0" w:color="auto"/>
            </w:tcBorders>
            <w:shd w:val="clear" w:color="000000" w:fill="00B050"/>
            <w:noWrap/>
            <w:vAlign w:val="center"/>
            <w:hideMark/>
          </w:tcPr>
          <w:p w14:paraId="7113F0A1" w14:textId="77777777" w:rsidR="006A1A18" w:rsidRPr="006A1A18" w:rsidRDefault="006A1A18" w:rsidP="006A1A18">
            <w:pPr>
              <w:widowControl/>
              <w:jc w:val="center"/>
              <w:rPr>
                <w:rFonts w:ascii="Times" w:eastAsia="Times New Roman" w:hAnsi="Times" w:cs="Times"/>
                <w:color w:val="000000"/>
                <w:sz w:val="18"/>
                <w:szCs w:val="18"/>
                <w:lang w:eastAsia="es-HN"/>
              </w:rPr>
            </w:pPr>
            <w:r w:rsidRPr="006A1A18">
              <w:rPr>
                <w:rFonts w:ascii="Times" w:eastAsia="Times New Roman" w:hAnsi="Times" w:cs="Times"/>
                <w:color w:val="000000"/>
                <w:sz w:val="18"/>
                <w:szCs w:val="18"/>
                <w:lang w:eastAsia="es-HN"/>
              </w:rPr>
              <w:t>1.8</w:t>
            </w:r>
          </w:p>
        </w:tc>
        <w:tc>
          <w:tcPr>
            <w:tcW w:w="884" w:type="dxa"/>
            <w:tcBorders>
              <w:top w:val="nil"/>
              <w:left w:val="nil"/>
              <w:bottom w:val="single" w:sz="4" w:space="0" w:color="auto"/>
              <w:right w:val="single" w:sz="4" w:space="0" w:color="auto"/>
            </w:tcBorders>
            <w:shd w:val="clear" w:color="000000" w:fill="00B050"/>
            <w:noWrap/>
            <w:vAlign w:val="center"/>
            <w:hideMark/>
          </w:tcPr>
          <w:p w14:paraId="250355A3" w14:textId="77777777" w:rsidR="006A1A18" w:rsidRPr="006A1A18" w:rsidRDefault="006A1A18" w:rsidP="006A1A18">
            <w:pPr>
              <w:widowControl/>
              <w:jc w:val="center"/>
              <w:rPr>
                <w:rFonts w:ascii="Times" w:eastAsia="Times New Roman" w:hAnsi="Times" w:cs="Times"/>
                <w:color w:val="000000"/>
                <w:sz w:val="18"/>
                <w:szCs w:val="18"/>
                <w:lang w:eastAsia="es-HN"/>
              </w:rPr>
            </w:pPr>
            <w:r w:rsidRPr="006A1A18">
              <w:rPr>
                <w:rFonts w:ascii="Times" w:eastAsia="Times New Roman" w:hAnsi="Times" w:cs="Times"/>
                <w:color w:val="000000"/>
                <w:sz w:val="18"/>
                <w:szCs w:val="18"/>
                <w:lang w:eastAsia="es-HN"/>
              </w:rPr>
              <w:t>1.6</w:t>
            </w:r>
          </w:p>
        </w:tc>
      </w:tr>
      <w:tr w:rsidR="006A1A18" w:rsidRPr="006A1A18" w14:paraId="39203168" w14:textId="77777777" w:rsidTr="00AE1556">
        <w:trPr>
          <w:trHeight w:val="416"/>
        </w:trPr>
        <w:tc>
          <w:tcPr>
            <w:tcW w:w="1117" w:type="dxa"/>
            <w:tcBorders>
              <w:top w:val="nil"/>
              <w:left w:val="single" w:sz="4" w:space="0" w:color="auto"/>
              <w:bottom w:val="single" w:sz="4" w:space="0" w:color="auto"/>
              <w:right w:val="single" w:sz="4" w:space="0" w:color="auto"/>
            </w:tcBorders>
            <w:shd w:val="clear" w:color="auto" w:fill="auto"/>
            <w:vAlign w:val="center"/>
            <w:hideMark/>
          </w:tcPr>
          <w:p w14:paraId="6F3AC180" w14:textId="77777777" w:rsidR="006A1A18" w:rsidRPr="006A1A18" w:rsidRDefault="006A1A18" w:rsidP="006A1A18">
            <w:pPr>
              <w:widowControl/>
              <w:jc w:val="center"/>
              <w:rPr>
                <w:rFonts w:ascii="Times" w:eastAsia="Times New Roman" w:hAnsi="Times" w:cs="Times"/>
                <w:color w:val="000000"/>
                <w:sz w:val="18"/>
                <w:szCs w:val="18"/>
                <w:lang w:eastAsia="es-HN"/>
              </w:rPr>
            </w:pPr>
            <w:r w:rsidRPr="006A1A18">
              <w:rPr>
                <w:rFonts w:ascii="Times" w:eastAsia="Times New Roman" w:hAnsi="Times" w:cs="Times"/>
                <w:color w:val="000000"/>
                <w:sz w:val="18"/>
                <w:szCs w:val="18"/>
                <w:lang w:eastAsia="es-HN"/>
              </w:rPr>
              <w:t>Razón Efectivo</w:t>
            </w:r>
          </w:p>
        </w:tc>
        <w:tc>
          <w:tcPr>
            <w:tcW w:w="786" w:type="dxa"/>
            <w:tcBorders>
              <w:top w:val="nil"/>
              <w:left w:val="nil"/>
              <w:bottom w:val="single" w:sz="4" w:space="0" w:color="auto"/>
              <w:right w:val="single" w:sz="4" w:space="0" w:color="auto"/>
            </w:tcBorders>
            <w:shd w:val="clear" w:color="000000" w:fill="00B050"/>
            <w:noWrap/>
            <w:vAlign w:val="center"/>
            <w:hideMark/>
          </w:tcPr>
          <w:p w14:paraId="3C1E2E55" w14:textId="77777777" w:rsidR="006A1A18" w:rsidRPr="006A1A18" w:rsidRDefault="006A1A18" w:rsidP="006A1A18">
            <w:pPr>
              <w:widowControl/>
              <w:jc w:val="center"/>
              <w:rPr>
                <w:rFonts w:ascii="Times" w:eastAsia="Times New Roman" w:hAnsi="Times" w:cs="Times"/>
                <w:color w:val="000000"/>
                <w:sz w:val="18"/>
                <w:szCs w:val="18"/>
                <w:lang w:eastAsia="es-HN"/>
              </w:rPr>
            </w:pPr>
            <w:r w:rsidRPr="006A1A18">
              <w:rPr>
                <w:rFonts w:ascii="Times" w:eastAsia="Times New Roman" w:hAnsi="Times" w:cs="Times"/>
                <w:color w:val="000000"/>
                <w:sz w:val="18"/>
                <w:szCs w:val="18"/>
                <w:lang w:eastAsia="es-HN"/>
              </w:rPr>
              <w:t>&gt; = 1</w:t>
            </w:r>
          </w:p>
        </w:tc>
        <w:tc>
          <w:tcPr>
            <w:tcW w:w="910" w:type="dxa"/>
            <w:tcBorders>
              <w:top w:val="nil"/>
              <w:left w:val="nil"/>
              <w:bottom w:val="single" w:sz="4" w:space="0" w:color="auto"/>
              <w:right w:val="single" w:sz="4" w:space="0" w:color="auto"/>
            </w:tcBorders>
            <w:shd w:val="clear" w:color="000000" w:fill="FFFF00"/>
            <w:noWrap/>
            <w:vAlign w:val="center"/>
            <w:hideMark/>
          </w:tcPr>
          <w:p w14:paraId="6CE43CD5" w14:textId="77777777" w:rsidR="006A1A18" w:rsidRPr="006A1A18" w:rsidRDefault="006A1A18" w:rsidP="006A1A18">
            <w:pPr>
              <w:widowControl/>
              <w:jc w:val="center"/>
              <w:rPr>
                <w:rFonts w:ascii="Times" w:eastAsia="Times New Roman" w:hAnsi="Times" w:cs="Times"/>
                <w:color w:val="000000"/>
                <w:sz w:val="18"/>
                <w:szCs w:val="18"/>
                <w:lang w:eastAsia="es-HN"/>
              </w:rPr>
            </w:pPr>
            <w:r w:rsidRPr="006A1A18">
              <w:rPr>
                <w:rFonts w:ascii="Times" w:eastAsia="Times New Roman" w:hAnsi="Times" w:cs="Times"/>
                <w:color w:val="000000"/>
                <w:sz w:val="18"/>
                <w:szCs w:val="18"/>
                <w:lang w:eastAsia="es-HN"/>
              </w:rPr>
              <w:t>1</w:t>
            </w:r>
          </w:p>
        </w:tc>
        <w:tc>
          <w:tcPr>
            <w:tcW w:w="785" w:type="dxa"/>
            <w:tcBorders>
              <w:top w:val="nil"/>
              <w:left w:val="nil"/>
              <w:bottom w:val="single" w:sz="4" w:space="0" w:color="auto"/>
              <w:right w:val="single" w:sz="4" w:space="0" w:color="auto"/>
            </w:tcBorders>
            <w:shd w:val="clear" w:color="000000" w:fill="FF0000"/>
            <w:noWrap/>
            <w:vAlign w:val="center"/>
            <w:hideMark/>
          </w:tcPr>
          <w:p w14:paraId="0AFE9BF0" w14:textId="77777777" w:rsidR="006A1A18" w:rsidRPr="006A1A18" w:rsidRDefault="006A1A18" w:rsidP="006A1A18">
            <w:pPr>
              <w:widowControl/>
              <w:jc w:val="center"/>
              <w:rPr>
                <w:rFonts w:ascii="Times" w:eastAsia="Times New Roman" w:hAnsi="Times" w:cs="Times"/>
                <w:color w:val="000000"/>
                <w:sz w:val="18"/>
                <w:szCs w:val="18"/>
                <w:lang w:eastAsia="es-HN"/>
              </w:rPr>
            </w:pPr>
            <w:r w:rsidRPr="006A1A18">
              <w:rPr>
                <w:rFonts w:ascii="Times" w:eastAsia="Times New Roman" w:hAnsi="Times" w:cs="Times"/>
                <w:color w:val="000000"/>
                <w:sz w:val="18"/>
                <w:szCs w:val="18"/>
                <w:lang w:eastAsia="es-HN"/>
              </w:rPr>
              <w:t>&lt; 1</w:t>
            </w:r>
          </w:p>
        </w:tc>
        <w:tc>
          <w:tcPr>
            <w:tcW w:w="1406" w:type="dxa"/>
            <w:tcBorders>
              <w:top w:val="nil"/>
              <w:left w:val="nil"/>
              <w:bottom w:val="single" w:sz="4" w:space="0" w:color="auto"/>
              <w:right w:val="single" w:sz="4" w:space="0" w:color="auto"/>
            </w:tcBorders>
            <w:shd w:val="clear" w:color="auto" w:fill="auto"/>
            <w:vAlign w:val="center"/>
            <w:hideMark/>
          </w:tcPr>
          <w:p w14:paraId="64B0F0AC" w14:textId="77777777" w:rsidR="006A1A18" w:rsidRPr="006A1A18" w:rsidRDefault="006A1A18" w:rsidP="006A1A18">
            <w:pPr>
              <w:widowControl/>
              <w:jc w:val="center"/>
              <w:rPr>
                <w:rFonts w:ascii="Times" w:eastAsia="Times New Roman" w:hAnsi="Times" w:cs="Times"/>
                <w:color w:val="000000"/>
                <w:sz w:val="18"/>
                <w:szCs w:val="18"/>
                <w:lang w:eastAsia="es-HN"/>
              </w:rPr>
            </w:pPr>
            <w:r w:rsidRPr="006A1A18">
              <w:rPr>
                <w:rFonts w:ascii="Times" w:eastAsia="Times New Roman" w:hAnsi="Times" w:cs="Times"/>
                <w:color w:val="000000"/>
                <w:sz w:val="18"/>
                <w:szCs w:val="18"/>
                <w:lang w:eastAsia="es-HN"/>
              </w:rPr>
              <w:t>Efectivo/Pasivo Corriente</w:t>
            </w:r>
          </w:p>
        </w:tc>
        <w:tc>
          <w:tcPr>
            <w:tcW w:w="884" w:type="dxa"/>
            <w:tcBorders>
              <w:top w:val="nil"/>
              <w:left w:val="nil"/>
              <w:bottom w:val="single" w:sz="4" w:space="0" w:color="auto"/>
              <w:right w:val="single" w:sz="4" w:space="0" w:color="auto"/>
            </w:tcBorders>
            <w:shd w:val="clear" w:color="000000" w:fill="00B050"/>
            <w:noWrap/>
            <w:vAlign w:val="center"/>
            <w:hideMark/>
          </w:tcPr>
          <w:p w14:paraId="730DCFF2" w14:textId="77777777" w:rsidR="006A1A18" w:rsidRPr="006A1A18" w:rsidRDefault="006A1A18" w:rsidP="006A1A18">
            <w:pPr>
              <w:widowControl/>
              <w:jc w:val="center"/>
              <w:rPr>
                <w:rFonts w:ascii="Times" w:eastAsia="Times New Roman" w:hAnsi="Times" w:cs="Times"/>
                <w:color w:val="000000"/>
                <w:sz w:val="18"/>
                <w:szCs w:val="18"/>
                <w:lang w:eastAsia="es-HN"/>
              </w:rPr>
            </w:pPr>
            <w:r w:rsidRPr="006A1A18">
              <w:rPr>
                <w:rFonts w:ascii="Times" w:eastAsia="Times New Roman" w:hAnsi="Times" w:cs="Times"/>
                <w:color w:val="000000"/>
                <w:sz w:val="18"/>
                <w:szCs w:val="18"/>
                <w:lang w:eastAsia="es-HN"/>
              </w:rPr>
              <w:t>0.2</w:t>
            </w:r>
          </w:p>
        </w:tc>
        <w:tc>
          <w:tcPr>
            <w:tcW w:w="884" w:type="dxa"/>
            <w:tcBorders>
              <w:top w:val="nil"/>
              <w:left w:val="nil"/>
              <w:bottom w:val="single" w:sz="4" w:space="0" w:color="auto"/>
              <w:right w:val="single" w:sz="4" w:space="0" w:color="auto"/>
            </w:tcBorders>
            <w:shd w:val="clear" w:color="000000" w:fill="FFFF00"/>
            <w:noWrap/>
            <w:vAlign w:val="center"/>
            <w:hideMark/>
          </w:tcPr>
          <w:p w14:paraId="73EF7278" w14:textId="77777777" w:rsidR="006A1A18" w:rsidRPr="006A1A18" w:rsidRDefault="006A1A18" w:rsidP="006A1A18">
            <w:pPr>
              <w:widowControl/>
              <w:jc w:val="center"/>
              <w:rPr>
                <w:rFonts w:ascii="Times" w:eastAsia="Times New Roman" w:hAnsi="Times" w:cs="Times"/>
                <w:color w:val="000000"/>
                <w:sz w:val="18"/>
                <w:szCs w:val="18"/>
                <w:lang w:eastAsia="es-HN"/>
              </w:rPr>
            </w:pPr>
            <w:r w:rsidRPr="006A1A18">
              <w:rPr>
                <w:rFonts w:ascii="Times" w:eastAsia="Times New Roman" w:hAnsi="Times" w:cs="Times"/>
                <w:color w:val="000000"/>
                <w:sz w:val="18"/>
                <w:szCs w:val="18"/>
                <w:lang w:eastAsia="es-HN"/>
              </w:rPr>
              <w:t>0.3</w:t>
            </w:r>
          </w:p>
        </w:tc>
        <w:tc>
          <w:tcPr>
            <w:tcW w:w="810" w:type="dxa"/>
            <w:tcBorders>
              <w:top w:val="nil"/>
              <w:left w:val="nil"/>
              <w:bottom w:val="single" w:sz="4" w:space="0" w:color="auto"/>
              <w:right w:val="single" w:sz="4" w:space="0" w:color="auto"/>
            </w:tcBorders>
            <w:shd w:val="clear" w:color="000000" w:fill="FF0000"/>
            <w:noWrap/>
            <w:vAlign w:val="center"/>
            <w:hideMark/>
          </w:tcPr>
          <w:p w14:paraId="440753AA" w14:textId="77777777" w:rsidR="006A1A18" w:rsidRPr="006A1A18" w:rsidRDefault="006A1A18" w:rsidP="006A1A18">
            <w:pPr>
              <w:widowControl/>
              <w:jc w:val="center"/>
              <w:rPr>
                <w:rFonts w:ascii="Times" w:eastAsia="Times New Roman" w:hAnsi="Times" w:cs="Times"/>
                <w:color w:val="000000"/>
                <w:sz w:val="18"/>
                <w:szCs w:val="18"/>
                <w:lang w:eastAsia="es-HN"/>
              </w:rPr>
            </w:pPr>
            <w:r w:rsidRPr="006A1A18">
              <w:rPr>
                <w:rFonts w:ascii="Times" w:eastAsia="Times New Roman" w:hAnsi="Times" w:cs="Times"/>
                <w:color w:val="000000"/>
                <w:sz w:val="18"/>
                <w:szCs w:val="18"/>
                <w:lang w:eastAsia="es-HN"/>
              </w:rPr>
              <w:t>0.1</w:t>
            </w:r>
          </w:p>
        </w:tc>
        <w:tc>
          <w:tcPr>
            <w:tcW w:w="884" w:type="dxa"/>
            <w:tcBorders>
              <w:top w:val="nil"/>
              <w:left w:val="nil"/>
              <w:bottom w:val="single" w:sz="4" w:space="0" w:color="auto"/>
              <w:right w:val="single" w:sz="4" w:space="0" w:color="auto"/>
            </w:tcBorders>
            <w:shd w:val="clear" w:color="000000" w:fill="FFFF00"/>
            <w:noWrap/>
            <w:vAlign w:val="center"/>
            <w:hideMark/>
          </w:tcPr>
          <w:p w14:paraId="68217427" w14:textId="77777777" w:rsidR="006A1A18" w:rsidRPr="006A1A18" w:rsidRDefault="006A1A18" w:rsidP="006A1A18">
            <w:pPr>
              <w:widowControl/>
              <w:jc w:val="center"/>
              <w:rPr>
                <w:rFonts w:ascii="Times" w:eastAsia="Times New Roman" w:hAnsi="Times" w:cs="Times"/>
                <w:color w:val="000000"/>
                <w:sz w:val="18"/>
                <w:szCs w:val="18"/>
                <w:lang w:eastAsia="es-HN"/>
              </w:rPr>
            </w:pPr>
            <w:r w:rsidRPr="006A1A18">
              <w:rPr>
                <w:rFonts w:ascii="Times" w:eastAsia="Times New Roman" w:hAnsi="Times" w:cs="Times"/>
                <w:color w:val="000000"/>
                <w:sz w:val="18"/>
                <w:szCs w:val="18"/>
                <w:lang w:eastAsia="es-HN"/>
              </w:rPr>
              <w:t>0.3</w:t>
            </w:r>
          </w:p>
        </w:tc>
        <w:tc>
          <w:tcPr>
            <w:tcW w:w="884" w:type="dxa"/>
            <w:tcBorders>
              <w:top w:val="nil"/>
              <w:left w:val="nil"/>
              <w:bottom w:val="single" w:sz="4" w:space="0" w:color="auto"/>
              <w:right w:val="single" w:sz="4" w:space="0" w:color="auto"/>
            </w:tcBorders>
            <w:shd w:val="clear" w:color="000000" w:fill="FF0000"/>
            <w:noWrap/>
            <w:vAlign w:val="center"/>
            <w:hideMark/>
          </w:tcPr>
          <w:p w14:paraId="6671DC60" w14:textId="77777777" w:rsidR="006A1A18" w:rsidRPr="006A1A18" w:rsidRDefault="006A1A18" w:rsidP="006A1A18">
            <w:pPr>
              <w:widowControl/>
              <w:jc w:val="center"/>
              <w:rPr>
                <w:rFonts w:ascii="Times" w:eastAsia="Times New Roman" w:hAnsi="Times" w:cs="Times"/>
                <w:color w:val="000000"/>
                <w:sz w:val="18"/>
                <w:szCs w:val="18"/>
                <w:lang w:eastAsia="es-HN"/>
              </w:rPr>
            </w:pPr>
            <w:r w:rsidRPr="006A1A18">
              <w:rPr>
                <w:rFonts w:ascii="Times" w:eastAsia="Times New Roman" w:hAnsi="Times" w:cs="Times"/>
                <w:color w:val="000000"/>
                <w:sz w:val="18"/>
                <w:szCs w:val="18"/>
                <w:lang w:eastAsia="es-HN"/>
              </w:rPr>
              <w:t>0.1</w:t>
            </w:r>
          </w:p>
        </w:tc>
      </w:tr>
      <w:tr w:rsidR="006A1A18" w:rsidRPr="006A1A18" w14:paraId="6F3EB3AD" w14:textId="77777777" w:rsidTr="00AE1556">
        <w:trPr>
          <w:trHeight w:val="416"/>
        </w:trPr>
        <w:tc>
          <w:tcPr>
            <w:tcW w:w="1117" w:type="dxa"/>
            <w:tcBorders>
              <w:top w:val="nil"/>
              <w:left w:val="single" w:sz="4" w:space="0" w:color="auto"/>
              <w:bottom w:val="single" w:sz="4" w:space="0" w:color="auto"/>
              <w:right w:val="single" w:sz="4" w:space="0" w:color="auto"/>
            </w:tcBorders>
            <w:shd w:val="clear" w:color="auto" w:fill="auto"/>
            <w:vAlign w:val="center"/>
            <w:hideMark/>
          </w:tcPr>
          <w:p w14:paraId="23143727" w14:textId="77777777" w:rsidR="006A1A18" w:rsidRPr="006A1A18" w:rsidRDefault="006A1A18" w:rsidP="006A1A18">
            <w:pPr>
              <w:widowControl/>
              <w:jc w:val="center"/>
              <w:rPr>
                <w:rFonts w:ascii="Times" w:eastAsia="Times New Roman" w:hAnsi="Times" w:cs="Times"/>
                <w:color w:val="000000"/>
                <w:sz w:val="18"/>
                <w:szCs w:val="18"/>
                <w:lang w:eastAsia="es-HN"/>
              </w:rPr>
            </w:pPr>
            <w:r w:rsidRPr="006A1A18">
              <w:rPr>
                <w:rFonts w:ascii="Times" w:eastAsia="Times New Roman" w:hAnsi="Times" w:cs="Times"/>
                <w:color w:val="000000"/>
                <w:sz w:val="18"/>
                <w:szCs w:val="18"/>
                <w:lang w:eastAsia="es-HN"/>
              </w:rPr>
              <w:t>Capital de Trabajo</w:t>
            </w:r>
          </w:p>
        </w:tc>
        <w:tc>
          <w:tcPr>
            <w:tcW w:w="786" w:type="dxa"/>
            <w:tcBorders>
              <w:top w:val="nil"/>
              <w:left w:val="nil"/>
              <w:bottom w:val="single" w:sz="4" w:space="0" w:color="auto"/>
              <w:right w:val="single" w:sz="4" w:space="0" w:color="auto"/>
            </w:tcBorders>
            <w:shd w:val="clear" w:color="000000" w:fill="00B050"/>
            <w:noWrap/>
            <w:vAlign w:val="center"/>
            <w:hideMark/>
          </w:tcPr>
          <w:p w14:paraId="59949AE0" w14:textId="77777777" w:rsidR="006A1A18" w:rsidRPr="006A1A18" w:rsidRDefault="006A1A18" w:rsidP="006A1A18">
            <w:pPr>
              <w:widowControl/>
              <w:jc w:val="center"/>
              <w:rPr>
                <w:rFonts w:ascii="Times" w:eastAsia="Times New Roman" w:hAnsi="Times" w:cs="Times"/>
                <w:color w:val="000000"/>
                <w:sz w:val="18"/>
                <w:szCs w:val="18"/>
                <w:lang w:eastAsia="es-HN"/>
              </w:rPr>
            </w:pPr>
            <w:r w:rsidRPr="006A1A18">
              <w:rPr>
                <w:rFonts w:ascii="Times" w:eastAsia="Times New Roman" w:hAnsi="Times" w:cs="Times"/>
                <w:color w:val="000000"/>
                <w:sz w:val="18"/>
                <w:szCs w:val="18"/>
                <w:lang w:eastAsia="es-HN"/>
              </w:rPr>
              <w:t>&gt; = 1</w:t>
            </w:r>
          </w:p>
        </w:tc>
        <w:tc>
          <w:tcPr>
            <w:tcW w:w="910" w:type="dxa"/>
            <w:tcBorders>
              <w:top w:val="nil"/>
              <w:left w:val="nil"/>
              <w:bottom w:val="single" w:sz="4" w:space="0" w:color="auto"/>
              <w:right w:val="single" w:sz="4" w:space="0" w:color="auto"/>
            </w:tcBorders>
            <w:shd w:val="clear" w:color="000000" w:fill="FFFF00"/>
            <w:noWrap/>
            <w:vAlign w:val="center"/>
            <w:hideMark/>
          </w:tcPr>
          <w:p w14:paraId="350656B2" w14:textId="77777777" w:rsidR="006A1A18" w:rsidRPr="006A1A18" w:rsidRDefault="006A1A18" w:rsidP="006A1A18">
            <w:pPr>
              <w:widowControl/>
              <w:jc w:val="center"/>
              <w:rPr>
                <w:rFonts w:ascii="Times" w:eastAsia="Times New Roman" w:hAnsi="Times" w:cs="Times"/>
                <w:color w:val="000000"/>
                <w:sz w:val="18"/>
                <w:szCs w:val="18"/>
                <w:lang w:eastAsia="es-HN"/>
              </w:rPr>
            </w:pPr>
            <w:r w:rsidRPr="006A1A18">
              <w:rPr>
                <w:rFonts w:ascii="Times" w:eastAsia="Times New Roman" w:hAnsi="Times" w:cs="Times"/>
                <w:color w:val="000000"/>
                <w:sz w:val="18"/>
                <w:szCs w:val="18"/>
                <w:lang w:eastAsia="es-HN"/>
              </w:rPr>
              <w:t>1</w:t>
            </w:r>
          </w:p>
        </w:tc>
        <w:tc>
          <w:tcPr>
            <w:tcW w:w="785" w:type="dxa"/>
            <w:tcBorders>
              <w:top w:val="nil"/>
              <w:left w:val="nil"/>
              <w:bottom w:val="single" w:sz="4" w:space="0" w:color="auto"/>
              <w:right w:val="single" w:sz="4" w:space="0" w:color="auto"/>
            </w:tcBorders>
            <w:shd w:val="clear" w:color="000000" w:fill="FF0000"/>
            <w:noWrap/>
            <w:vAlign w:val="center"/>
            <w:hideMark/>
          </w:tcPr>
          <w:p w14:paraId="4F38C3E7" w14:textId="77777777" w:rsidR="006A1A18" w:rsidRPr="006A1A18" w:rsidRDefault="006A1A18" w:rsidP="006A1A18">
            <w:pPr>
              <w:widowControl/>
              <w:jc w:val="center"/>
              <w:rPr>
                <w:rFonts w:ascii="Times" w:eastAsia="Times New Roman" w:hAnsi="Times" w:cs="Times"/>
                <w:color w:val="000000"/>
                <w:sz w:val="18"/>
                <w:szCs w:val="18"/>
                <w:lang w:eastAsia="es-HN"/>
              </w:rPr>
            </w:pPr>
            <w:r w:rsidRPr="006A1A18">
              <w:rPr>
                <w:rFonts w:ascii="Times" w:eastAsia="Times New Roman" w:hAnsi="Times" w:cs="Times"/>
                <w:color w:val="000000"/>
                <w:sz w:val="18"/>
                <w:szCs w:val="18"/>
                <w:lang w:eastAsia="es-HN"/>
              </w:rPr>
              <w:t>&lt; 1</w:t>
            </w:r>
          </w:p>
        </w:tc>
        <w:tc>
          <w:tcPr>
            <w:tcW w:w="1406" w:type="dxa"/>
            <w:tcBorders>
              <w:top w:val="nil"/>
              <w:left w:val="nil"/>
              <w:bottom w:val="single" w:sz="4" w:space="0" w:color="auto"/>
              <w:right w:val="single" w:sz="4" w:space="0" w:color="auto"/>
            </w:tcBorders>
            <w:shd w:val="clear" w:color="auto" w:fill="auto"/>
            <w:vAlign w:val="center"/>
            <w:hideMark/>
          </w:tcPr>
          <w:p w14:paraId="4FC05B92" w14:textId="77777777" w:rsidR="006A1A18" w:rsidRPr="006A1A18" w:rsidRDefault="006A1A18" w:rsidP="006A1A18">
            <w:pPr>
              <w:widowControl/>
              <w:jc w:val="center"/>
              <w:rPr>
                <w:rFonts w:ascii="Times" w:eastAsia="Times New Roman" w:hAnsi="Times" w:cs="Times"/>
                <w:color w:val="000000"/>
                <w:sz w:val="18"/>
                <w:szCs w:val="18"/>
                <w:lang w:eastAsia="es-HN"/>
              </w:rPr>
            </w:pPr>
            <w:r w:rsidRPr="006A1A18">
              <w:rPr>
                <w:rFonts w:ascii="Times" w:eastAsia="Times New Roman" w:hAnsi="Times" w:cs="Times"/>
                <w:color w:val="000000"/>
                <w:sz w:val="18"/>
                <w:szCs w:val="18"/>
                <w:lang w:eastAsia="es-HN"/>
              </w:rPr>
              <w:t xml:space="preserve">Activo Corriente - Pasivo Corriente </w:t>
            </w:r>
          </w:p>
        </w:tc>
        <w:tc>
          <w:tcPr>
            <w:tcW w:w="884" w:type="dxa"/>
            <w:tcBorders>
              <w:top w:val="nil"/>
              <w:left w:val="nil"/>
              <w:bottom w:val="single" w:sz="4" w:space="0" w:color="auto"/>
              <w:right w:val="single" w:sz="4" w:space="0" w:color="auto"/>
            </w:tcBorders>
            <w:shd w:val="clear" w:color="000000" w:fill="00B050"/>
            <w:noWrap/>
            <w:vAlign w:val="center"/>
            <w:hideMark/>
          </w:tcPr>
          <w:p w14:paraId="2185C409" w14:textId="77777777" w:rsidR="006A1A18" w:rsidRPr="006A1A18" w:rsidRDefault="006A1A18" w:rsidP="006A1A18">
            <w:pPr>
              <w:widowControl/>
              <w:jc w:val="center"/>
              <w:rPr>
                <w:rFonts w:ascii="Times" w:eastAsia="Times New Roman" w:hAnsi="Times" w:cs="Times"/>
                <w:color w:val="000000"/>
                <w:sz w:val="18"/>
                <w:szCs w:val="18"/>
                <w:lang w:eastAsia="es-HN"/>
              </w:rPr>
            </w:pPr>
            <w:r w:rsidRPr="006A1A18">
              <w:rPr>
                <w:rFonts w:ascii="Times" w:eastAsia="Times New Roman" w:hAnsi="Times" w:cs="Times"/>
                <w:color w:val="000000"/>
                <w:sz w:val="18"/>
                <w:szCs w:val="18"/>
                <w:lang w:eastAsia="es-HN"/>
              </w:rPr>
              <w:t xml:space="preserve">  474,205,854 </w:t>
            </w:r>
          </w:p>
        </w:tc>
        <w:tc>
          <w:tcPr>
            <w:tcW w:w="884" w:type="dxa"/>
            <w:tcBorders>
              <w:top w:val="nil"/>
              <w:left w:val="nil"/>
              <w:bottom w:val="single" w:sz="4" w:space="0" w:color="auto"/>
              <w:right w:val="single" w:sz="4" w:space="0" w:color="auto"/>
            </w:tcBorders>
            <w:shd w:val="clear" w:color="000000" w:fill="00B050"/>
            <w:noWrap/>
            <w:vAlign w:val="center"/>
            <w:hideMark/>
          </w:tcPr>
          <w:p w14:paraId="23BE5880" w14:textId="77777777" w:rsidR="006A1A18" w:rsidRPr="006A1A18" w:rsidRDefault="006A1A18" w:rsidP="006A1A18">
            <w:pPr>
              <w:widowControl/>
              <w:jc w:val="center"/>
              <w:rPr>
                <w:rFonts w:ascii="Times" w:eastAsia="Times New Roman" w:hAnsi="Times" w:cs="Times"/>
                <w:color w:val="000000"/>
                <w:sz w:val="18"/>
                <w:szCs w:val="18"/>
                <w:lang w:eastAsia="es-HN"/>
              </w:rPr>
            </w:pPr>
            <w:r w:rsidRPr="006A1A18">
              <w:rPr>
                <w:rFonts w:ascii="Times" w:eastAsia="Times New Roman" w:hAnsi="Times" w:cs="Times"/>
                <w:color w:val="000000"/>
                <w:sz w:val="18"/>
                <w:szCs w:val="18"/>
                <w:lang w:eastAsia="es-HN"/>
              </w:rPr>
              <w:t xml:space="preserve">  194,869,487 </w:t>
            </w:r>
          </w:p>
        </w:tc>
        <w:tc>
          <w:tcPr>
            <w:tcW w:w="810" w:type="dxa"/>
            <w:tcBorders>
              <w:top w:val="nil"/>
              <w:left w:val="nil"/>
              <w:bottom w:val="single" w:sz="4" w:space="0" w:color="auto"/>
              <w:right w:val="single" w:sz="4" w:space="0" w:color="auto"/>
            </w:tcBorders>
            <w:shd w:val="clear" w:color="000000" w:fill="00B050"/>
            <w:noWrap/>
            <w:vAlign w:val="center"/>
            <w:hideMark/>
          </w:tcPr>
          <w:p w14:paraId="5855E810" w14:textId="77777777" w:rsidR="006A1A18" w:rsidRPr="006A1A18" w:rsidRDefault="006A1A18" w:rsidP="006A1A18">
            <w:pPr>
              <w:widowControl/>
              <w:jc w:val="center"/>
              <w:rPr>
                <w:rFonts w:ascii="Times" w:eastAsia="Times New Roman" w:hAnsi="Times" w:cs="Times"/>
                <w:color w:val="000000"/>
                <w:sz w:val="18"/>
                <w:szCs w:val="18"/>
                <w:lang w:eastAsia="es-HN"/>
              </w:rPr>
            </w:pPr>
            <w:r w:rsidRPr="006A1A18">
              <w:rPr>
                <w:rFonts w:ascii="Times" w:eastAsia="Times New Roman" w:hAnsi="Times" w:cs="Times"/>
                <w:color w:val="000000"/>
                <w:sz w:val="18"/>
                <w:szCs w:val="18"/>
                <w:lang w:eastAsia="es-HN"/>
              </w:rPr>
              <w:t xml:space="preserve">  70,679,840 </w:t>
            </w:r>
          </w:p>
        </w:tc>
        <w:tc>
          <w:tcPr>
            <w:tcW w:w="884" w:type="dxa"/>
            <w:tcBorders>
              <w:top w:val="nil"/>
              <w:left w:val="nil"/>
              <w:bottom w:val="single" w:sz="4" w:space="0" w:color="auto"/>
              <w:right w:val="single" w:sz="4" w:space="0" w:color="auto"/>
            </w:tcBorders>
            <w:shd w:val="clear" w:color="000000" w:fill="00B050"/>
            <w:noWrap/>
            <w:vAlign w:val="center"/>
            <w:hideMark/>
          </w:tcPr>
          <w:p w14:paraId="72B4852D" w14:textId="77777777" w:rsidR="006A1A18" w:rsidRPr="006A1A18" w:rsidRDefault="006A1A18" w:rsidP="006A1A18">
            <w:pPr>
              <w:widowControl/>
              <w:jc w:val="center"/>
              <w:rPr>
                <w:rFonts w:ascii="Times" w:eastAsia="Times New Roman" w:hAnsi="Times" w:cs="Times"/>
                <w:color w:val="000000"/>
                <w:sz w:val="18"/>
                <w:szCs w:val="18"/>
                <w:lang w:eastAsia="es-HN"/>
              </w:rPr>
            </w:pPr>
            <w:r w:rsidRPr="006A1A18">
              <w:rPr>
                <w:rFonts w:ascii="Times" w:eastAsia="Times New Roman" w:hAnsi="Times" w:cs="Times"/>
                <w:color w:val="000000"/>
                <w:sz w:val="18"/>
                <w:szCs w:val="18"/>
                <w:lang w:eastAsia="es-HN"/>
              </w:rPr>
              <w:t xml:space="preserve">  156,805,477 </w:t>
            </w:r>
          </w:p>
        </w:tc>
        <w:tc>
          <w:tcPr>
            <w:tcW w:w="884" w:type="dxa"/>
            <w:tcBorders>
              <w:top w:val="nil"/>
              <w:left w:val="nil"/>
              <w:bottom w:val="single" w:sz="4" w:space="0" w:color="auto"/>
              <w:right w:val="single" w:sz="4" w:space="0" w:color="auto"/>
            </w:tcBorders>
            <w:shd w:val="clear" w:color="000000" w:fill="00B050"/>
            <w:noWrap/>
            <w:vAlign w:val="center"/>
            <w:hideMark/>
          </w:tcPr>
          <w:p w14:paraId="1266079C" w14:textId="77777777" w:rsidR="006A1A18" w:rsidRPr="006A1A18" w:rsidRDefault="006A1A18" w:rsidP="006A1A18">
            <w:pPr>
              <w:widowControl/>
              <w:jc w:val="center"/>
              <w:rPr>
                <w:rFonts w:ascii="Times" w:eastAsia="Times New Roman" w:hAnsi="Times" w:cs="Times"/>
                <w:color w:val="000000"/>
                <w:sz w:val="18"/>
                <w:szCs w:val="18"/>
                <w:lang w:eastAsia="es-HN"/>
              </w:rPr>
            </w:pPr>
            <w:r w:rsidRPr="006A1A18">
              <w:rPr>
                <w:rFonts w:ascii="Times" w:eastAsia="Times New Roman" w:hAnsi="Times" w:cs="Times"/>
                <w:color w:val="000000"/>
                <w:sz w:val="18"/>
                <w:szCs w:val="18"/>
                <w:lang w:eastAsia="es-HN"/>
              </w:rPr>
              <w:t xml:space="preserve">  129,702,150 </w:t>
            </w:r>
          </w:p>
        </w:tc>
      </w:tr>
      <w:tr w:rsidR="006A1A18" w:rsidRPr="006A1A18" w14:paraId="171628A0" w14:textId="77777777" w:rsidTr="00AE1556">
        <w:trPr>
          <w:trHeight w:val="416"/>
        </w:trPr>
        <w:tc>
          <w:tcPr>
            <w:tcW w:w="1117" w:type="dxa"/>
            <w:tcBorders>
              <w:top w:val="nil"/>
              <w:left w:val="single" w:sz="4" w:space="0" w:color="auto"/>
              <w:bottom w:val="single" w:sz="4" w:space="0" w:color="auto"/>
              <w:right w:val="single" w:sz="4" w:space="0" w:color="auto"/>
            </w:tcBorders>
            <w:shd w:val="clear" w:color="auto" w:fill="auto"/>
            <w:vAlign w:val="center"/>
            <w:hideMark/>
          </w:tcPr>
          <w:p w14:paraId="537FE30A" w14:textId="77777777" w:rsidR="006A1A18" w:rsidRPr="006A1A18" w:rsidRDefault="006A1A18" w:rsidP="006A1A18">
            <w:pPr>
              <w:widowControl/>
              <w:jc w:val="center"/>
              <w:rPr>
                <w:rFonts w:ascii="Times" w:eastAsia="Times New Roman" w:hAnsi="Times" w:cs="Times"/>
                <w:color w:val="000000"/>
                <w:sz w:val="18"/>
                <w:szCs w:val="18"/>
                <w:lang w:eastAsia="es-HN"/>
              </w:rPr>
            </w:pPr>
            <w:r w:rsidRPr="006A1A18">
              <w:rPr>
                <w:rFonts w:ascii="Times" w:eastAsia="Times New Roman" w:hAnsi="Times" w:cs="Times"/>
                <w:color w:val="000000"/>
                <w:sz w:val="18"/>
                <w:szCs w:val="18"/>
                <w:lang w:eastAsia="es-HN"/>
              </w:rPr>
              <w:t xml:space="preserve">Ratio de Endeudamiento </w:t>
            </w:r>
          </w:p>
        </w:tc>
        <w:tc>
          <w:tcPr>
            <w:tcW w:w="786" w:type="dxa"/>
            <w:tcBorders>
              <w:top w:val="nil"/>
              <w:left w:val="nil"/>
              <w:bottom w:val="single" w:sz="4" w:space="0" w:color="auto"/>
              <w:right w:val="single" w:sz="4" w:space="0" w:color="auto"/>
            </w:tcBorders>
            <w:shd w:val="clear" w:color="000000" w:fill="00B050"/>
            <w:noWrap/>
            <w:vAlign w:val="center"/>
            <w:hideMark/>
          </w:tcPr>
          <w:p w14:paraId="6C35E5C0" w14:textId="77777777" w:rsidR="006A1A18" w:rsidRPr="006A1A18" w:rsidRDefault="006A1A18" w:rsidP="006A1A18">
            <w:pPr>
              <w:widowControl/>
              <w:jc w:val="center"/>
              <w:rPr>
                <w:rFonts w:ascii="Times" w:eastAsia="Times New Roman" w:hAnsi="Times" w:cs="Times"/>
                <w:color w:val="000000"/>
                <w:sz w:val="18"/>
                <w:szCs w:val="18"/>
                <w:lang w:eastAsia="es-HN"/>
              </w:rPr>
            </w:pPr>
            <w:r w:rsidRPr="006A1A18">
              <w:rPr>
                <w:rFonts w:ascii="Times" w:eastAsia="Times New Roman" w:hAnsi="Times" w:cs="Times"/>
                <w:color w:val="000000"/>
                <w:sz w:val="18"/>
                <w:szCs w:val="18"/>
                <w:lang w:eastAsia="es-HN"/>
              </w:rPr>
              <w:t>&lt; 5</w:t>
            </w:r>
          </w:p>
        </w:tc>
        <w:tc>
          <w:tcPr>
            <w:tcW w:w="910" w:type="dxa"/>
            <w:tcBorders>
              <w:top w:val="nil"/>
              <w:left w:val="nil"/>
              <w:bottom w:val="single" w:sz="4" w:space="0" w:color="auto"/>
              <w:right w:val="single" w:sz="4" w:space="0" w:color="auto"/>
            </w:tcBorders>
            <w:shd w:val="clear" w:color="000000" w:fill="FFFF00"/>
            <w:noWrap/>
            <w:vAlign w:val="center"/>
            <w:hideMark/>
          </w:tcPr>
          <w:p w14:paraId="6ABBDEE6" w14:textId="77777777" w:rsidR="006A1A18" w:rsidRPr="006A1A18" w:rsidRDefault="006A1A18" w:rsidP="006A1A18">
            <w:pPr>
              <w:widowControl/>
              <w:jc w:val="center"/>
              <w:rPr>
                <w:rFonts w:ascii="Times" w:eastAsia="Times New Roman" w:hAnsi="Times" w:cs="Times"/>
                <w:color w:val="000000"/>
                <w:sz w:val="18"/>
                <w:szCs w:val="18"/>
                <w:lang w:eastAsia="es-HN"/>
              </w:rPr>
            </w:pPr>
            <w:r w:rsidRPr="006A1A18">
              <w:rPr>
                <w:rFonts w:ascii="Times" w:eastAsia="Times New Roman" w:hAnsi="Times" w:cs="Times"/>
                <w:color w:val="000000"/>
                <w:sz w:val="18"/>
                <w:szCs w:val="18"/>
                <w:lang w:eastAsia="es-HN"/>
              </w:rPr>
              <w:t xml:space="preserve"> = 5</w:t>
            </w:r>
          </w:p>
        </w:tc>
        <w:tc>
          <w:tcPr>
            <w:tcW w:w="785" w:type="dxa"/>
            <w:tcBorders>
              <w:top w:val="nil"/>
              <w:left w:val="nil"/>
              <w:bottom w:val="single" w:sz="4" w:space="0" w:color="auto"/>
              <w:right w:val="single" w:sz="4" w:space="0" w:color="auto"/>
            </w:tcBorders>
            <w:shd w:val="clear" w:color="000000" w:fill="FF0000"/>
            <w:noWrap/>
            <w:vAlign w:val="center"/>
            <w:hideMark/>
          </w:tcPr>
          <w:p w14:paraId="446309FA" w14:textId="77777777" w:rsidR="006A1A18" w:rsidRPr="006A1A18" w:rsidRDefault="006A1A18" w:rsidP="006A1A18">
            <w:pPr>
              <w:widowControl/>
              <w:jc w:val="center"/>
              <w:rPr>
                <w:rFonts w:ascii="Times" w:eastAsia="Times New Roman" w:hAnsi="Times" w:cs="Times"/>
                <w:color w:val="000000"/>
                <w:sz w:val="18"/>
                <w:szCs w:val="18"/>
                <w:lang w:eastAsia="es-HN"/>
              </w:rPr>
            </w:pPr>
            <w:r w:rsidRPr="006A1A18">
              <w:rPr>
                <w:rFonts w:ascii="Times" w:eastAsia="Times New Roman" w:hAnsi="Times" w:cs="Times"/>
                <w:color w:val="000000"/>
                <w:sz w:val="18"/>
                <w:szCs w:val="18"/>
                <w:lang w:eastAsia="es-HN"/>
              </w:rPr>
              <w:t>&gt; 5</w:t>
            </w:r>
          </w:p>
        </w:tc>
        <w:tc>
          <w:tcPr>
            <w:tcW w:w="1406" w:type="dxa"/>
            <w:tcBorders>
              <w:top w:val="nil"/>
              <w:left w:val="nil"/>
              <w:bottom w:val="single" w:sz="4" w:space="0" w:color="auto"/>
              <w:right w:val="single" w:sz="4" w:space="0" w:color="auto"/>
            </w:tcBorders>
            <w:shd w:val="clear" w:color="auto" w:fill="auto"/>
            <w:vAlign w:val="center"/>
            <w:hideMark/>
          </w:tcPr>
          <w:p w14:paraId="26828F4B" w14:textId="77777777" w:rsidR="006A1A18" w:rsidRPr="006A1A18" w:rsidRDefault="006A1A18" w:rsidP="006A1A18">
            <w:pPr>
              <w:widowControl/>
              <w:jc w:val="center"/>
              <w:rPr>
                <w:rFonts w:ascii="Times" w:eastAsia="Times New Roman" w:hAnsi="Times" w:cs="Times"/>
                <w:color w:val="000000"/>
                <w:sz w:val="18"/>
                <w:szCs w:val="18"/>
                <w:lang w:eastAsia="es-HN"/>
              </w:rPr>
            </w:pPr>
            <w:r w:rsidRPr="006A1A18">
              <w:rPr>
                <w:rFonts w:ascii="Times" w:eastAsia="Times New Roman" w:hAnsi="Times" w:cs="Times"/>
                <w:color w:val="000000"/>
                <w:sz w:val="18"/>
                <w:szCs w:val="18"/>
                <w:lang w:eastAsia="es-HN"/>
              </w:rPr>
              <w:t>Pasivo/Patrimonio</w:t>
            </w:r>
          </w:p>
        </w:tc>
        <w:tc>
          <w:tcPr>
            <w:tcW w:w="884" w:type="dxa"/>
            <w:tcBorders>
              <w:top w:val="nil"/>
              <w:left w:val="nil"/>
              <w:bottom w:val="single" w:sz="4" w:space="0" w:color="auto"/>
              <w:right w:val="single" w:sz="4" w:space="0" w:color="auto"/>
            </w:tcBorders>
            <w:shd w:val="clear" w:color="000000" w:fill="00B050"/>
            <w:noWrap/>
            <w:vAlign w:val="center"/>
            <w:hideMark/>
          </w:tcPr>
          <w:p w14:paraId="79BFF10E" w14:textId="77777777" w:rsidR="006A1A18" w:rsidRPr="006A1A18" w:rsidRDefault="006A1A18" w:rsidP="006A1A18">
            <w:pPr>
              <w:widowControl/>
              <w:jc w:val="center"/>
              <w:rPr>
                <w:rFonts w:ascii="Times" w:eastAsia="Times New Roman" w:hAnsi="Times" w:cs="Times"/>
                <w:color w:val="000000"/>
                <w:sz w:val="18"/>
                <w:szCs w:val="18"/>
                <w:lang w:eastAsia="es-HN"/>
              </w:rPr>
            </w:pPr>
            <w:r w:rsidRPr="006A1A18">
              <w:rPr>
                <w:rFonts w:ascii="Times" w:eastAsia="Times New Roman" w:hAnsi="Times" w:cs="Times"/>
                <w:color w:val="000000"/>
                <w:sz w:val="18"/>
                <w:szCs w:val="18"/>
                <w:lang w:eastAsia="es-HN"/>
              </w:rPr>
              <w:t>4.4</w:t>
            </w:r>
          </w:p>
        </w:tc>
        <w:tc>
          <w:tcPr>
            <w:tcW w:w="884" w:type="dxa"/>
            <w:tcBorders>
              <w:top w:val="nil"/>
              <w:left w:val="nil"/>
              <w:bottom w:val="single" w:sz="4" w:space="0" w:color="auto"/>
              <w:right w:val="single" w:sz="4" w:space="0" w:color="auto"/>
            </w:tcBorders>
            <w:shd w:val="clear" w:color="000000" w:fill="FF0000"/>
            <w:noWrap/>
            <w:vAlign w:val="center"/>
            <w:hideMark/>
          </w:tcPr>
          <w:p w14:paraId="538FAADC" w14:textId="77777777" w:rsidR="006A1A18" w:rsidRPr="006A1A18" w:rsidRDefault="006A1A18" w:rsidP="006A1A18">
            <w:pPr>
              <w:widowControl/>
              <w:jc w:val="center"/>
              <w:rPr>
                <w:rFonts w:ascii="Times" w:eastAsia="Times New Roman" w:hAnsi="Times" w:cs="Times"/>
                <w:color w:val="000000"/>
                <w:sz w:val="18"/>
                <w:szCs w:val="18"/>
                <w:lang w:eastAsia="es-HN"/>
              </w:rPr>
            </w:pPr>
            <w:r w:rsidRPr="006A1A18">
              <w:rPr>
                <w:rFonts w:ascii="Times" w:eastAsia="Times New Roman" w:hAnsi="Times" w:cs="Times"/>
                <w:color w:val="000000"/>
                <w:sz w:val="18"/>
                <w:szCs w:val="18"/>
                <w:lang w:eastAsia="es-HN"/>
              </w:rPr>
              <w:t>7.1</w:t>
            </w:r>
          </w:p>
        </w:tc>
        <w:tc>
          <w:tcPr>
            <w:tcW w:w="810" w:type="dxa"/>
            <w:tcBorders>
              <w:top w:val="nil"/>
              <w:left w:val="nil"/>
              <w:bottom w:val="single" w:sz="4" w:space="0" w:color="auto"/>
              <w:right w:val="single" w:sz="4" w:space="0" w:color="auto"/>
            </w:tcBorders>
            <w:shd w:val="clear" w:color="000000" w:fill="FF0000"/>
            <w:noWrap/>
            <w:vAlign w:val="center"/>
            <w:hideMark/>
          </w:tcPr>
          <w:p w14:paraId="499A8EAA" w14:textId="77777777" w:rsidR="006A1A18" w:rsidRPr="006A1A18" w:rsidRDefault="006A1A18" w:rsidP="006A1A18">
            <w:pPr>
              <w:widowControl/>
              <w:jc w:val="center"/>
              <w:rPr>
                <w:rFonts w:ascii="Times" w:eastAsia="Times New Roman" w:hAnsi="Times" w:cs="Times"/>
                <w:color w:val="000000"/>
                <w:sz w:val="18"/>
                <w:szCs w:val="18"/>
                <w:lang w:eastAsia="es-HN"/>
              </w:rPr>
            </w:pPr>
            <w:r w:rsidRPr="006A1A18">
              <w:rPr>
                <w:rFonts w:ascii="Times" w:eastAsia="Times New Roman" w:hAnsi="Times" w:cs="Times"/>
                <w:color w:val="000000"/>
                <w:sz w:val="18"/>
                <w:szCs w:val="18"/>
                <w:lang w:eastAsia="es-HN"/>
              </w:rPr>
              <w:t>10.1</w:t>
            </w:r>
          </w:p>
        </w:tc>
        <w:tc>
          <w:tcPr>
            <w:tcW w:w="884" w:type="dxa"/>
            <w:tcBorders>
              <w:top w:val="nil"/>
              <w:left w:val="nil"/>
              <w:bottom w:val="single" w:sz="4" w:space="0" w:color="auto"/>
              <w:right w:val="single" w:sz="4" w:space="0" w:color="auto"/>
            </w:tcBorders>
            <w:shd w:val="clear" w:color="000000" w:fill="00B050"/>
            <w:noWrap/>
            <w:vAlign w:val="center"/>
            <w:hideMark/>
          </w:tcPr>
          <w:p w14:paraId="495FFA4E" w14:textId="77777777" w:rsidR="006A1A18" w:rsidRPr="006A1A18" w:rsidRDefault="006A1A18" w:rsidP="006A1A18">
            <w:pPr>
              <w:widowControl/>
              <w:jc w:val="center"/>
              <w:rPr>
                <w:rFonts w:ascii="Times" w:eastAsia="Times New Roman" w:hAnsi="Times" w:cs="Times"/>
                <w:color w:val="000000"/>
                <w:sz w:val="18"/>
                <w:szCs w:val="18"/>
                <w:lang w:eastAsia="es-HN"/>
              </w:rPr>
            </w:pPr>
            <w:r w:rsidRPr="006A1A18">
              <w:rPr>
                <w:rFonts w:ascii="Times" w:eastAsia="Times New Roman" w:hAnsi="Times" w:cs="Times"/>
                <w:color w:val="000000"/>
                <w:sz w:val="18"/>
                <w:szCs w:val="18"/>
                <w:lang w:eastAsia="es-HN"/>
              </w:rPr>
              <w:t>3.9</w:t>
            </w:r>
          </w:p>
        </w:tc>
        <w:tc>
          <w:tcPr>
            <w:tcW w:w="884" w:type="dxa"/>
            <w:tcBorders>
              <w:top w:val="nil"/>
              <w:left w:val="nil"/>
              <w:bottom w:val="single" w:sz="4" w:space="0" w:color="auto"/>
              <w:right w:val="single" w:sz="4" w:space="0" w:color="auto"/>
            </w:tcBorders>
            <w:shd w:val="clear" w:color="000000" w:fill="00B050"/>
            <w:noWrap/>
            <w:vAlign w:val="center"/>
            <w:hideMark/>
          </w:tcPr>
          <w:p w14:paraId="0212676B" w14:textId="77777777" w:rsidR="006A1A18" w:rsidRPr="006A1A18" w:rsidRDefault="006A1A18" w:rsidP="006A1A18">
            <w:pPr>
              <w:widowControl/>
              <w:jc w:val="center"/>
              <w:rPr>
                <w:rFonts w:ascii="Times" w:eastAsia="Times New Roman" w:hAnsi="Times" w:cs="Times"/>
                <w:color w:val="000000"/>
                <w:sz w:val="18"/>
                <w:szCs w:val="18"/>
                <w:lang w:eastAsia="es-HN"/>
              </w:rPr>
            </w:pPr>
            <w:r w:rsidRPr="006A1A18">
              <w:rPr>
                <w:rFonts w:ascii="Times" w:eastAsia="Times New Roman" w:hAnsi="Times" w:cs="Times"/>
                <w:color w:val="000000"/>
                <w:sz w:val="18"/>
                <w:szCs w:val="18"/>
                <w:lang w:eastAsia="es-HN"/>
              </w:rPr>
              <w:t>4.6</w:t>
            </w:r>
          </w:p>
        </w:tc>
      </w:tr>
      <w:tr w:rsidR="006A1A18" w:rsidRPr="006A1A18" w14:paraId="034A7100" w14:textId="77777777" w:rsidTr="00AE1556">
        <w:trPr>
          <w:trHeight w:val="416"/>
        </w:trPr>
        <w:tc>
          <w:tcPr>
            <w:tcW w:w="1117" w:type="dxa"/>
            <w:tcBorders>
              <w:top w:val="nil"/>
              <w:left w:val="single" w:sz="4" w:space="0" w:color="auto"/>
              <w:bottom w:val="single" w:sz="4" w:space="0" w:color="auto"/>
              <w:right w:val="single" w:sz="4" w:space="0" w:color="auto"/>
            </w:tcBorders>
            <w:shd w:val="clear" w:color="auto" w:fill="auto"/>
            <w:vAlign w:val="center"/>
            <w:hideMark/>
          </w:tcPr>
          <w:p w14:paraId="482130CF" w14:textId="77777777" w:rsidR="006A1A18" w:rsidRPr="006A1A18" w:rsidRDefault="006A1A18" w:rsidP="006A1A18">
            <w:pPr>
              <w:widowControl/>
              <w:jc w:val="center"/>
              <w:rPr>
                <w:rFonts w:ascii="Times" w:eastAsia="Times New Roman" w:hAnsi="Times" w:cs="Times"/>
                <w:color w:val="000000"/>
                <w:sz w:val="18"/>
                <w:szCs w:val="18"/>
                <w:lang w:eastAsia="es-HN"/>
              </w:rPr>
            </w:pPr>
            <w:r w:rsidRPr="006A1A18">
              <w:rPr>
                <w:rFonts w:ascii="Times" w:eastAsia="Times New Roman" w:hAnsi="Times" w:cs="Times"/>
                <w:color w:val="000000"/>
                <w:sz w:val="18"/>
                <w:szCs w:val="18"/>
                <w:lang w:eastAsia="es-HN"/>
              </w:rPr>
              <w:t>Ratio de Endeudamiento L/P</w:t>
            </w:r>
          </w:p>
        </w:tc>
        <w:tc>
          <w:tcPr>
            <w:tcW w:w="786" w:type="dxa"/>
            <w:tcBorders>
              <w:top w:val="nil"/>
              <w:left w:val="nil"/>
              <w:bottom w:val="single" w:sz="4" w:space="0" w:color="auto"/>
              <w:right w:val="single" w:sz="4" w:space="0" w:color="auto"/>
            </w:tcBorders>
            <w:shd w:val="clear" w:color="000000" w:fill="00B050"/>
            <w:noWrap/>
            <w:vAlign w:val="center"/>
            <w:hideMark/>
          </w:tcPr>
          <w:p w14:paraId="3C5A45E6" w14:textId="77777777" w:rsidR="006A1A18" w:rsidRPr="006A1A18" w:rsidRDefault="006A1A18" w:rsidP="006A1A18">
            <w:pPr>
              <w:widowControl/>
              <w:jc w:val="center"/>
              <w:rPr>
                <w:rFonts w:ascii="Times" w:eastAsia="Times New Roman" w:hAnsi="Times" w:cs="Times"/>
                <w:color w:val="000000"/>
                <w:sz w:val="18"/>
                <w:szCs w:val="18"/>
                <w:lang w:eastAsia="es-HN"/>
              </w:rPr>
            </w:pPr>
            <w:r w:rsidRPr="006A1A18">
              <w:rPr>
                <w:rFonts w:ascii="Times" w:eastAsia="Times New Roman" w:hAnsi="Times" w:cs="Times"/>
                <w:color w:val="000000"/>
                <w:sz w:val="18"/>
                <w:szCs w:val="18"/>
                <w:lang w:eastAsia="es-HN"/>
              </w:rPr>
              <w:t>&lt; 3</w:t>
            </w:r>
          </w:p>
        </w:tc>
        <w:tc>
          <w:tcPr>
            <w:tcW w:w="910" w:type="dxa"/>
            <w:tcBorders>
              <w:top w:val="nil"/>
              <w:left w:val="nil"/>
              <w:bottom w:val="single" w:sz="4" w:space="0" w:color="auto"/>
              <w:right w:val="single" w:sz="4" w:space="0" w:color="auto"/>
            </w:tcBorders>
            <w:shd w:val="clear" w:color="000000" w:fill="FFFF00"/>
            <w:noWrap/>
            <w:vAlign w:val="center"/>
            <w:hideMark/>
          </w:tcPr>
          <w:p w14:paraId="6E385414" w14:textId="77777777" w:rsidR="006A1A18" w:rsidRPr="006A1A18" w:rsidRDefault="006A1A18" w:rsidP="006A1A18">
            <w:pPr>
              <w:widowControl/>
              <w:jc w:val="center"/>
              <w:rPr>
                <w:rFonts w:ascii="Times" w:eastAsia="Times New Roman" w:hAnsi="Times" w:cs="Times"/>
                <w:color w:val="000000"/>
                <w:sz w:val="18"/>
                <w:szCs w:val="18"/>
                <w:lang w:eastAsia="es-HN"/>
              </w:rPr>
            </w:pPr>
            <w:r w:rsidRPr="006A1A18">
              <w:rPr>
                <w:rFonts w:ascii="Times" w:eastAsia="Times New Roman" w:hAnsi="Times" w:cs="Times"/>
                <w:color w:val="000000"/>
                <w:sz w:val="18"/>
                <w:szCs w:val="18"/>
                <w:lang w:eastAsia="es-HN"/>
              </w:rPr>
              <w:t xml:space="preserve"> = 3</w:t>
            </w:r>
          </w:p>
        </w:tc>
        <w:tc>
          <w:tcPr>
            <w:tcW w:w="785" w:type="dxa"/>
            <w:tcBorders>
              <w:top w:val="nil"/>
              <w:left w:val="nil"/>
              <w:bottom w:val="single" w:sz="4" w:space="0" w:color="auto"/>
              <w:right w:val="single" w:sz="4" w:space="0" w:color="auto"/>
            </w:tcBorders>
            <w:shd w:val="clear" w:color="000000" w:fill="FF0000"/>
            <w:noWrap/>
            <w:vAlign w:val="center"/>
            <w:hideMark/>
          </w:tcPr>
          <w:p w14:paraId="01FE8712" w14:textId="77777777" w:rsidR="006A1A18" w:rsidRPr="006A1A18" w:rsidRDefault="006A1A18" w:rsidP="006A1A18">
            <w:pPr>
              <w:widowControl/>
              <w:jc w:val="center"/>
              <w:rPr>
                <w:rFonts w:ascii="Times" w:eastAsia="Times New Roman" w:hAnsi="Times" w:cs="Times"/>
                <w:color w:val="000000"/>
                <w:sz w:val="18"/>
                <w:szCs w:val="18"/>
                <w:lang w:eastAsia="es-HN"/>
              </w:rPr>
            </w:pPr>
            <w:r w:rsidRPr="006A1A18">
              <w:rPr>
                <w:rFonts w:ascii="Times" w:eastAsia="Times New Roman" w:hAnsi="Times" w:cs="Times"/>
                <w:color w:val="000000"/>
                <w:sz w:val="18"/>
                <w:szCs w:val="18"/>
                <w:lang w:eastAsia="es-HN"/>
              </w:rPr>
              <w:t>&gt; 3</w:t>
            </w:r>
          </w:p>
        </w:tc>
        <w:tc>
          <w:tcPr>
            <w:tcW w:w="1406" w:type="dxa"/>
            <w:tcBorders>
              <w:top w:val="nil"/>
              <w:left w:val="nil"/>
              <w:bottom w:val="single" w:sz="4" w:space="0" w:color="auto"/>
              <w:right w:val="single" w:sz="4" w:space="0" w:color="auto"/>
            </w:tcBorders>
            <w:shd w:val="clear" w:color="auto" w:fill="auto"/>
            <w:vAlign w:val="center"/>
            <w:hideMark/>
          </w:tcPr>
          <w:p w14:paraId="1C905E23" w14:textId="77777777" w:rsidR="006A1A18" w:rsidRPr="006A1A18" w:rsidRDefault="006A1A18" w:rsidP="006A1A18">
            <w:pPr>
              <w:widowControl/>
              <w:jc w:val="center"/>
              <w:rPr>
                <w:rFonts w:ascii="Times" w:eastAsia="Times New Roman" w:hAnsi="Times" w:cs="Times"/>
                <w:color w:val="000000"/>
                <w:sz w:val="18"/>
                <w:szCs w:val="18"/>
                <w:lang w:eastAsia="es-HN"/>
              </w:rPr>
            </w:pPr>
            <w:r w:rsidRPr="006A1A18">
              <w:rPr>
                <w:rFonts w:ascii="Times" w:eastAsia="Times New Roman" w:hAnsi="Times" w:cs="Times"/>
                <w:color w:val="000000"/>
                <w:sz w:val="18"/>
                <w:szCs w:val="18"/>
                <w:lang w:eastAsia="es-HN"/>
              </w:rPr>
              <w:t>Pasivo No Corriente/Patrimonio</w:t>
            </w:r>
          </w:p>
        </w:tc>
        <w:tc>
          <w:tcPr>
            <w:tcW w:w="884" w:type="dxa"/>
            <w:tcBorders>
              <w:top w:val="nil"/>
              <w:left w:val="nil"/>
              <w:bottom w:val="single" w:sz="4" w:space="0" w:color="auto"/>
              <w:right w:val="single" w:sz="4" w:space="0" w:color="auto"/>
            </w:tcBorders>
            <w:shd w:val="clear" w:color="000000" w:fill="00B050"/>
            <w:noWrap/>
            <w:vAlign w:val="center"/>
            <w:hideMark/>
          </w:tcPr>
          <w:p w14:paraId="697818B7" w14:textId="77777777" w:rsidR="006A1A18" w:rsidRPr="006A1A18" w:rsidRDefault="006A1A18" w:rsidP="006A1A18">
            <w:pPr>
              <w:widowControl/>
              <w:jc w:val="center"/>
              <w:rPr>
                <w:rFonts w:ascii="Times" w:eastAsia="Times New Roman" w:hAnsi="Times" w:cs="Times"/>
                <w:color w:val="000000"/>
                <w:sz w:val="18"/>
                <w:szCs w:val="18"/>
                <w:lang w:eastAsia="es-HN"/>
              </w:rPr>
            </w:pPr>
            <w:r w:rsidRPr="006A1A18">
              <w:rPr>
                <w:rFonts w:ascii="Times" w:eastAsia="Times New Roman" w:hAnsi="Times" w:cs="Times"/>
                <w:color w:val="000000"/>
                <w:sz w:val="18"/>
                <w:szCs w:val="18"/>
                <w:lang w:eastAsia="es-HN"/>
              </w:rPr>
              <w:t>1.8</w:t>
            </w:r>
          </w:p>
        </w:tc>
        <w:tc>
          <w:tcPr>
            <w:tcW w:w="884" w:type="dxa"/>
            <w:tcBorders>
              <w:top w:val="nil"/>
              <w:left w:val="nil"/>
              <w:bottom w:val="single" w:sz="4" w:space="0" w:color="auto"/>
              <w:right w:val="single" w:sz="4" w:space="0" w:color="auto"/>
            </w:tcBorders>
            <w:shd w:val="clear" w:color="000000" w:fill="FF0000"/>
            <w:noWrap/>
            <w:vAlign w:val="center"/>
            <w:hideMark/>
          </w:tcPr>
          <w:p w14:paraId="3F591792" w14:textId="77777777" w:rsidR="006A1A18" w:rsidRPr="006A1A18" w:rsidRDefault="006A1A18" w:rsidP="006A1A18">
            <w:pPr>
              <w:widowControl/>
              <w:jc w:val="center"/>
              <w:rPr>
                <w:rFonts w:ascii="Times" w:eastAsia="Times New Roman" w:hAnsi="Times" w:cs="Times"/>
                <w:color w:val="000000"/>
                <w:sz w:val="18"/>
                <w:szCs w:val="18"/>
                <w:lang w:eastAsia="es-HN"/>
              </w:rPr>
            </w:pPr>
            <w:r w:rsidRPr="006A1A18">
              <w:rPr>
                <w:rFonts w:ascii="Times" w:eastAsia="Times New Roman" w:hAnsi="Times" w:cs="Times"/>
                <w:color w:val="000000"/>
                <w:sz w:val="18"/>
                <w:szCs w:val="18"/>
                <w:lang w:eastAsia="es-HN"/>
              </w:rPr>
              <w:t>4.8</w:t>
            </w:r>
          </w:p>
        </w:tc>
        <w:tc>
          <w:tcPr>
            <w:tcW w:w="810" w:type="dxa"/>
            <w:tcBorders>
              <w:top w:val="nil"/>
              <w:left w:val="nil"/>
              <w:bottom w:val="single" w:sz="4" w:space="0" w:color="auto"/>
              <w:right w:val="single" w:sz="4" w:space="0" w:color="auto"/>
            </w:tcBorders>
            <w:shd w:val="clear" w:color="000000" w:fill="FF0000"/>
            <w:noWrap/>
            <w:vAlign w:val="center"/>
            <w:hideMark/>
          </w:tcPr>
          <w:p w14:paraId="57EA15E0" w14:textId="77777777" w:rsidR="006A1A18" w:rsidRPr="006A1A18" w:rsidRDefault="006A1A18" w:rsidP="006A1A18">
            <w:pPr>
              <w:widowControl/>
              <w:jc w:val="center"/>
              <w:rPr>
                <w:rFonts w:ascii="Times" w:eastAsia="Times New Roman" w:hAnsi="Times" w:cs="Times"/>
                <w:color w:val="000000"/>
                <w:sz w:val="18"/>
                <w:szCs w:val="18"/>
                <w:lang w:eastAsia="es-HN"/>
              </w:rPr>
            </w:pPr>
            <w:r w:rsidRPr="006A1A18">
              <w:rPr>
                <w:rFonts w:ascii="Times" w:eastAsia="Times New Roman" w:hAnsi="Times" w:cs="Times"/>
                <w:color w:val="000000"/>
                <w:sz w:val="18"/>
                <w:szCs w:val="18"/>
                <w:lang w:eastAsia="es-HN"/>
              </w:rPr>
              <w:t>8.7</w:t>
            </w:r>
          </w:p>
        </w:tc>
        <w:tc>
          <w:tcPr>
            <w:tcW w:w="884" w:type="dxa"/>
            <w:tcBorders>
              <w:top w:val="nil"/>
              <w:left w:val="nil"/>
              <w:bottom w:val="single" w:sz="4" w:space="0" w:color="auto"/>
              <w:right w:val="single" w:sz="4" w:space="0" w:color="auto"/>
            </w:tcBorders>
            <w:shd w:val="clear" w:color="000000" w:fill="00B050"/>
            <w:noWrap/>
            <w:vAlign w:val="center"/>
            <w:hideMark/>
          </w:tcPr>
          <w:p w14:paraId="4A562A69" w14:textId="77777777" w:rsidR="006A1A18" w:rsidRPr="006A1A18" w:rsidRDefault="006A1A18" w:rsidP="006A1A18">
            <w:pPr>
              <w:widowControl/>
              <w:jc w:val="center"/>
              <w:rPr>
                <w:rFonts w:ascii="Times" w:eastAsia="Times New Roman" w:hAnsi="Times" w:cs="Times"/>
                <w:color w:val="000000"/>
                <w:sz w:val="18"/>
                <w:szCs w:val="18"/>
                <w:lang w:eastAsia="es-HN"/>
              </w:rPr>
            </w:pPr>
            <w:r w:rsidRPr="006A1A18">
              <w:rPr>
                <w:rFonts w:ascii="Times" w:eastAsia="Times New Roman" w:hAnsi="Times" w:cs="Times"/>
                <w:color w:val="000000"/>
                <w:sz w:val="18"/>
                <w:szCs w:val="18"/>
                <w:lang w:eastAsia="es-HN"/>
              </w:rPr>
              <w:t>2.7</w:t>
            </w:r>
          </w:p>
        </w:tc>
        <w:tc>
          <w:tcPr>
            <w:tcW w:w="884" w:type="dxa"/>
            <w:tcBorders>
              <w:top w:val="nil"/>
              <w:left w:val="nil"/>
              <w:bottom w:val="single" w:sz="4" w:space="0" w:color="auto"/>
              <w:right w:val="single" w:sz="4" w:space="0" w:color="auto"/>
            </w:tcBorders>
            <w:shd w:val="clear" w:color="000000" w:fill="FF0000"/>
            <w:noWrap/>
            <w:vAlign w:val="center"/>
            <w:hideMark/>
          </w:tcPr>
          <w:p w14:paraId="66A5D788" w14:textId="77777777" w:rsidR="006A1A18" w:rsidRPr="006A1A18" w:rsidRDefault="006A1A18" w:rsidP="006A1A18">
            <w:pPr>
              <w:widowControl/>
              <w:jc w:val="center"/>
              <w:rPr>
                <w:rFonts w:ascii="Times" w:eastAsia="Times New Roman" w:hAnsi="Times" w:cs="Times"/>
                <w:color w:val="000000"/>
                <w:sz w:val="18"/>
                <w:szCs w:val="18"/>
                <w:lang w:eastAsia="es-HN"/>
              </w:rPr>
            </w:pPr>
            <w:r w:rsidRPr="006A1A18">
              <w:rPr>
                <w:rFonts w:ascii="Times" w:eastAsia="Times New Roman" w:hAnsi="Times" w:cs="Times"/>
                <w:color w:val="000000"/>
                <w:sz w:val="18"/>
                <w:szCs w:val="18"/>
                <w:lang w:eastAsia="es-HN"/>
              </w:rPr>
              <w:t>3.4</w:t>
            </w:r>
          </w:p>
        </w:tc>
      </w:tr>
      <w:tr w:rsidR="006A1A18" w:rsidRPr="006A1A18" w14:paraId="226D41BB" w14:textId="77777777" w:rsidTr="00AE1556">
        <w:trPr>
          <w:trHeight w:val="260"/>
        </w:trPr>
        <w:tc>
          <w:tcPr>
            <w:tcW w:w="1117" w:type="dxa"/>
            <w:tcBorders>
              <w:top w:val="nil"/>
              <w:left w:val="single" w:sz="4" w:space="0" w:color="auto"/>
              <w:bottom w:val="single" w:sz="4" w:space="0" w:color="auto"/>
              <w:right w:val="single" w:sz="4" w:space="0" w:color="auto"/>
            </w:tcBorders>
            <w:shd w:val="clear" w:color="auto" w:fill="auto"/>
            <w:vAlign w:val="center"/>
            <w:hideMark/>
          </w:tcPr>
          <w:p w14:paraId="59DDB263" w14:textId="77777777" w:rsidR="006A1A18" w:rsidRPr="006A1A18" w:rsidRDefault="006A1A18" w:rsidP="006A1A18">
            <w:pPr>
              <w:widowControl/>
              <w:jc w:val="center"/>
              <w:rPr>
                <w:rFonts w:ascii="Times" w:eastAsia="Times New Roman" w:hAnsi="Times" w:cs="Times"/>
                <w:color w:val="000000"/>
                <w:sz w:val="18"/>
                <w:szCs w:val="18"/>
                <w:lang w:eastAsia="es-HN"/>
              </w:rPr>
            </w:pPr>
            <w:r w:rsidRPr="006A1A18">
              <w:rPr>
                <w:rFonts w:ascii="Times" w:eastAsia="Times New Roman" w:hAnsi="Times" w:cs="Times"/>
                <w:color w:val="000000"/>
                <w:sz w:val="18"/>
                <w:szCs w:val="18"/>
                <w:lang w:eastAsia="es-HN"/>
              </w:rPr>
              <w:t xml:space="preserve">Ratio de Solvencia </w:t>
            </w:r>
          </w:p>
        </w:tc>
        <w:tc>
          <w:tcPr>
            <w:tcW w:w="786" w:type="dxa"/>
            <w:tcBorders>
              <w:top w:val="nil"/>
              <w:left w:val="nil"/>
              <w:bottom w:val="single" w:sz="4" w:space="0" w:color="auto"/>
              <w:right w:val="single" w:sz="4" w:space="0" w:color="auto"/>
            </w:tcBorders>
            <w:shd w:val="clear" w:color="000000" w:fill="00B050"/>
            <w:noWrap/>
            <w:vAlign w:val="center"/>
            <w:hideMark/>
          </w:tcPr>
          <w:p w14:paraId="2911724F" w14:textId="77777777" w:rsidR="006A1A18" w:rsidRPr="006A1A18" w:rsidRDefault="006A1A18" w:rsidP="006A1A18">
            <w:pPr>
              <w:widowControl/>
              <w:jc w:val="center"/>
              <w:rPr>
                <w:rFonts w:ascii="Times" w:eastAsia="Times New Roman" w:hAnsi="Times" w:cs="Times"/>
                <w:color w:val="000000"/>
                <w:sz w:val="18"/>
                <w:szCs w:val="18"/>
                <w:lang w:eastAsia="es-HN"/>
              </w:rPr>
            </w:pPr>
            <w:r w:rsidRPr="006A1A18">
              <w:rPr>
                <w:rFonts w:ascii="Times" w:eastAsia="Times New Roman" w:hAnsi="Times" w:cs="Times"/>
                <w:color w:val="000000"/>
                <w:sz w:val="18"/>
                <w:szCs w:val="18"/>
                <w:lang w:eastAsia="es-HN"/>
              </w:rPr>
              <w:t>&gt; 1</w:t>
            </w:r>
          </w:p>
        </w:tc>
        <w:tc>
          <w:tcPr>
            <w:tcW w:w="910" w:type="dxa"/>
            <w:tcBorders>
              <w:top w:val="nil"/>
              <w:left w:val="nil"/>
              <w:bottom w:val="single" w:sz="4" w:space="0" w:color="auto"/>
              <w:right w:val="single" w:sz="4" w:space="0" w:color="auto"/>
            </w:tcBorders>
            <w:shd w:val="clear" w:color="000000" w:fill="FFFF00"/>
            <w:noWrap/>
            <w:vAlign w:val="center"/>
            <w:hideMark/>
          </w:tcPr>
          <w:p w14:paraId="1D5B1239" w14:textId="77777777" w:rsidR="006A1A18" w:rsidRPr="006A1A18" w:rsidRDefault="006A1A18" w:rsidP="006A1A18">
            <w:pPr>
              <w:widowControl/>
              <w:jc w:val="center"/>
              <w:rPr>
                <w:rFonts w:ascii="Times" w:eastAsia="Times New Roman" w:hAnsi="Times" w:cs="Times"/>
                <w:color w:val="000000"/>
                <w:sz w:val="18"/>
                <w:szCs w:val="18"/>
                <w:lang w:eastAsia="es-HN"/>
              </w:rPr>
            </w:pPr>
            <w:r w:rsidRPr="006A1A18">
              <w:rPr>
                <w:rFonts w:ascii="Times" w:eastAsia="Times New Roman" w:hAnsi="Times" w:cs="Times"/>
                <w:color w:val="000000"/>
                <w:sz w:val="18"/>
                <w:szCs w:val="18"/>
                <w:lang w:eastAsia="es-HN"/>
              </w:rPr>
              <w:t xml:space="preserve"> = 1</w:t>
            </w:r>
          </w:p>
        </w:tc>
        <w:tc>
          <w:tcPr>
            <w:tcW w:w="785" w:type="dxa"/>
            <w:tcBorders>
              <w:top w:val="nil"/>
              <w:left w:val="nil"/>
              <w:bottom w:val="single" w:sz="4" w:space="0" w:color="auto"/>
              <w:right w:val="single" w:sz="4" w:space="0" w:color="auto"/>
            </w:tcBorders>
            <w:shd w:val="clear" w:color="000000" w:fill="FF0000"/>
            <w:noWrap/>
            <w:vAlign w:val="center"/>
            <w:hideMark/>
          </w:tcPr>
          <w:p w14:paraId="49D6E029" w14:textId="77777777" w:rsidR="006A1A18" w:rsidRPr="006A1A18" w:rsidRDefault="006A1A18" w:rsidP="006A1A18">
            <w:pPr>
              <w:widowControl/>
              <w:jc w:val="center"/>
              <w:rPr>
                <w:rFonts w:ascii="Times" w:eastAsia="Times New Roman" w:hAnsi="Times" w:cs="Times"/>
                <w:color w:val="000000"/>
                <w:sz w:val="18"/>
                <w:szCs w:val="18"/>
                <w:lang w:eastAsia="es-HN"/>
              </w:rPr>
            </w:pPr>
            <w:r w:rsidRPr="006A1A18">
              <w:rPr>
                <w:rFonts w:ascii="Times" w:eastAsia="Times New Roman" w:hAnsi="Times" w:cs="Times"/>
                <w:color w:val="000000"/>
                <w:sz w:val="18"/>
                <w:szCs w:val="18"/>
                <w:lang w:eastAsia="es-HN"/>
              </w:rPr>
              <w:t>&lt; 3</w:t>
            </w:r>
          </w:p>
        </w:tc>
        <w:tc>
          <w:tcPr>
            <w:tcW w:w="1406" w:type="dxa"/>
            <w:tcBorders>
              <w:top w:val="nil"/>
              <w:left w:val="nil"/>
              <w:bottom w:val="single" w:sz="4" w:space="0" w:color="auto"/>
              <w:right w:val="single" w:sz="4" w:space="0" w:color="auto"/>
            </w:tcBorders>
            <w:shd w:val="clear" w:color="auto" w:fill="auto"/>
            <w:vAlign w:val="center"/>
            <w:hideMark/>
          </w:tcPr>
          <w:p w14:paraId="53625B5C" w14:textId="77777777" w:rsidR="006A1A18" w:rsidRPr="006A1A18" w:rsidRDefault="006A1A18" w:rsidP="006A1A18">
            <w:pPr>
              <w:widowControl/>
              <w:jc w:val="center"/>
              <w:rPr>
                <w:rFonts w:ascii="Times" w:eastAsia="Times New Roman" w:hAnsi="Times" w:cs="Times"/>
                <w:color w:val="000000"/>
                <w:sz w:val="18"/>
                <w:szCs w:val="18"/>
                <w:lang w:eastAsia="es-HN"/>
              </w:rPr>
            </w:pPr>
            <w:r w:rsidRPr="006A1A18">
              <w:rPr>
                <w:rFonts w:ascii="Times" w:eastAsia="Times New Roman" w:hAnsi="Times" w:cs="Times"/>
                <w:color w:val="000000"/>
                <w:sz w:val="18"/>
                <w:szCs w:val="18"/>
                <w:lang w:eastAsia="es-HN"/>
              </w:rPr>
              <w:t>Activo/Pasivo</w:t>
            </w:r>
          </w:p>
        </w:tc>
        <w:tc>
          <w:tcPr>
            <w:tcW w:w="884" w:type="dxa"/>
            <w:tcBorders>
              <w:top w:val="nil"/>
              <w:left w:val="nil"/>
              <w:bottom w:val="single" w:sz="4" w:space="0" w:color="auto"/>
              <w:right w:val="single" w:sz="4" w:space="0" w:color="auto"/>
            </w:tcBorders>
            <w:shd w:val="clear" w:color="000000" w:fill="00B050"/>
            <w:noWrap/>
            <w:vAlign w:val="center"/>
            <w:hideMark/>
          </w:tcPr>
          <w:p w14:paraId="7F57C9C9" w14:textId="77777777" w:rsidR="006A1A18" w:rsidRPr="006A1A18" w:rsidRDefault="006A1A18" w:rsidP="006A1A18">
            <w:pPr>
              <w:widowControl/>
              <w:jc w:val="center"/>
              <w:rPr>
                <w:rFonts w:ascii="Times" w:eastAsia="Times New Roman" w:hAnsi="Times" w:cs="Times"/>
                <w:color w:val="000000"/>
                <w:sz w:val="18"/>
                <w:szCs w:val="18"/>
                <w:lang w:eastAsia="es-HN"/>
              </w:rPr>
            </w:pPr>
            <w:r w:rsidRPr="006A1A18">
              <w:rPr>
                <w:rFonts w:ascii="Times" w:eastAsia="Times New Roman" w:hAnsi="Times" w:cs="Times"/>
                <w:color w:val="000000"/>
                <w:sz w:val="18"/>
                <w:szCs w:val="18"/>
                <w:lang w:eastAsia="es-HN"/>
              </w:rPr>
              <w:t>1.2</w:t>
            </w:r>
          </w:p>
        </w:tc>
        <w:tc>
          <w:tcPr>
            <w:tcW w:w="884" w:type="dxa"/>
            <w:tcBorders>
              <w:top w:val="nil"/>
              <w:left w:val="nil"/>
              <w:bottom w:val="single" w:sz="4" w:space="0" w:color="auto"/>
              <w:right w:val="single" w:sz="4" w:space="0" w:color="auto"/>
            </w:tcBorders>
            <w:shd w:val="clear" w:color="000000" w:fill="00B050"/>
            <w:noWrap/>
            <w:vAlign w:val="center"/>
            <w:hideMark/>
          </w:tcPr>
          <w:p w14:paraId="65E51D67" w14:textId="77777777" w:rsidR="006A1A18" w:rsidRPr="006A1A18" w:rsidRDefault="006A1A18" w:rsidP="006A1A18">
            <w:pPr>
              <w:widowControl/>
              <w:jc w:val="center"/>
              <w:rPr>
                <w:rFonts w:ascii="Times" w:eastAsia="Times New Roman" w:hAnsi="Times" w:cs="Times"/>
                <w:color w:val="000000"/>
                <w:sz w:val="18"/>
                <w:szCs w:val="18"/>
                <w:lang w:eastAsia="es-HN"/>
              </w:rPr>
            </w:pPr>
            <w:r w:rsidRPr="006A1A18">
              <w:rPr>
                <w:rFonts w:ascii="Times" w:eastAsia="Times New Roman" w:hAnsi="Times" w:cs="Times"/>
                <w:color w:val="000000"/>
                <w:sz w:val="18"/>
                <w:szCs w:val="18"/>
                <w:lang w:eastAsia="es-HN"/>
              </w:rPr>
              <w:t>1.1</w:t>
            </w:r>
          </w:p>
        </w:tc>
        <w:tc>
          <w:tcPr>
            <w:tcW w:w="810" w:type="dxa"/>
            <w:tcBorders>
              <w:top w:val="nil"/>
              <w:left w:val="nil"/>
              <w:bottom w:val="single" w:sz="4" w:space="0" w:color="auto"/>
              <w:right w:val="single" w:sz="4" w:space="0" w:color="auto"/>
            </w:tcBorders>
            <w:shd w:val="clear" w:color="000000" w:fill="00B050"/>
            <w:noWrap/>
            <w:vAlign w:val="center"/>
            <w:hideMark/>
          </w:tcPr>
          <w:p w14:paraId="21A5DC26" w14:textId="77777777" w:rsidR="006A1A18" w:rsidRPr="006A1A18" w:rsidRDefault="006A1A18" w:rsidP="006A1A18">
            <w:pPr>
              <w:widowControl/>
              <w:jc w:val="center"/>
              <w:rPr>
                <w:rFonts w:ascii="Times" w:eastAsia="Times New Roman" w:hAnsi="Times" w:cs="Times"/>
                <w:color w:val="000000"/>
                <w:sz w:val="18"/>
                <w:szCs w:val="18"/>
                <w:lang w:eastAsia="es-HN"/>
              </w:rPr>
            </w:pPr>
            <w:r w:rsidRPr="006A1A18">
              <w:rPr>
                <w:rFonts w:ascii="Times" w:eastAsia="Times New Roman" w:hAnsi="Times" w:cs="Times"/>
                <w:color w:val="000000"/>
                <w:sz w:val="18"/>
                <w:szCs w:val="18"/>
                <w:lang w:eastAsia="es-HN"/>
              </w:rPr>
              <w:t>1.1</w:t>
            </w:r>
          </w:p>
        </w:tc>
        <w:tc>
          <w:tcPr>
            <w:tcW w:w="884" w:type="dxa"/>
            <w:tcBorders>
              <w:top w:val="nil"/>
              <w:left w:val="nil"/>
              <w:bottom w:val="single" w:sz="4" w:space="0" w:color="auto"/>
              <w:right w:val="single" w:sz="4" w:space="0" w:color="auto"/>
            </w:tcBorders>
            <w:shd w:val="clear" w:color="000000" w:fill="00B050"/>
            <w:noWrap/>
            <w:vAlign w:val="center"/>
            <w:hideMark/>
          </w:tcPr>
          <w:p w14:paraId="72FB6E93" w14:textId="77777777" w:rsidR="006A1A18" w:rsidRPr="006A1A18" w:rsidRDefault="006A1A18" w:rsidP="006A1A18">
            <w:pPr>
              <w:widowControl/>
              <w:jc w:val="center"/>
              <w:rPr>
                <w:rFonts w:ascii="Times" w:eastAsia="Times New Roman" w:hAnsi="Times" w:cs="Times"/>
                <w:color w:val="000000"/>
                <w:sz w:val="18"/>
                <w:szCs w:val="18"/>
                <w:lang w:eastAsia="es-HN"/>
              </w:rPr>
            </w:pPr>
            <w:r w:rsidRPr="006A1A18">
              <w:rPr>
                <w:rFonts w:ascii="Times" w:eastAsia="Times New Roman" w:hAnsi="Times" w:cs="Times"/>
                <w:color w:val="000000"/>
                <w:sz w:val="18"/>
                <w:szCs w:val="18"/>
                <w:lang w:eastAsia="es-HN"/>
              </w:rPr>
              <w:t>1.3</w:t>
            </w:r>
          </w:p>
        </w:tc>
        <w:tc>
          <w:tcPr>
            <w:tcW w:w="884" w:type="dxa"/>
            <w:tcBorders>
              <w:top w:val="nil"/>
              <w:left w:val="nil"/>
              <w:bottom w:val="single" w:sz="4" w:space="0" w:color="auto"/>
              <w:right w:val="single" w:sz="4" w:space="0" w:color="auto"/>
            </w:tcBorders>
            <w:shd w:val="clear" w:color="000000" w:fill="00B050"/>
            <w:noWrap/>
            <w:vAlign w:val="center"/>
            <w:hideMark/>
          </w:tcPr>
          <w:p w14:paraId="32CDF643" w14:textId="77777777" w:rsidR="006A1A18" w:rsidRPr="006A1A18" w:rsidRDefault="006A1A18" w:rsidP="006A1A18">
            <w:pPr>
              <w:widowControl/>
              <w:jc w:val="center"/>
              <w:rPr>
                <w:rFonts w:ascii="Times" w:eastAsia="Times New Roman" w:hAnsi="Times" w:cs="Times"/>
                <w:color w:val="000000"/>
                <w:sz w:val="18"/>
                <w:szCs w:val="18"/>
                <w:lang w:eastAsia="es-HN"/>
              </w:rPr>
            </w:pPr>
            <w:r w:rsidRPr="006A1A18">
              <w:rPr>
                <w:rFonts w:ascii="Times" w:eastAsia="Times New Roman" w:hAnsi="Times" w:cs="Times"/>
                <w:color w:val="000000"/>
                <w:sz w:val="18"/>
                <w:szCs w:val="18"/>
                <w:lang w:eastAsia="es-HN"/>
              </w:rPr>
              <w:t>1.2</w:t>
            </w:r>
          </w:p>
        </w:tc>
      </w:tr>
      <w:tr w:rsidR="006A1A18" w:rsidRPr="006A1A18" w14:paraId="6A379673" w14:textId="77777777" w:rsidTr="00AE1556">
        <w:trPr>
          <w:trHeight w:val="625"/>
        </w:trPr>
        <w:tc>
          <w:tcPr>
            <w:tcW w:w="1117" w:type="dxa"/>
            <w:tcBorders>
              <w:top w:val="nil"/>
              <w:left w:val="single" w:sz="4" w:space="0" w:color="auto"/>
              <w:bottom w:val="single" w:sz="4" w:space="0" w:color="auto"/>
              <w:right w:val="single" w:sz="4" w:space="0" w:color="auto"/>
            </w:tcBorders>
            <w:shd w:val="clear" w:color="auto" w:fill="auto"/>
            <w:vAlign w:val="center"/>
            <w:hideMark/>
          </w:tcPr>
          <w:p w14:paraId="547F7128" w14:textId="77777777" w:rsidR="006A1A18" w:rsidRPr="006A1A18" w:rsidRDefault="006A1A18" w:rsidP="006A1A18">
            <w:pPr>
              <w:widowControl/>
              <w:jc w:val="center"/>
              <w:rPr>
                <w:rFonts w:ascii="Times" w:eastAsia="Times New Roman" w:hAnsi="Times" w:cs="Times"/>
                <w:color w:val="000000"/>
                <w:sz w:val="18"/>
                <w:szCs w:val="18"/>
                <w:lang w:eastAsia="es-HN"/>
              </w:rPr>
            </w:pPr>
            <w:r w:rsidRPr="006A1A18">
              <w:rPr>
                <w:rFonts w:ascii="Times" w:eastAsia="Times New Roman" w:hAnsi="Times" w:cs="Times"/>
                <w:color w:val="000000"/>
                <w:sz w:val="18"/>
                <w:szCs w:val="18"/>
                <w:lang w:eastAsia="es-HN"/>
              </w:rPr>
              <w:lastRenderedPageBreak/>
              <w:t xml:space="preserve">Ratio de Apalancamiento Financiero </w:t>
            </w:r>
          </w:p>
        </w:tc>
        <w:tc>
          <w:tcPr>
            <w:tcW w:w="786" w:type="dxa"/>
            <w:tcBorders>
              <w:top w:val="nil"/>
              <w:left w:val="nil"/>
              <w:bottom w:val="single" w:sz="4" w:space="0" w:color="auto"/>
              <w:right w:val="single" w:sz="4" w:space="0" w:color="auto"/>
            </w:tcBorders>
            <w:shd w:val="clear" w:color="000000" w:fill="00B050"/>
            <w:noWrap/>
            <w:vAlign w:val="center"/>
            <w:hideMark/>
          </w:tcPr>
          <w:p w14:paraId="3824FDA6" w14:textId="77777777" w:rsidR="006A1A18" w:rsidRPr="006A1A18" w:rsidRDefault="006A1A18" w:rsidP="006A1A18">
            <w:pPr>
              <w:widowControl/>
              <w:jc w:val="center"/>
              <w:rPr>
                <w:rFonts w:ascii="Times" w:eastAsia="Times New Roman" w:hAnsi="Times" w:cs="Times"/>
                <w:color w:val="000000"/>
                <w:sz w:val="18"/>
                <w:szCs w:val="18"/>
                <w:lang w:eastAsia="es-HN"/>
              </w:rPr>
            </w:pPr>
            <w:r w:rsidRPr="006A1A18">
              <w:rPr>
                <w:rFonts w:ascii="Times" w:eastAsia="Times New Roman" w:hAnsi="Times" w:cs="Times"/>
                <w:color w:val="000000"/>
                <w:sz w:val="18"/>
                <w:szCs w:val="18"/>
                <w:lang w:eastAsia="es-HN"/>
              </w:rPr>
              <w:t>&lt; 6</w:t>
            </w:r>
          </w:p>
        </w:tc>
        <w:tc>
          <w:tcPr>
            <w:tcW w:w="910" w:type="dxa"/>
            <w:tcBorders>
              <w:top w:val="nil"/>
              <w:left w:val="nil"/>
              <w:bottom w:val="single" w:sz="4" w:space="0" w:color="auto"/>
              <w:right w:val="single" w:sz="4" w:space="0" w:color="auto"/>
            </w:tcBorders>
            <w:shd w:val="clear" w:color="000000" w:fill="FFFF00"/>
            <w:noWrap/>
            <w:vAlign w:val="center"/>
            <w:hideMark/>
          </w:tcPr>
          <w:p w14:paraId="7E239547" w14:textId="77777777" w:rsidR="006A1A18" w:rsidRPr="006A1A18" w:rsidRDefault="006A1A18" w:rsidP="006A1A18">
            <w:pPr>
              <w:widowControl/>
              <w:jc w:val="center"/>
              <w:rPr>
                <w:rFonts w:ascii="Times" w:eastAsia="Times New Roman" w:hAnsi="Times" w:cs="Times"/>
                <w:color w:val="000000"/>
                <w:sz w:val="18"/>
                <w:szCs w:val="18"/>
                <w:lang w:eastAsia="es-HN"/>
              </w:rPr>
            </w:pPr>
            <w:r w:rsidRPr="006A1A18">
              <w:rPr>
                <w:rFonts w:ascii="Times" w:eastAsia="Times New Roman" w:hAnsi="Times" w:cs="Times"/>
                <w:color w:val="000000"/>
                <w:sz w:val="18"/>
                <w:szCs w:val="18"/>
                <w:lang w:eastAsia="es-HN"/>
              </w:rPr>
              <w:t xml:space="preserve"> = 6</w:t>
            </w:r>
          </w:p>
        </w:tc>
        <w:tc>
          <w:tcPr>
            <w:tcW w:w="785" w:type="dxa"/>
            <w:tcBorders>
              <w:top w:val="nil"/>
              <w:left w:val="nil"/>
              <w:bottom w:val="single" w:sz="4" w:space="0" w:color="auto"/>
              <w:right w:val="single" w:sz="4" w:space="0" w:color="auto"/>
            </w:tcBorders>
            <w:shd w:val="clear" w:color="000000" w:fill="FF0000"/>
            <w:noWrap/>
            <w:vAlign w:val="center"/>
            <w:hideMark/>
          </w:tcPr>
          <w:p w14:paraId="3622CC0A" w14:textId="77777777" w:rsidR="006A1A18" w:rsidRPr="006A1A18" w:rsidRDefault="006A1A18" w:rsidP="006A1A18">
            <w:pPr>
              <w:widowControl/>
              <w:jc w:val="center"/>
              <w:rPr>
                <w:rFonts w:ascii="Times" w:eastAsia="Times New Roman" w:hAnsi="Times" w:cs="Times"/>
                <w:color w:val="000000"/>
                <w:sz w:val="18"/>
                <w:szCs w:val="18"/>
                <w:lang w:eastAsia="es-HN"/>
              </w:rPr>
            </w:pPr>
            <w:r w:rsidRPr="006A1A18">
              <w:rPr>
                <w:rFonts w:ascii="Times" w:eastAsia="Times New Roman" w:hAnsi="Times" w:cs="Times"/>
                <w:color w:val="000000"/>
                <w:sz w:val="18"/>
                <w:szCs w:val="18"/>
                <w:lang w:eastAsia="es-HN"/>
              </w:rPr>
              <w:t>&gt; 6</w:t>
            </w:r>
          </w:p>
        </w:tc>
        <w:tc>
          <w:tcPr>
            <w:tcW w:w="1406" w:type="dxa"/>
            <w:tcBorders>
              <w:top w:val="nil"/>
              <w:left w:val="nil"/>
              <w:bottom w:val="single" w:sz="4" w:space="0" w:color="auto"/>
              <w:right w:val="single" w:sz="4" w:space="0" w:color="auto"/>
            </w:tcBorders>
            <w:shd w:val="clear" w:color="auto" w:fill="auto"/>
            <w:vAlign w:val="center"/>
            <w:hideMark/>
          </w:tcPr>
          <w:p w14:paraId="6FFA7039" w14:textId="77777777" w:rsidR="006A1A18" w:rsidRPr="006A1A18" w:rsidRDefault="006A1A18" w:rsidP="006A1A18">
            <w:pPr>
              <w:widowControl/>
              <w:jc w:val="center"/>
              <w:rPr>
                <w:rFonts w:ascii="Times" w:eastAsia="Times New Roman" w:hAnsi="Times" w:cs="Times"/>
                <w:color w:val="000000"/>
                <w:sz w:val="18"/>
                <w:szCs w:val="18"/>
                <w:lang w:eastAsia="es-HN"/>
              </w:rPr>
            </w:pPr>
            <w:r w:rsidRPr="006A1A18">
              <w:rPr>
                <w:rFonts w:ascii="Times" w:eastAsia="Times New Roman" w:hAnsi="Times" w:cs="Times"/>
                <w:color w:val="000000"/>
                <w:sz w:val="18"/>
                <w:szCs w:val="18"/>
                <w:lang w:eastAsia="es-HN"/>
              </w:rPr>
              <w:t>Activo/Patrimonio</w:t>
            </w:r>
          </w:p>
        </w:tc>
        <w:tc>
          <w:tcPr>
            <w:tcW w:w="884" w:type="dxa"/>
            <w:tcBorders>
              <w:top w:val="nil"/>
              <w:left w:val="nil"/>
              <w:bottom w:val="single" w:sz="4" w:space="0" w:color="auto"/>
              <w:right w:val="single" w:sz="4" w:space="0" w:color="auto"/>
            </w:tcBorders>
            <w:shd w:val="clear" w:color="000000" w:fill="00B050"/>
            <w:noWrap/>
            <w:vAlign w:val="center"/>
            <w:hideMark/>
          </w:tcPr>
          <w:p w14:paraId="75B03DAE" w14:textId="77777777" w:rsidR="006A1A18" w:rsidRPr="006A1A18" w:rsidRDefault="006A1A18" w:rsidP="006A1A18">
            <w:pPr>
              <w:widowControl/>
              <w:jc w:val="center"/>
              <w:rPr>
                <w:rFonts w:ascii="Times" w:eastAsia="Times New Roman" w:hAnsi="Times" w:cs="Times"/>
                <w:color w:val="000000"/>
                <w:sz w:val="18"/>
                <w:szCs w:val="18"/>
                <w:lang w:eastAsia="es-HN"/>
              </w:rPr>
            </w:pPr>
            <w:r w:rsidRPr="006A1A18">
              <w:rPr>
                <w:rFonts w:ascii="Times" w:eastAsia="Times New Roman" w:hAnsi="Times" w:cs="Times"/>
                <w:color w:val="000000"/>
                <w:sz w:val="18"/>
                <w:szCs w:val="18"/>
                <w:lang w:eastAsia="es-HN"/>
              </w:rPr>
              <w:t>5.4</w:t>
            </w:r>
          </w:p>
        </w:tc>
        <w:tc>
          <w:tcPr>
            <w:tcW w:w="884" w:type="dxa"/>
            <w:tcBorders>
              <w:top w:val="nil"/>
              <w:left w:val="nil"/>
              <w:bottom w:val="single" w:sz="4" w:space="0" w:color="auto"/>
              <w:right w:val="single" w:sz="4" w:space="0" w:color="auto"/>
            </w:tcBorders>
            <w:shd w:val="clear" w:color="000000" w:fill="FF0000"/>
            <w:noWrap/>
            <w:vAlign w:val="center"/>
            <w:hideMark/>
          </w:tcPr>
          <w:p w14:paraId="053B2989" w14:textId="77777777" w:rsidR="006A1A18" w:rsidRPr="006A1A18" w:rsidRDefault="006A1A18" w:rsidP="006A1A18">
            <w:pPr>
              <w:widowControl/>
              <w:jc w:val="center"/>
              <w:rPr>
                <w:rFonts w:ascii="Times" w:eastAsia="Times New Roman" w:hAnsi="Times" w:cs="Times"/>
                <w:color w:val="000000"/>
                <w:sz w:val="18"/>
                <w:szCs w:val="18"/>
                <w:lang w:eastAsia="es-HN"/>
              </w:rPr>
            </w:pPr>
            <w:r w:rsidRPr="006A1A18">
              <w:rPr>
                <w:rFonts w:ascii="Times" w:eastAsia="Times New Roman" w:hAnsi="Times" w:cs="Times"/>
                <w:color w:val="000000"/>
                <w:sz w:val="18"/>
                <w:szCs w:val="18"/>
                <w:lang w:eastAsia="es-HN"/>
              </w:rPr>
              <w:t>8.1</w:t>
            </w:r>
          </w:p>
        </w:tc>
        <w:tc>
          <w:tcPr>
            <w:tcW w:w="810" w:type="dxa"/>
            <w:tcBorders>
              <w:top w:val="nil"/>
              <w:left w:val="nil"/>
              <w:bottom w:val="single" w:sz="4" w:space="0" w:color="auto"/>
              <w:right w:val="single" w:sz="4" w:space="0" w:color="auto"/>
            </w:tcBorders>
            <w:shd w:val="clear" w:color="000000" w:fill="FF0000"/>
            <w:noWrap/>
            <w:vAlign w:val="center"/>
            <w:hideMark/>
          </w:tcPr>
          <w:p w14:paraId="49B520D8" w14:textId="77777777" w:rsidR="006A1A18" w:rsidRPr="006A1A18" w:rsidRDefault="006A1A18" w:rsidP="006A1A18">
            <w:pPr>
              <w:widowControl/>
              <w:jc w:val="center"/>
              <w:rPr>
                <w:rFonts w:ascii="Times" w:eastAsia="Times New Roman" w:hAnsi="Times" w:cs="Times"/>
                <w:color w:val="000000"/>
                <w:sz w:val="18"/>
                <w:szCs w:val="18"/>
                <w:lang w:eastAsia="es-HN"/>
              </w:rPr>
            </w:pPr>
            <w:r w:rsidRPr="006A1A18">
              <w:rPr>
                <w:rFonts w:ascii="Times" w:eastAsia="Times New Roman" w:hAnsi="Times" w:cs="Times"/>
                <w:color w:val="000000"/>
                <w:sz w:val="18"/>
                <w:szCs w:val="18"/>
                <w:lang w:eastAsia="es-HN"/>
              </w:rPr>
              <w:t>11.1</w:t>
            </w:r>
          </w:p>
        </w:tc>
        <w:tc>
          <w:tcPr>
            <w:tcW w:w="884" w:type="dxa"/>
            <w:tcBorders>
              <w:top w:val="nil"/>
              <w:left w:val="nil"/>
              <w:bottom w:val="single" w:sz="4" w:space="0" w:color="auto"/>
              <w:right w:val="single" w:sz="4" w:space="0" w:color="auto"/>
            </w:tcBorders>
            <w:shd w:val="clear" w:color="000000" w:fill="00B050"/>
            <w:noWrap/>
            <w:vAlign w:val="center"/>
            <w:hideMark/>
          </w:tcPr>
          <w:p w14:paraId="44B9E186" w14:textId="77777777" w:rsidR="006A1A18" w:rsidRPr="006A1A18" w:rsidRDefault="006A1A18" w:rsidP="006A1A18">
            <w:pPr>
              <w:widowControl/>
              <w:jc w:val="center"/>
              <w:rPr>
                <w:rFonts w:ascii="Times" w:eastAsia="Times New Roman" w:hAnsi="Times" w:cs="Times"/>
                <w:color w:val="000000"/>
                <w:sz w:val="18"/>
                <w:szCs w:val="18"/>
                <w:lang w:eastAsia="es-HN"/>
              </w:rPr>
            </w:pPr>
            <w:r w:rsidRPr="006A1A18">
              <w:rPr>
                <w:rFonts w:ascii="Times" w:eastAsia="Times New Roman" w:hAnsi="Times" w:cs="Times"/>
                <w:color w:val="000000"/>
                <w:sz w:val="18"/>
                <w:szCs w:val="18"/>
                <w:lang w:eastAsia="es-HN"/>
              </w:rPr>
              <w:t>4.9</w:t>
            </w:r>
          </w:p>
        </w:tc>
        <w:tc>
          <w:tcPr>
            <w:tcW w:w="884" w:type="dxa"/>
            <w:tcBorders>
              <w:top w:val="nil"/>
              <w:left w:val="nil"/>
              <w:bottom w:val="single" w:sz="4" w:space="0" w:color="auto"/>
              <w:right w:val="single" w:sz="4" w:space="0" w:color="auto"/>
            </w:tcBorders>
            <w:shd w:val="clear" w:color="000000" w:fill="00B050"/>
            <w:noWrap/>
            <w:vAlign w:val="center"/>
            <w:hideMark/>
          </w:tcPr>
          <w:p w14:paraId="2A0DB077" w14:textId="77777777" w:rsidR="006A1A18" w:rsidRPr="006A1A18" w:rsidRDefault="006A1A18" w:rsidP="006A1A18">
            <w:pPr>
              <w:widowControl/>
              <w:jc w:val="center"/>
              <w:rPr>
                <w:rFonts w:ascii="Times" w:eastAsia="Times New Roman" w:hAnsi="Times" w:cs="Times"/>
                <w:color w:val="000000"/>
                <w:sz w:val="18"/>
                <w:szCs w:val="18"/>
                <w:lang w:eastAsia="es-HN"/>
              </w:rPr>
            </w:pPr>
            <w:r w:rsidRPr="006A1A18">
              <w:rPr>
                <w:rFonts w:ascii="Times" w:eastAsia="Times New Roman" w:hAnsi="Times" w:cs="Times"/>
                <w:color w:val="000000"/>
                <w:sz w:val="18"/>
                <w:szCs w:val="18"/>
                <w:lang w:eastAsia="es-HN"/>
              </w:rPr>
              <w:t>5.6</w:t>
            </w:r>
          </w:p>
        </w:tc>
      </w:tr>
      <w:tr w:rsidR="006A1A18" w:rsidRPr="006A1A18" w14:paraId="31AA4528" w14:textId="77777777" w:rsidTr="00AE1556">
        <w:trPr>
          <w:trHeight w:val="416"/>
        </w:trPr>
        <w:tc>
          <w:tcPr>
            <w:tcW w:w="1117" w:type="dxa"/>
            <w:tcBorders>
              <w:top w:val="nil"/>
              <w:left w:val="single" w:sz="4" w:space="0" w:color="auto"/>
              <w:bottom w:val="single" w:sz="4" w:space="0" w:color="auto"/>
              <w:right w:val="single" w:sz="4" w:space="0" w:color="auto"/>
            </w:tcBorders>
            <w:shd w:val="clear" w:color="auto" w:fill="auto"/>
            <w:vAlign w:val="center"/>
            <w:hideMark/>
          </w:tcPr>
          <w:p w14:paraId="7193B615" w14:textId="31F8C4BD" w:rsidR="006A1A18" w:rsidRPr="006A1A18" w:rsidRDefault="00A94E5E" w:rsidP="006A1A18">
            <w:pPr>
              <w:widowControl/>
              <w:jc w:val="center"/>
              <w:rPr>
                <w:rFonts w:ascii="Times" w:eastAsia="Times New Roman" w:hAnsi="Times" w:cs="Times"/>
                <w:color w:val="000000"/>
                <w:sz w:val="18"/>
                <w:szCs w:val="18"/>
                <w:lang w:eastAsia="es-HN"/>
              </w:rPr>
            </w:pPr>
            <w:r w:rsidRPr="006A1A18">
              <w:rPr>
                <w:rFonts w:ascii="Times" w:eastAsia="Times New Roman" w:hAnsi="Times" w:cs="Times"/>
                <w:color w:val="000000"/>
                <w:sz w:val="18"/>
                <w:szCs w:val="18"/>
                <w:lang w:eastAsia="es-HN"/>
              </w:rPr>
              <w:t>Índice</w:t>
            </w:r>
            <w:r w:rsidR="006A1A18" w:rsidRPr="006A1A18">
              <w:rPr>
                <w:rFonts w:ascii="Times" w:eastAsia="Times New Roman" w:hAnsi="Times" w:cs="Times"/>
                <w:color w:val="000000"/>
                <w:sz w:val="18"/>
                <w:szCs w:val="18"/>
                <w:lang w:eastAsia="es-HN"/>
              </w:rPr>
              <w:t xml:space="preserve"> Mora Mayor a 8 </w:t>
            </w:r>
            <w:r w:rsidRPr="006A1A18">
              <w:rPr>
                <w:rFonts w:ascii="Times" w:eastAsia="Times New Roman" w:hAnsi="Times" w:cs="Times"/>
                <w:color w:val="000000"/>
                <w:sz w:val="18"/>
                <w:szCs w:val="18"/>
                <w:lang w:eastAsia="es-HN"/>
              </w:rPr>
              <w:t>días</w:t>
            </w:r>
          </w:p>
        </w:tc>
        <w:tc>
          <w:tcPr>
            <w:tcW w:w="786" w:type="dxa"/>
            <w:tcBorders>
              <w:top w:val="nil"/>
              <w:left w:val="nil"/>
              <w:bottom w:val="single" w:sz="4" w:space="0" w:color="auto"/>
              <w:right w:val="single" w:sz="4" w:space="0" w:color="auto"/>
            </w:tcBorders>
            <w:shd w:val="clear" w:color="000000" w:fill="00B050"/>
            <w:noWrap/>
            <w:vAlign w:val="center"/>
            <w:hideMark/>
          </w:tcPr>
          <w:p w14:paraId="4ABD2A94" w14:textId="77777777" w:rsidR="006A1A18" w:rsidRPr="006A1A18" w:rsidRDefault="006A1A18" w:rsidP="006A1A18">
            <w:pPr>
              <w:widowControl/>
              <w:jc w:val="center"/>
              <w:rPr>
                <w:rFonts w:ascii="Times" w:eastAsia="Times New Roman" w:hAnsi="Times" w:cs="Times"/>
                <w:color w:val="000000"/>
                <w:sz w:val="18"/>
                <w:szCs w:val="18"/>
                <w:lang w:eastAsia="es-HN"/>
              </w:rPr>
            </w:pPr>
            <w:r w:rsidRPr="006A1A18">
              <w:rPr>
                <w:rFonts w:ascii="Times" w:eastAsia="Times New Roman" w:hAnsi="Times" w:cs="Times"/>
                <w:color w:val="000000"/>
                <w:sz w:val="18"/>
                <w:szCs w:val="18"/>
                <w:lang w:eastAsia="es-HN"/>
              </w:rPr>
              <w:t>&lt; 10%</w:t>
            </w:r>
          </w:p>
        </w:tc>
        <w:tc>
          <w:tcPr>
            <w:tcW w:w="910" w:type="dxa"/>
            <w:tcBorders>
              <w:top w:val="nil"/>
              <w:left w:val="nil"/>
              <w:bottom w:val="single" w:sz="4" w:space="0" w:color="auto"/>
              <w:right w:val="single" w:sz="4" w:space="0" w:color="auto"/>
            </w:tcBorders>
            <w:shd w:val="clear" w:color="000000" w:fill="FFFF00"/>
            <w:noWrap/>
            <w:vAlign w:val="center"/>
            <w:hideMark/>
          </w:tcPr>
          <w:p w14:paraId="56175FC8" w14:textId="77777777" w:rsidR="006A1A18" w:rsidRPr="006A1A18" w:rsidRDefault="006A1A18" w:rsidP="006A1A18">
            <w:pPr>
              <w:widowControl/>
              <w:jc w:val="center"/>
              <w:rPr>
                <w:rFonts w:ascii="Times" w:eastAsia="Times New Roman" w:hAnsi="Times" w:cs="Times"/>
                <w:color w:val="000000"/>
                <w:sz w:val="18"/>
                <w:szCs w:val="18"/>
                <w:lang w:eastAsia="es-HN"/>
              </w:rPr>
            </w:pPr>
            <w:r w:rsidRPr="006A1A18">
              <w:rPr>
                <w:rFonts w:ascii="Times" w:eastAsia="Times New Roman" w:hAnsi="Times" w:cs="Times"/>
                <w:color w:val="000000"/>
                <w:sz w:val="18"/>
                <w:szCs w:val="18"/>
                <w:lang w:eastAsia="es-HN"/>
              </w:rPr>
              <w:t xml:space="preserve"> = 10%</w:t>
            </w:r>
          </w:p>
        </w:tc>
        <w:tc>
          <w:tcPr>
            <w:tcW w:w="785" w:type="dxa"/>
            <w:tcBorders>
              <w:top w:val="nil"/>
              <w:left w:val="nil"/>
              <w:bottom w:val="single" w:sz="4" w:space="0" w:color="auto"/>
              <w:right w:val="single" w:sz="4" w:space="0" w:color="auto"/>
            </w:tcBorders>
            <w:shd w:val="clear" w:color="000000" w:fill="FF0000"/>
            <w:noWrap/>
            <w:vAlign w:val="center"/>
            <w:hideMark/>
          </w:tcPr>
          <w:p w14:paraId="59C26AB3" w14:textId="77777777" w:rsidR="006A1A18" w:rsidRPr="006A1A18" w:rsidRDefault="006A1A18" w:rsidP="006A1A18">
            <w:pPr>
              <w:widowControl/>
              <w:jc w:val="center"/>
              <w:rPr>
                <w:rFonts w:ascii="Times" w:eastAsia="Times New Roman" w:hAnsi="Times" w:cs="Times"/>
                <w:color w:val="000000"/>
                <w:sz w:val="18"/>
                <w:szCs w:val="18"/>
                <w:lang w:eastAsia="es-HN"/>
              </w:rPr>
            </w:pPr>
            <w:r w:rsidRPr="006A1A18">
              <w:rPr>
                <w:rFonts w:ascii="Times" w:eastAsia="Times New Roman" w:hAnsi="Times" w:cs="Times"/>
                <w:color w:val="000000"/>
                <w:sz w:val="18"/>
                <w:szCs w:val="18"/>
                <w:lang w:eastAsia="es-HN"/>
              </w:rPr>
              <w:t>&gt; 10%</w:t>
            </w:r>
          </w:p>
        </w:tc>
        <w:tc>
          <w:tcPr>
            <w:tcW w:w="1406" w:type="dxa"/>
            <w:tcBorders>
              <w:top w:val="nil"/>
              <w:left w:val="nil"/>
              <w:bottom w:val="single" w:sz="4" w:space="0" w:color="auto"/>
              <w:right w:val="single" w:sz="4" w:space="0" w:color="auto"/>
            </w:tcBorders>
            <w:shd w:val="clear" w:color="auto" w:fill="auto"/>
            <w:vAlign w:val="center"/>
            <w:hideMark/>
          </w:tcPr>
          <w:p w14:paraId="12843636" w14:textId="1A738DEB" w:rsidR="006A1A18" w:rsidRPr="006A1A18" w:rsidRDefault="006A1A18" w:rsidP="006A1A18">
            <w:pPr>
              <w:widowControl/>
              <w:jc w:val="center"/>
              <w:rPr>
                <w:rFonts w:ascii="Times" w:eastAsia="Times New Roman" w:hAnsi="Times" w:cs="Times"/>
                <w:color w:val="000000"/>
                <w:sz w:val="18"/>
                <w:szCs w:val="18"/>
                <w:lang w:eastAsia="es-HN"/>
              </w:rPr>
            </w:pPr>
            <w:r w:rsidRPr="006A1A18">
              <w:rPr>
                <w:rFonts w:ascii="Times" w:eastAsia="Times New Roman" w:hAnsi="Times" w:cs="Times"/>
                <w:color w:val="000000"/>
                <w:sz w:val="18"/>
                <w:szCs w:val="18"/>
                <w:lang w:eastAsia="es-HN"/>
              </w:rPr>
              <w:t xml:space="preserve">Créditos en Mora &gt; 8 </w:t>
            </w:r>
            <w:r w:rsidR="00A94E5E" w:rsidRPr="006A1A18">
              <w:rPr>
                <w:rFonts w:ascii="Times" w:eastAsia="Times New Roman" w:hAnsi="Times" w:cs="Times"/>
                <w:color w:val="000000"/>
                <w:sz w:val="18"/>
                <w:szCs w:val="18"/>
                <w:lang w:eastAsia="es-HN"/>
              </w:rPr>
              <w:t>días</w:t>
            </w:r>
            <w:r w:rsidRPr="006A1A18">
              <w:rPr>
                <w:rFonts w:ascii="Times" w:eastAsia="Times New Roman" w:hAnsi="Times" w:cs="Times"/>
                <w:color w:val="000000"/>
                <w:sz w:val="18"/>
                <w:szCs w:val="18"/>
                <w:lang w:eastAsia="es-HN"/>
              </w:rPr>
              <w:t>/Cartera Crediticia</w:t>
            </w:r>
          </w:p>
        </w:tc>
        <w:tc>
          <w:tcPr>
            <w:tcW w:w="884" w:type="dxa"/>
            <w:tcBorders>
              <w:top w:val="nil"/>
              <w:left w:val="nil"/>
              <w:bottom w:val="single" w:sz="4" w:space="0" w:color="auto"/>
              <w:right w:val="single" w:sz="4" w:space="0" w:color="auto"/>
            </w:tcBorders>
            <w:shd w:val="clear" w:color="000000" w:fill="FF0000"/>
            <w:noWrap/>
            <w:vAlign w:val="center"/>
            <w:hideMark/>
          </w:tcPr>
          <w:p w14:paraId="75207FA5" w14:textId="77777777" w:rsidR="006A1A18" w:rsidRPr="006A1A18" w:rsidRDefault="006A1A18" w:rsidP="006A1A18">
            <w:pPr>
              <w:widowControl/>
              <w:jc w:val="center"/>
              <w:rPr>
                <w:rFonts w:ascii="Times" w:eastAsia="Times New Roman" w:hAnsi="Times" w:cs="Times"/>
                <w:color w:val="000000"/>
                <w:sz w:val="18"/>
                <w:szCs w:val="18"/>
                <w:lang w:eastAsia="es-HN"/>
              </w:rPr>
            </w:pPr>
            <w:r w:rsidRPr="006A1A18">
              <w:rPr>
                <w:rFonts w:ascii="Times" w:eastAsia="Times New Roman" w:hAnsi="Times" w:cs="Times"/>
                <w:color w:val="000000"/>
                <w:sz w:val="18"/>
                <w:szCs w:val="18"/>
                <w:lang w:eastAsia="es-HN"/>
              </w:rPr>
              <w:t>24%</w:t>
            </w:r>
          </w:p>
        </w:tc>
        <w:tc>
          <w:tcPr>
            <w:tcW w:w="884" w:type="dxa"/>
            <w:tcBorders>
              <w:top w:val="nil"/>
              <w:left w:val="nil"/>
              <w:bottom w:val="single" w:sz="4" w:space="0" w:color="auto"/>
              <w:right w:val="single" w:sz="4" w:space="0" w:color="auto"/>
            </w:tcBorders>
            <w:shd w:val="clear" w:color="000000" w:fill="FF0000"/>
            <w:noWrap/>
            <w:vAlign w:val="center"/>
            <w:hideMark/>
          </w:tcPr>
          <w:p w14:paraId="7ACDC876" w14:textId="77777777" w:rsidR="006A1A18" w:rsidRPr="006A1A18" w:rsidRDefault="006A1A18" w:rsidP="006A1A18">
            <w:pPr>
              <w:widowControl/>
              <w:jc w:val="center"/>
              <w:rPr>
                <w:rFonts w:ascii="Times" w:eastAsia="Times New Roman" w:hAnsi="Times" w:cs="Times"/>
                <w:color w:val="000000"/>
                <w:sz w:val="18"/>
                <w:szCs w:val="18"/>
                <w:lang w:eastAsia="es-HN"/>
              </w:rPr>
            </w:pPr>
            <w:r w:rsidRPr="006A1A18">
              <w:rPr>
                <w:rFonts w:ascii="Times" w:eastAsia="Times New Roman" w:hAnsi="Times" w:cs="Times"/>
                <w:color w:val="000000"/>
                <w:sz w:val="18"/>
                <w:szCs w:val="18"/>
                <w:lang w:eastAsia="es-HN"/>
              </w:rPr>
              <w:t>37%</w:t>
            </w:r>
          </w:p>
        </w:tc>
        <w:tc>
          <w:tcPr>
            <w:tcW w:w="810" w:type="dxa"/>
            <w:tcBorders>
              <w:top w:val="nil"/>
              <w:left w:val="nil"/>
              <w:bottom w:val="single" w:sz="4" w:space="0" w:color="auto"/>
              <w:right w:val="single" w:sz="4" w:space="0" w:color="auto"/>
            </w:tcBorders>
            <w:shd w:val="clear" w:color="000000" w:fill="FF0000"/>
            <w:noWrap/>
            <w:vAlign w:val="center"/>
            <w:hideMark/>
          </w:tcPr>
          <w:p w14:paraId="439049E2" w14:textId="77777777" w:rsidR="006A1A18" w:rsidRPr="006A1A18" w:rsidRDefault="006A1A18" w:rsidP="006A1A18">
            <w:pPr>
              <w:widowControl/>
              <w:jc w:val="center"/>
              <w:rPr>
                <w:rFonts w:ascii="Times" w:eastAsia="Times New Roman" w:hAnsi="Times" w:cs="Times"/>
                <w:color w:val="000000"/>
                <w:sz w:val="18"/>
                <w:szCs w:val="18"/>
                <w:lang w:eastAsia="es-HN"/>
              </w:rPr>
            </w:pPr>
            <w:r w:rsidRPr="006A1A18">
              <w:rPr>
                <w:rFonts w:ascii="Times" w:eastAsia="Times New Roman" w:hAnsi="Times" w:cs="Times"/>
                <w:color w:val="000000"/>
                <w:sz w:val="18"/>
                <w:szCs w:val="18"/>
                <w:lang w:eastAsia="es-HN"/>
              </w:rPr>
              <w:t>32%</w:t>
            </w:r>
          </w:p>
        </w:tc>
        <w:tc>
          <w:tcPr>
            <w:tcW w:w="884" w:type="dxa"/>
            <w:tcBorders>
              <w:top w:val="nil"/>
              <w:left w:val="nil"/>
              <w:bottom w:val="single" w:sz="4" w:space="0" w:color="auto"/>
              <w:right w:val="single" w:sz="4" w:space="0" w:color="auto"/>
            </w:tcBorders>
            <w:shd w:val="clear" w:color="000000" w:fill="FF0000"/>
            <w:noWrap/>
            <w:vAlign w:val="center"/>
            <w:hideMark/>
          </w:tcPr>
          <w:p w14:paraId="116F360D" w14:textId="77777777" w:rsidR="006A1A18" w:rsidRPr="006A1A18" w:rsidRDefault="006A1A18" w:rsidP="006A1A18">
            <w:pPr>
              <w:widowControl/>
              <w:jc w:val="center"/>
              <w:rPr>
                <w:rFonts w:ascii="Times" w:eastAsia="Times New Roman" w:hAnsi="Times" w:cs="Times"/>
                <w:color w:val="000000"/>
                <w:sz w:val="18"/>
                <w:szCs w:val="18"/>
                <w:lang w:eastAsia="es-HN"/>
              </w:rPr>
            </w:pPr>
            <w:r w:rsidRPr="006A1A18">
              <w:rPr>
                <w:rFonts w:ascii="Times" w:eastAsia="Times New Roman" w:hAnsi="Times" w:cs="Times"/>
                <w:color w:val="000000"/>
                <w:sz w:val="18"/>
                <w:szCs w:val="18"/>
                <w:lang w:eastAsia="es-HN"/>
              </w:rPr>
              <w:t>30%</w:t>
            </w:r>
          </w:p>
        </w:tc>
        <w:tc>
          <w:tcPr>
            <w:tcW w:w="884" w:type="dxa"/>
            <w:tcBorders>
              <w:top w:val="nil"/>
              <w:left w:val="nil"/>
              <w:bottom w:val="single" w:sz="4" w:space="0" w:color="auto"/>
              <w:right w:val="single" w:sz="4" w:space="0" w:color="auto"/>
            </w:tcBorders>
            <w:shd w:val="clear" w:color="000000" w:fill="FF0000"/>
            <w:noWrap/>
            <w:vAlign w:val="center"/>
            <w:hideMark/>
          </w:tcPr>
          <w:p w14:paraId="7279471E" w14:textId="77777777" w:rsidR="006A1A18" w:rsidRPr="006A1A18" w:rsidRDefault="006A1A18" w:rsidP="006A1A18">
            <w:pPr>
              <w:widowControl/>
              <w:jc w:val="center"/>
              <w:rPr>
                <w:rFonts w:ascii="Times" w:eastAsia="Times New Roman" w:hAnsi="Times" w:cs="Times"/>
                <w:color w:val="000000"/>
                <w:sz w:val="18"/>
                <w:szCs w:val="18"/>
                <w:lang w:eastAsia="es-HN"/>
              </w:rPr>
            </w:pPr>
            <w:r w:rsidRPr="006A1A18">
              <w:rPr>
                <w:rFonts w:ascii="Times" w:eastAsia="Times New Roman" w:hAnsi="Times" w:cs="Times"/>
                <w:color w:val="000000"/>
                <w:sz w:val="18"/>
                <w:szCs w:val="18"/>
                <w:lang w:eastAsia="es-HN"/>
              </w:rPr>
              <w:t>30%</w:t>
            </w:r>
          </w:p>
        </w:tc>
      </w:tr>
      <w:tr w:rsidR="006A1A18" w:rsidRPr="006A1A18" w14:paraId="441DB92D" w14:textId="77777777" w:rsidTr="00AE1556">
        <w:trPr>
          <w:trHeight w:val="625"/>
        </w:trPr>
        <w:tc>
          <w:tcPr>
            <w:tcW w:w="1117" w:type="dxa"/>
            <w:tcBorders>
              <w:top w:val="nil"/>
              <w:left w:val="single" w:sz="4" w:space="0" w:color="auto"/>
              <w:bottom w:val="single" w:sz="4" w:space="0" w:color="auto"/>
              <w:right w:val="single" w:sz="4" w:space="0" w:color="auto"/>
            </w:tcBorders>
            <w:shd w:val="clear" w:color="auto" w:fill="auto"/>
            <w:vAlign w:val="center"/>
            <w:hideMark/>
          </w:tcPr>
          <w:p w14:paraId="6C2BE1BA" w14:textId="37831616" w:rsidR="006A1A18" w:rsidRPr="006A1A18" w:rsidRDefault="00A94E5E" w:rsidP="006A1A18">
            <w:pPr>
              <w:widowControl/>
              <w:jc w:val="center"/>
              <w:rPr>
                <w:rFonts w:ascii="Times" w:eastAsia="Times New Roman" w:hAnsi="Times" w:cs="Times"/>
                <w:color w:val="000000"/>
                <w:sz w:val="18"/>
                <w:szCs w:val="18"/>
                <w:lang w:eastAsia="es-HN"/>
              </w:rPr>
            </w:pPr>
            <w:r w:rsidRPr="006A1A18">
              <w:rPr>
                <w:rFonts w:ascii="Times" w:eastAsia="Times New Roman" w:hAnsi="Times" w:cs="Times"/>
                <w:color w:val="000000"/>
                <w:sz w:val="18"/>
                <w:szCs w:val="18"/>
                <w:lang w:eastAsia="es-HN"/>
              </w:rPr>
              <w:t>Índice</w:t>
            </w:r>
            <w:r w:rsidR="006A1A18" w:rsidRPr="006A1A18">
              <w:rPr>
                <w:rFonts w:ascii="Times" w:eastAsia="Times New Roman" w:hAnsi="Times" w:cs="Times"/>
                <w:color w:val="000000"/>
                <w:sz w:val="18"/>
                <w:szCs w:val="18"/>
                <w:lang w:eastAsia="es-HN"/>
              </w:rPr>
              <w:t xml:space="preserve"> Mora Mayor a 30 </w:t>
            </w:r>
            <w:r w:rsidRPr="006A1A18">
              <w:rPr>
                <w:rFonts w:ascii="Times" w:eastAsia="Times New Roman" w:hAnsi="Times" w:cs="Times"/>
                <w:color w:val="000000"/>
                <w:sz w:val="18"/>
                <w:szCs w:val="18"/>
                <w:lang w:eastAsia="es-HN"/>
              </w:rPr>
              <w:t>días</w:t>
            </w:r>
          </w:p>
        </w:tc>
        <w:tc>
          <w:tcPr>
            <w:tcW w:w="786" w:type="dxa"/>
            <w:tcBorders>
              <w:top w:val="nil"/>
              <w:left w:val="nil"/>
              <w:bottom w:val="single" w:sz="4" w:space="0" w:color="auto"/>
              <w:right w:val="single" w:sz="4" w:space="0" w:color="auto"/>
            </w:tcBorders>
            <w:shd w:val="clear" w:color="000000" w:fill="00B050"/>
            <w:noWrap/>
            <w:vAlign w:val="center"/>
            <w:hideMark/>
          </w:tcPr>
          <w:p w14:paraId="6A7F805F" w14:textId="77777777" w:rsidR="006A1A18" w:rsidRPr="006A1A18" w:rsidRDefault="006A1A18" w:rsidP="006A1A18">
            <w:pPr>
              <w:widowControl/>
              <w:jc w:val="center"/>
              <w:rPr>
                <w:rFonts w:ascii="Times" w:eastAsia="Times New Roman" w:hAnsi="Times" w:cs="Times"/>
                <w:color w:val="000000"/>
                <w:sz w:val="18"/>
                <w:szCs w:val="18"/>
                <w:lang w:eastAsia="es-HN"/>
              </w:rPr>
            </w:pPr>
            <w:r w:rsidRPr="006A1A18">
              <w:rPr>
                <w:rFonts w:ascii="Times" w:eastAsia="Times New Roman" w:hAnsi="Times" w:cs="Times"/>
                <w:color w:val="000000"/>
                <w:sz w:val="18"/>
                <w:szCs w:val="18"/>
                <w:lang w:eastAsia="es-HN"/>
              </w:rPr>
              <w:t xml:space="preserve">&lt; 5% </w:t>
            </w:r>
          </w:p>
        </w:tc>
        <w:tc>
          <w:tcPr>
            <w:tcW w:w="910" w:type="dxa"/>
            <w:tcBorders>
              <w:top w:val="nil"/>
              <w:left w:val="nil"/>
              <w:bottom w:val="single" w:sz="4" w:space="0" w:color="auto"/>
              <w:right w:val="single" w:sz="4" w:space="0" w:color="auto"/>
            </w:tcBorders>
            <w:shd w:val="clear" w:color="000000" w:fill="FFFF00"/>
            <w:noWrap/>
            <w:vAlign w:val="center"/>
            <w:hideMark/>
          </w:tcPr>
          <w:p w14:paraId="386CBA9E" w14:textId="77777777" w:rsidR="006A1A18" w:rsidRPr="006A1A18" w:rsidRDefault="006A1A18" w:rsidP="006A1A18">
            <w:pPr>
              <w:widowControl/>
              <w:jc w:val="center"/>
              <w:rPr>
                <w:rFonts w:ascii="Times" w:eastAsia="Times New Roman" w:hAnsi="Times" w:cs="Times"/>
                <w:color w:val="000000"/>
                <w:sz w:val="18"/>
                <w:szCs w:val="18"/>
                <w:lang w:eastAsia="es-HN"/>
              </w:rPr>
            </w:pPr>
            <w:r w:rsidRPr="006A1A18">
              <w:rPr>
                <w:rFonts w:ascii="Times" w:eastAsia="Times New Roman" w:hAnsi="Times" w:cs="Times"/>
                <w:color w:val="000000"/>
                <w:sz w:val="18"/>
                <w:szCs w:val="18"/>
                <w:lang w:eastAsia="es-HN"/>
              </w:rPr>
              <w:t xml:space="preserve"> = 5%</w:t>
            </w:r>
          </w:p>
        </w:tc>
        <w:tc>
          <w:tcPr>
            <w:tcW w:w="785" w:type="dxa"/>
            <w:tcBorders>
              <w:top w:val="nil"/>
              <w:left w:val="nil"/>
              <w:bottom w:val="single" w:sz="4" w:space="0" w:color="auto"/>
              <w:right w:val="single" w:sz="4" w:space="0" w:color="auto"/>
            </w:tcBorders>
            <w:shd w:val="clear" w:color="000000" w:fill="FF0000"/>
            <w:noWrap/>
            <w:vAlign w:val="center"/>
            <w:hideMark/>
          </w:tcPr>
          <w:p w14:paraId="3E400DC6" w14:textId="77777777" w:rsidR="006A1A18" w:rsidRPr="006A1A18" w:rsidRDefault="006A1A18" w:rsidP="006A1A18">
            <w:pPr>
              <w:widowControl/>
              <w:jc w:val="center"/>
              <w:rPr>
                <w:rFonts w:ascii="Times" w:eastAsia="Times New Roman" w:hAnsi="Times" w:cs="Times"/>
                <w:color w:val="000000"/>
                <w:sz w:val="18"/>
                <w:szCs w:val="18"/>
                <w:lang w:eastAsia="es-HN"/>
              </w:rPr>
            </w:pPr>
            <w:r w:rsidRPr="006A1A18">
              <w:rPr>
                <w:rFonts w:ascii="Times" w:eastAsia="Times New Roman" w:hAnsi="Times" w:cs="Times"/>
                <w:color w:val="000000"/>
                <w:sz w:val="18"/>
                <w:szCs w:val="18"/>
                <w:lang w:eastAsia="es-HN"/>
              </w:rPr>
              <w:t>&gt; 5%</w:t>
            </w:r>
          </w:p>
        </w:tc>
        <w:tc>
          <w:tcPr>
            <w:tcW w:w="1406" w:type="dxa"/>
            <w:tcBorders>
              <w:top w:val="nil"/>
              <w:left w:val="nil"/>
              <w:bottom w:val="single" w:sz="4" w:space="0" w:color="auto"/>
              <w:right w:val="single" w:sz="4" w:space="0" w:color="auto"/>
            </w:tcBorders>
            <w:shd w:val="clear" w:color="auto" w:fill="auto"/>
            <w:vAlign w:val="center"/>
            <w:hideMark/>
          </w:tcPr>
          <w:p w14:paraId="3A5D3E9F" w14:textId="61DBAE35" w:rsidR="006A1A18" w:rsidRPr="006A1A18" w:rsidRDefault="006A1A18" w:rsidP="006A1A18">
            <w:pPr>
              <w:widowControl/>
              <w:jc w:val="center"/>
              <w:rPr>
                <w:rFonts w:ascii="Times" w:eastAsia="Times New Roman" w:hAnsi="Times" w:cs="Times"/>
                <w:color w:val="000000"/>
                <w:sz w:val="18"/>
                <w:szCs w:val="18"/>
                <w:lang w:eastAsia="es-HN"/>
              </w:rPr>
            </w:pPr>
            <w:r w:rsidRPr="006A1A18">
              <w:rPr>
                <w:rFonts w:ascii="Times" w:eastAsia="Times New Roman" w:hAnsi="Times" w:cs="Times"/>
                <w:color w:val="000000"/>
                <w:sz w:val="18"/>
                <w:szCs w:val="18"/>
                <w:lang w:eastAsia="es-HN"/>
              </w:rPr>
              <w:t xml:space="preserve">Créditos en Mora &gt; 30 </w:t>
            </w:r>
            <w:r w:rsidR="00A94E5E" w:rsidRPr="006A1A18">
              <w:rPr>
                <w:rFonts w:ascii="Times" w:eastAsia="Times New Roman" w:hAnsi="Times" w:cs="Times"/>
                <w:color w:val="000000"/>
                <w:sz w:val="18"/>
                <w:szCs w:val="18"/>
                <w:lang w:eastAsia="es-HN"/>
              </w:rPr>
              <w:t>días</w:t>
            </w:r>
            <w:r w:rsidRPr="006A1A18">
              <w:rPr>
                <w:rFonts w:ascii="Times" w:eastAsia="Times New Roman" w:hAnsi="Times" w:cs="Times"/>
                <w:color w:val="000000"/>
                <w:sz w:val="18"/>
                <w:szCs w:val="18"/>
                <w:lang w:eastAsia="es-HN"/>
              </w:rPr>
              <w:t>/Cartera Crediticia</w:t>
            </w:r>
          </w:p>
        </w:tc>
        <w:tc>
          <w:tcPr>
            <w:tcW w:w="884" w:type="dxa"/>
            <w:tcBorders>
              <w:top w:val="nil"/>
              <w:left w:val="nil"/>
              <w:bottom w:val="single" w:sz="4" w:space="0" w:color="auto"/>
              <w:right w:val="single" w:sz="4" w:space="0" w:color="auto"/>
            </w:tcBorders>
            <w:shd w:val="clear" w:color="000000" w:fill="FF0000"/>
            <w:noWrap/>
            <w:vAlign w:val="center"/>
            <w:hideMark/>
          </w:tcPr>
          <w:p w14:paraId="26381D80" w14:textId="77777777" w:rsidR="006A1A18" w:rsidRPr="006A1A18" w:rsidRDefault="006A1A18" w:rsidP="006A1A18">
            <w:pPr>
              <w:widowControl/>
              <w:jc w:val="center"/>
              <w:rPr>
                <w:rFonts w:ascii="Times" w:eastAsia="Times New Roman" w:hAnsi="Times" w:cs="Times"/>
                <w:color w:val="000000"/>
                <w:sz w:val="18"/>
                <w:szCs w:val="18"/>
                <w:lang w:eastAsia="es-HN"/>
              </w:rPr>
            </w:pPr>
            <w:r w:rsidRPr="006A1A18">
              <w:rPr>
                <w:rFonts w:ascii="Times" w:eastAsia="Times New Roman" w:hAnsi="Times" w:cs="Times"/>
                <w:color w:val="000000"/>
                <w:sz w:val="18"/>
                <w:szCs w:val="18"/>
                <w:lang w:eastAsia="es-HN"/>
              </w:rPr>
              <w:t>22%</w:t>
            </w:r>
          </w:p>
        </w:tc>
        <w:tc>
          <w:tcPr>
            <w:tcW w:w="884" w:type="dxa"/>
            <w:tcBorders>
              <w:top w:val="nil"/>
              <w:left w:val="nil"/>
              <w:bottom w:val="single" w:sz="4" w:space="0" w:color="auto"/>
              <w:right w:val="single" w:sz="4" w:space="0" w:color="auto"/>
            </w:tcBorders>
            <w:shd w:val="clear" w:color="000000" w:fill="FF0000"/>
            <w:noWrap/>
            <w:vAlign w:val="center"/>
            <w:hideMark/>
          </w:tcPr>
          <w:p w14:paraId="51D072C4" w14:textId="77777777" w:rsidR="006A1A18" w:rsidRPr="006A1A18" w:rsidRDefault="006A1A18" w:rsidP="006A1A18">
            <w:pPr>
              <w:widowControl/>
              <w:jc w:val="center"/>
              <w:rPr>
                <w:rFonts w:ascii="Times" w:eastAsia="Times New Roman" w:hAnsi="Times" w:cs="Times"/>
                <w:color w:val="000000"/>
                <w:sz w:val="18"/>
                <w:szCs w:val="18"/>
                <w:lang w:eastAsia="es-HN"/>
              </w:rPr>
            </w:pPr>
            <w:r w:rsidRPr="006A1A18">
              <w:rPr>
                <w:rFonts w:ascii="Times" w:eastAsia="Times New Roman" w:hAnsi="Times" w:cs="Times"/>
                <w:color w:val="000000"/>
                <w:sz w:val="18"/>
                <w:szCs w:val="18"/>
                <w:lang w:eastAsia="es-HN"/>
              </w:rPr>
              <w:t>34%</w:t>
            </w:r>
          </w:p>
        </w:tc>
        <w:tc>
          <w:tcPr>
            <w:tcW w:w="810" w:type="dxa"/>
            <w:tcBorders>
              <w:top w:val="nil"/>
              <w:left w:val="nil"/>
              <w:bottom w:val="single" w:sz="4" w:space="0" w:color="auto"/>
              <w:right w:val="single" w:sz="4" w:space="0" w:color="auto"/>
            </w:tcBorders>
            <w:shd w:val="clear" w:color="000000" w:fill="FF0000"/>
            <w:noWrap/>
            <w:vAlign w:val="center"/>
            <w:hideMark/>
          </w:tcPr>
          <w:p w14:paraId="44CFBD0B" w14:textId="77777777" w:rsidR="006A1A18" w:rsidRPr="006A1A18" w:rsidRDefault="006A1A18" w:rsidP="006A1A18">
            <w:pPr>
              <w:widowControl/>
              <w:jc w:val="center"/>
              <w:rPr>
                <w:rFonts w:ascii="Times" w:eastAsia="Times New Roman" w:hAnsi="Times" w:cs="Times"/>
                <w:color w:val="000000"/>
                <w:sz w:val="18"/>
                <w:szCs w:val="18"/>
                <w:lang w:eastAsia="es-HN"/>
              </w:rPr>
            </w:pPr>
            <w:r w:rsidRPr="006A1A18">
              <w:rPr>
                <w:rFonts w:ascii="Times" w:eastAsia="Times New Roman" w:hAnsi="Times" w:cs="Times"/>
                <w:color w:val="000000"/>
                <w:sz w:val="18"/>
                <w:szCs w:val="18"/>
                <w:lang w:eastAsia="es-HN"/>
              </w:rPr>
              <w:t>29%</w:t>
            </w:r>
          </w:p>
        </w:tc>
        <w:tc>
          <w:tcPr>
            <w:tcW w:w="884" w:type="dxa"/>
            <w:tcBorders>
              <w:top w:val="nil"/>
              <w:left w:val="nil"/>
              <w:bottom w:val="single" w:sz="4" w:space="0" w:color="auto"/>
              <w:right w:val="single" w:sz="4" w:space="0" w:color="auto"/>
            </w:tcBorders>
            <w:shd w:val="clear" w:color="000000" w:fill="FF0000"/>
            <w:noWrap/>
            <w:vAlign w:val="center"/>
            <w:hideMark/>
          </w:tcPr>
          <w:p w14:paraId="709421CA" w14:textId="77777777" w:rsidR="006A1A18" w:rsidRPr="006A1A18" w:rsidRDefault="006A1A18" w:rsidP="006A1A18">
            <w:pPr>
              <w:widowControl/>
              <w:jc w:val="center"/>
              <w:rPr>
                <w:rFonts w:ascii="Times" w:eastAsia="Times New Roman" w:hAnsi="Times" w:cs="Times"/>
                <w:color w:val="000000"/>
                <w:sz w:val="18"/>
                <w:szCs w:val="18"/>
                <w:lang w:eastAsia="es-HN"/>
              </w:rPr>
            </w:pPr>
            <w:r w:rsidRPr="006A1A18">
              <w:rPr>
                <w:rFonts w:ascii="Times" w:eastAsia="Times New Roman" w:hAnsi="Times" w:cs="Times"/>
                <w:color w:val="000000"/>
                <w:sz w:val="18"/>
                <w:szCs w:val="18"/>
                <w:lang w:eastAsia="es-HN"/>
              </w:rPr>
              <w:t>28%</w:t>
            </w:r>
          </w:p>
        </w:tc>
        <w:tc>
          <w:tcPr>
            <w:tcW w:w="884" w:type="dxa"/>
            <w:tcBorders>
              <w:top w:val="nil"/>
              <w:left w:val="nil"/>
              <w:bottom w:val="single" w:sz="4" w:space="0" w:color="auto"/>
              <w:right w:val="single" w:sz="4" w:space="0" w:color="auto"/>
            </w:tcBorders>
            <w:shd w:val="clear" w:color="000000" w:fill="FF0000"/>
            <w:noWrap/>
            <w:vAlign w:val="center"/>
            <w:hideMark/>
          </w:tcPr>
          <w:p w14:paraId="7DE13791" w14:textId="77777777" w:rsidR="006A1A18" w:rsidRPr="006A1A18" w:rsidRDefault="006A1A18" w:rsidP="006A1A18">
            <w:pPr>
              <w:widowControl/>
              <w:jc w:val="center"/>
              <w:rPr>
                <w:rFonts w:ascii="Times" w:eastAsia="Times New Roman" w:hAnsi="Times" w:cs="Times"/>
                <w:color w:val="000000"/>
                <w:sz w:val="18"/>
                <w:szCs w:val="18"/>
                <w:lang w:eastAsia="es-HN"/>
              </w:rPr>
            </w:pPr>
            <w:r w:rsidRPr="006A1A18">
              <w:rPr>
                <w:rFonts w:ascii="Times" w:eastAsia="Times New Roman" w:hAnsi="Times" w:cs="Times"/>
                <w:color w:val="000000"/>
                <w:sz w:val="18"/>
                <w:szCs w:val="18"/>
                <w:lang w:eastAsia="es-HN"/>
              </w:rPr>
              <w:t>27%</w:t>
            </w:r>
          </w:p>
        </w:tc>
      </w:tr>
      <w:tr w:rsidR="006A1A18" w:rsidRPr="006A1A18" w14:paraId="5470955B" w14:textId="77777777" w:rsidTr="00AE1556">
        <w:trPr>
          <w:trHeight w:val="625"/>
        </w:trPr>
        <w:tc>
          <w:tcPr>
            <w:tcW w:w="1117" w:type="dxa"/>
            <w:tcBorders>
              <w:top w:val="nil"/>
              <w:left w:val="single" w:sz="4" w:space="0" w:color="auto"/>
              <w:bottom w:val="single" w:sz="4" w:space="0" w:color="auto"/>
              <w:right w:val="single" w:sz="4" w:space="0" w:color="auto"/>
            </w:tcBorders>
            <w:shd w:val="clear" w:color="auto" w:fill="auto"/>
            <w:vAlign w:val="center"/>
            <w:hideMark/>
          </w:tcPr>
          <w:p w14:paraId="4355C4CB" w14:textId="77777777" w:rsidR="006A1A18" w:rsidRPr="006A1A18" w:rsidRDefault="006A1A18" w:rsidP="006A1A18">
            <w:pPr>
              <w:widowControl/>
              <w:jc w:val="center"/>
              <w:rPr>
                <w:rFonts w:ascii="Times" w:eastAsia="Times New Roman" w:hAnsi="Times" w:cs="Times"/>
                <w:color w:val="000000"/>
                <w:sz w:val="18"/>
                <w:szCs w:val="18"/>
                <w:lang w:eastAsia="es-HN"/>
              </w:rPr>
            </w:pPr>
            <w:r w:rsidRPr="006A1A18">
              <w:rPr>
                <w:rFonts w:ascii="Times" w:eastAsia="Times New Roman" w:hAnsi="Times" w:cs="Times"/>
                <w:color w:val="000000"/>
                <w:sz w:val="18"/>
                <w:szCs w:val="18"/>
                <w:lang w:eastAsia="es-HN"/>
              </w:rPr>
              <w:t>Incobrabilidad</w:t>
            </w:r>
          </w:p>
        </w:tc>
        <w:tc>
          <w:tcPr>
            <w:tcW w:w="786" w:type="dxa"/>
            <w:tcBorders>
              <w:top w:val="nil"/>
              <w:left w:val="nil"/>
              <w:bottom w:val="single" w:sz="4" w:space="0" w:color="auto"/>
              <w:right w:val="single" w:sz="4" w:space="0" w:color="auto"/>
            </w:tcBorders>
            <w:shd w:val="clear" w:color="000000" w:fill="00B050"/>
            <w:noWrap/>
            <w:vAlign w:val="center"/>
            <w:hideMark/>
          </w:tcPr>
          <w:p w14:paraId="4C6B8A98" w14:textId="77777777" w:rsidR="006A1A18" w:rsidRPr="006A1A18" w:rsidRDefault="006A1A18" w:rsidP="006A1A18">
            <w:pPr>
              <w:widowControl/>
              <w:jc w:val="center"/>
              <w:rPr>
                <w:rFonts w:ascii="Times" w:eastAsia="Times New Roman" w:hAnsi="Times" w:cs="Times"/>
                <w:color w:val="000000"/>
                <w:sz w:val="18"/>
                <w:szCs w:val="18"/>
                <w:lang w:eastAsia="es-HN"/>
              </w:rPr>
            </w:pPr>
            <w:r w:rsidRPr="006A1A18">
              <w:rPr>
                <w:rFonts w:ascii="Times" w:eastAsia="Times New Roman" w:hAnsi="Times" w:cs="Times"/>
                <w:color w:val="000000"/>
                <w:sz w:val="18"/>
                <w:szCs w:val="18"/>
                <w:lang w:eastAsia="es-HN"/>
              </w:rPr>
              <w:t>&lt; 2%</w:t>
            </w:r>
          </w:p>
        </w:tc>
        <w:tc>
          <w:tcPr>
            <w:tcW w:w="910" w:type="dxa"/>
            <w:tcBorders>
              <w:top w:val="nil"/>
              <w:left w:val="nil"/>
              <w:bottom w:val="single" w:sz="4" w:space="0" w:color="auto"/>
              <w:right w:val="single" w:sz="4" w:space="0" w:color="auto"/>
            </w:tcBorders>
            <w:shd w:val="clear" w:color="000000" w:fill="FFFF00"/>
            <w:noWrap/>
            <w:vAlign w:val="center"/>
            <w:hideMark/>
          </w:tcPr>
          <w:p w14:paraId="54B0C3CE" w14:textId="77777777" w:rsidR="006A1A18" w:rsidRPr="006A1A18" w:rsidRDefault="006A1A18" w:rsidP="006A1A18">
            <w:pPr>
              <w:widowControl/>
              <w:jc w:val="center"/>
              <w:rPr>
                <w:rFonts w:ascii="Times" w:eastAsia="Times New Roman" w:hAnsi="Times" w:cs="Times"/>
                <w:color w:val="000000"/>
                <w:sz w:val="18"/>
                <w:szCs w:val="18"/>
                <w:lang w:eastAsia="es-HN"/>
              </w:rPr>
            </w:pPr>
            <w:r w:rsidRPr="006A1A18">
              <w:rPr>
                <w:rFonts w:ascii="Times" w:eastAsia="Times New Roman" w:hAnsi="Times" w:cs="Times"/>
                <w:color w:val="000000"/>
                <w:sz w:val="18"/>
                <w:szCs w:val="18"/>
                <w:lang w:eastAsia="es-HN"/>
              </w:rPr>
              <w:t xml:space="preserve"> = 2%</w:t>
            </w:r>
          </w:p>
        </w:tc>
        <w:tc>
          <w:tcPr>
            <w:tcW w:w="785" w:type="dxa"/>
            <w:tcBorders>
              <w:top w:val="nil"/>
              <w:left w:val="nil"/>
              <w:bottom w:val="single" w:sz="4" w:space="0" w:color="auto"/>
              <w:right w:val="single" w:sz="4" w:space="0" w:color="auto"/>
            </w:tcBorders>
            <w:shd w:val="clear" w:color="000000" w:fill="FF0000"/>
            <w:noWrap/>
            <w:vAlign w:val="center"/>
            <w:hideMark/>
          </w:tcPr>
          <w:p w14:paraId="1C54A6D5" w14:textId="77777777" w:rsidR="006A1A18" w:rsidRPr="006A1A18" w:rsidRDefault="006A1A18" w:rsidP="006A1A18">
            <w:pPr>
              <w:widowControl/>
              <w:jc w:val="center"/>
              <w:rPr>
                <w:rFonts w:ascii="Times" w:eastAsia="Times New Roman" w:hAnsi="Times" w:cs="Times"/>
                <w:color w:val="000000"/>
                <w:sz w:val="18"/>
                <w:szCs w:val="18"/>
                <w:lang w:eastAsia="es-HN"/>
              </w:rPr>
            </w:pPr>
            <w:r w:rsidRPr="006A1A18">
              <w:rPr>
                <w:rFonts w:ascii="Times" w:eastAsia="Times New Roman" w:hAnsi="Times" w:cs="Times"/>
                <w:color w:val="000000"/>
                <w:sz w:val="18"/>
                <w:szCs w:val="18"/>
                <w:lang w:eastAsia="es-HN"/>
              </w:rPr>
              <w:t>&gt; 2%</w:t>
            </w:r>
          </w:p>
        </w:tc>
        <w:tc>
          <w:tcPr>
            <w:tcW w:w="1406" w:type="dxa"/>
            <w:tcBorders>
              <w:top w:val="nil"/>
              <w:left w:val="nil"/>
              <w:bottom w:val="single" w:sz="4" w:space="0" w:color="auto"/>
              <w:right w:val="single" w:sz="4" w:space="0" w:color="auto"/>
            </w:tcBorders>
            <w:shd w:val="clear" w:color="auto" w:fill="auto"/>
            <w:vAlign w:val="center"/>
            <w:hideMark/>
          </w:tcPr>
          <w:p w14:paraId="7690E98E" w14:textId="77777777" w:rsidR="006A1A18" w:rsidRPr="006A1A18" w:rsidRDefault="006A1A18" w:rsidP="006A1A18">
            <w:pPr>
              <w:widowControl/>
              <w:jc w:val="center"/>
              <w:rPr>
                <w:rFonts w:ascii="Times" w:eastAsia="Times New Roman" w:hAnsi="Times" w:cs="Times"/>
                <w:color w:val="000000"/>
                <w:sz w:val="18"/>
                <w:szCs w:val="18"/>
                <w:lang w:eastAsia="es-HN"/>
              </w:rPr>
            </w:pPr>
            <w:r w:rsidRPr="006A1A18">
              <w:rPr>
                <w:rFonts w:ascii="Times" w:eastAsia="Times New Roman" w:hAnsi="Times" w:cs="Times"/>
                <w:color w:val="000000"/>
                <w:sz w:val="18"/>
                <w:szCs w:val="18"/>
                <w:lang w:eastAsia="es-HN"/>
              </w:rPr>
              <w:t>Cartera Castigada/Cartera Promedio</w:t>
            </w:r>
          </w:p>
        </w:tc>
        <w:tc>
          <w:tcPr>
            <w:tcW w:w="884" w:type="dxa"/>
            <w:tcBorders>
              <w:top w:val="nil"/>
              <w:left w:val="nil"/>
              <w:bottom w:val="single" w:sz="4" w:space="0" w:color="auto"/>
              <w:right w:val="single" w:sz="4" w:space="0" w:color="auto"/>
            </w:tcBorders>
            <w:shd w:val="clear" w:color="000000" w:fill="FF0000"/>
            <w:noWrap/>
            <w:vAlign w:val="center"/>
            <w:hideMark/>
          </w:tcPr>
          <w:p w14:paraId="305CE4EC" w14:textId="77777777" w:rsidR="006A1A18" w:rsidRPr="006A1A18" w:rsidRDefault="006A1A18" w:rsidP="006A1A18">
            <w:pPr>
              <w:widowControl/>
              <w:jc w:val="center"/>
              <w:rPr>
                <w:rFonts w:ascii="Times" w:eastAsia="Times New Roman" w:hAnsi="Times" w:cs="Times"/>
                <w:color w:val="000000"/>
                <w:sz w:val="18"/>
                <w:szCs w:val="18"/>
                <w:lang w:eastAsia="es-HN"/>
              </w:rPr>
            </w:pPr>
            <w:r w:rsidRPr="006A1A18">
              <w:rPr>
                <w:rFonts w:ascii="Times" w:eastAsia="Times New Roman" w:hAnsi="Times" w:cs="Times"/>
                <w:color w:val="000000"/>
                <w:sz w:val="18"/>
                <w:szCs w:val="18"/>
                <w:lang w:eastAsia="es-HN"/>
              </w:rPr>
              <w:t>4%</w:t>
            </w:r>
          </w:p>
        </w:tc>
        <w:tc>
          <w:tcPr>
            <w:tcW w:w="884" w:type="dxa"/>
            <w:tcBorders>
              <w:top w:val="nil"/>
              <w:left w:val="nil"/>
              <w:bottom w:val="single" w:sz="4" w:space="0" w:color="auto"/>
              <w:right w:val="single" w:sz="4" w:space="0" w:color="auto"/>
            </w:tcBorders>
            <w:shd w:val="clear" w:color="000000" w:fill="FF0000"/>
            <w:noWrap/>
            <w:vAlign w:val="center"/>
            <w:hideMark/>
          </w:tcPr>
          <w:p w14:paraId="76C700C8" w14:textId="77777777" w:rsidR="006A1A18" w:rsidRPr="006A1A18" w:rsidRDefault="006A1A18" w:rsidP="006A1A18">
            <w:pPr>
              <w:widowControl/>
              <w:jc w:val="center"/>
              <w:rPr>
                <w:rFonts w:ascii="Times" w:eastAsia="Times New Roman" w:hAnsi="Times" w:cs="Times"/>
                <w:color w:val="000000"/>
                <w:sz w:val="18"/>
                <w:szCs w:val="18"/>
                <w:lang w:eastAsia="es-HN"/>
              </w:rPr>
            </w:pPr>
            <w:r w:rsidRPr="006A1A18">
              <w:rPr>
                <w:rFonts w:ascii="Times" w:eastAsia="Times New Roman" w:hAnsi="Times" w:cs="Times"/>
                <w:color w:val="000000"/>
                <w:sz w:val="18"/>
                <w:szCs w:val="18"/>
                <w:lang w:eastAsia="es-HN"/>
              </w:rPr>
              <w:t>3%</w:t>
            </w:r>
          </w:p>
        </w:tc>
        <w:tc>
          <w:tcPr>
            <w:tcW w:w="810" w:type="dxa"/>
            <w:tcBorders>
              <w:top w:val="nil"/>
              <w:left w:val="nil"/>
              <w:bottom w:val="single" w:sz="4" w:space="0" w:color="auto"/>
              <w:right w:val="single" w:sz="4" w:space="0" w:color="auto"/>
            </w:tcBorders>
            <w:shd w:val="clear" w:color="000000" w:fill="FF0000"/>
            <w:noWrap/>
            <w:vAlign w:val="center"/>
            <w:hideMark/>
          </w:tcPr>
          <w:p w14:paraId="4B75EAB2" w14:textId="77777777" w:rsidR="006A1A18" w:rsidRPr="006A1A18" w:rsidRDefault="006A1A18" w:rsidP="006A1A18">
            <w:pPr>
              <w:widowControl/>
              <w:jc w:val="center"/>
              <w:rPr>
                <w:rFonts w:ascii="Times" w:eastAsia="Times New Roman" w:hAnsi="Times" w:cs="Times"/>
                <w:color w:val="000000"/>
                <w:sz w:val="18"/>
                <w:szCs w:val="18"/>
                <w:lang w:eastAsia="es-HN"/>
              </w:rPr>
            </w:pPr>
            <w:r w:rsidRPr="006A1A18">
              <w:rPr>
                <w:rFonts w:ascii="Times" w:eastAsia="Times New Roman" w:hAnsi="Times" w:cs="Times"/>
                <w:color w:val="000000"/>
                <w:sz w:val="18"/>
                <w:szCs w:val="18"/>
                <w:lang w:eastAsia="es-HN"/>
              </w:rPr>
              <w:t>13%</w:t>
            </w:r>
          </w:p>
        </w:tc>
        <w:tc>
          <w:tcPr>
            <w:tcW w:w="884" w:type="dxa"/>
            <w:tcBorders>
              <w:top w:val="nil"/>
              <w:left w:val="nil"/>
              <w:bottom w:val="single" w:sz="4" w:space="0" w:color="auto"/>
              <w:right w:val="single" w:sz="4" w:space="0" w:color="auto"/>
            </w:tcBorders>
            <w:shd w:val="clear" w:color="000000" w:fill="FF0000"/>
            <w:noWrap/>
            <w:vAlign w:val="center"/>
            <w:hideMark/>
          </w:tcPr>
          <w:p w14:paraId="05B99A31" w14:textId="77777777" w:rsidR="006A1A18" w:rsidRPr="006A1A18" w:rsidRDefault="006A1A18" w:rsidP="006A1A18">
            <w:pPr>
              <w:widowControl/>
              <w:jc w:val="center"/>
              <w:rPr>
                <w:rFonts w:ascii="Times" w:eastAsia="Times New Roman" w:hAnsi="Times" w:cs="Times"/>
                <w:color w:val="000000"/>
                <w:sz w:val="18"/>
                <w:szCs w:val="18"/>
                <w:lang w:eastAsia="es-HN"/>
              </w:rPr>
            </w:pPr>
            <w:r w:rsidRPr="006A1A18">
              <w:rPr>
                <w:rFonts w:ascii="Times" w:eastAsia="Times New Roman" w:hAnsi="Times" w:cs="Times"/>
                <w:color w:val="000000"/>
                <w:sz w:val="18"/>
                <w:szCs w:val="18"/>
                <w:lang w:eastAsia="es-HN"/>
              </w:rPr>
              <w:t>7%</w:t>
            </w:r>
          </w:p>
        </w:tc>
        <w:tc>
          <w:tcPr>
            <w:tcW w:w="884" w:type="dxa"/>
            <w:tcBorders>
              <w:top w:val="nil"/>
              <w:left w:val="nil"/>
              <w:bottom w:val="single" w:sz="4" w:space="0" w:color="auto"/>
              <w:right w:val="single" w:sz="4" w:space="0" w:color="auto"/>
            </w:tcBorders>
            <w:shd w:val="clear" w:color="000000" w:fill="FFFF00"/>
            <w:noWrap/>
            <w:vAlign w:val="center"/>
            <w:hideMark/>
          </w:tcPr>
          <w:p w14:paraId="3C5CF004" w14:textId="77777777" w:rsidR="006A1A18" w:rsidRPr="006A1A18" w:rsidRDefault="006A1A18" w:rsidP="006A1A18">
            <w:pPr>
              <w:widowControl/>
              <w:jc w:val="center"/>
              <w:rPr>
                <w:rFonts w:ascii="Times" w:eastAsia="Times New Roman" w:hAnsi="Times" w:cs="Times"/>
                <w:color w:val="000000"/>
                <w:sz w:val="18"/>
                <w:szCs w:val="18"/>
                <w:lang w:eastAsia="es-HN"/>
              </w:rPr>
            </w:pPr>
            <w:r w:rsidRPr="006A1A18">
              <w:rPr>
                <w:rFonts w:ascii="Times" w:eastAsia="Times New Roman" w:hAnsi="Times" w:cs="Times"/>
                <w:color w:val="000000"/>
                <w:sz w:val="18"/>
                <w:szCs w:val="18"/>
                <w:lang w:eastAsia="es-HN"/>
              </w:rPr>
              <w:t>2%</w:t>
            </w:r>
          </w:p>
        </w:tc>
      </w:tr>
    </w:tbl>
    <w:p w14:paraId="0B1DD590" w14:textId="77777777" w:rsidR="00DF41E4" w:rsidRDefault="00AE1556" w:rsidP="00DF41E4">
      <w:pPr>
        <w:pStyle w:val="TextoPrincipal"/>
        <w:spacing w:after="0" w:line="360" w:lineRule="auto"/>
      </w:pPr>
      <w:r>
        <w:t>Figura 17. Semáforo financiero.</w:t>
      </w:r>
    </w:p>
    <w:p w14:paraId="1E87B590" w14:textId="32C9C400" w:rsidR="00130620" w:rsidRDefault="00DF41E4" w:rsidP="00DF41E4">
      <w:pPr>
        <w:pStyle w:val="TextoPrincipal"/>
        <w:spacing w:after="0" w:line="360" w:lineRule="auto"/>
      </w:pPr>
      <w:r>
        <w:t xml:space="preserve">Fuente: </w:t>
      </w:r>
      <w:r w:rsidR="00AE1556">
        <w:t>Elaboración propia.</w:t>
      </w:r>
    </w:p>
    <w:p w14:paraId="650AF25E" w14:textId="77777777" w:rsidR="00DF41E4" w:rsidRDefault="00DF41E4" w:rsidP="00A94E5E">
      <w:pPr>
        <w:pStyle w:val="TextoPrincipal"/>
        <w:spacing w:line="360" w:lineRule="auto"/>
      </w:pPr>
    </w:p>
    <w:p w14:paraId="5CDF0874" w14:textId="0170F245" w:rsidR="00A94E5E" w:rsidRDefault="00A94E5E" w:rsidP="00A94E5E">
      <w:pPr>
        <w:pStyle w:val="TextoPrincipal"/>
        <w:spacing w:line="360" w:lineRule="auto"/>
      </w:pPr>
      <w:r>
        <w:t xml:space="preserve">La empresa </w:t>
      </w:r>
      <w:r w:rsidR="00E5074B">
        <w:t>“XYZ”</w:t>
      </w:r>
      <w:r>
        <w:t xml:space="preserve"> enfrenta una situación financiera desafiante según el análisis de sus indicadores clave. Se observan múltiples aspectos negativos en términos de rentabilidad, liquidez y gestión de deudas, lo que indica la necesidad de tomar medidas correctivas urgentes para mejorar su salud financiera y sostenibilidad a largo plazo.</w:t>
      </w:r>
    </w:p>
    <w:p w14:paraId="55312BC7" w14:textId="514AFE94" w:rsidR="00A94E5E" w:rsidRDefault="00A6561D" w:rsidP="00A6561D">
      <w:pPr>
        <w:pStyle w:val="TextoPrincipal"/>
        <w:spacing w:line="360" w:lineRule="auto"/>
      </w:pPr>
      <w:r>
        <w:t>Tanto el ROA como el ROE</w:t>
      </w:r>
      <w:r w:rsidR="00A94E5E">
        <w:t xml:space="preserve"> son negativos, lo que indica que la empresa no está generando ganancias adecuadas en relación con sus activos totales y la inversión de capital de los accionistas. Esto puede ser resultado de altos costos operativos, ineficiencias en la gestión o problemas de rentabilidad en las actividades comerciales.</w:t>
      </w:r>
      <w:r>
        <w:t xml:space="preserve"> Además, e</w:t>
      </w:r>
      <w:r w:rsidR="00A94E5E">
        <w:t>l margen de utilidad negativo subraya que la empresa está incurriendo en pérdidas en sus operaciones.</w:t>
      </w:r>
    </w:p>
    <w:p w14:paraId="7A00F14C" w14:textId="74E0CB72" w:rsidR="00A94E5E" w:rsidRDefault="00A94E5E" w:rsidP="00A94E5E">
      <w:pPr>
        <w:pStyle w:val="TextoPrincipal"/>
        <w:spacing w:line="360" w:lineRule="auto"/>
      </w:pPr>
      <w:r>
        <w:t>La liquidez indica un nivel moderado de capacidad para cubrir sus obligaciones financieras a corto plazo. Sin embargo, la razón de efectivo extremadamente baja indica que la empresa tiene dificultades significativas para cumplir con sus deudas de corto plazo con activos líquidos disponibles.</w:t>
      </w:r>
    </w:p>
    <w:p w14:paraId="7963FA76" w14:textId="127A92C2" w:rsidR="00A94E5E" w:rsidRDefault="00A94E5E" w:rsidP="00A94E5E">
      <w:pPr>
        <w:pStyle w:val="TextoPrincipal"/>
        <w:spacing w:line="360" w:lineRule="auto"/>
      </w:pPr>
      <w:proofErr w:type="gramStart"/>
      <w:r>
        <w:t>El</w:t>
      </w:r>
      <w:r w:rsidR="00A6561D">
        <w:t xml:space="preserve"> </w:t>
      </w:r>
      <w:r>
        <w:t>ratio</w:t>
      </w:r>
      <w:proofErr w:type="gramEnd"/>
      <w:r>
        <w:t xml:space="preserve"> de endeudamiento </w:t>
      </w:r>
      <w:r w:rsidR="00A6561D">
        <w:t xml:space="preserve">y </w:t>
      </w:r>
      <w:r>
        <w:t>el apalancamiento financiero muestran que la empresa depende en gran medida de la deuda para financiar sus operaciones. Esto aumenta el riesgo financiero y la presión sobre la capacidad de pago. El bajo ratio de solvencia de indica un margen de solvencia reducido, lo que podría afectar la capacidad de cumplir con sus obligaciones a largo plazo.</w:t>
      </w:r>
    </w:p>
    <w:p w14:paraId="76F33A8D" w14:textId="6DAD5DBB" w:rsidR="000A4AD5" w:rsidRDefault="00A94E5E" w:rsidP="00A94E5E">
      <w:pPr>
        <w:pStyle w:val="TextoPrincipal"/>
        <w:spacing w:line="360" w:lineRule="auto"/>
      </w:pPr>
      <w:r>
        <w:t>Los altos índices de morosidad, especialmente el índice de mora &gt;8 días y &gt;30 días, revelan problemas significativos en la gestión de créditos y cobranzas. La incobrabilidad</w:t>
      </w:r>
      <w:r w:rsidR="00A6561D">
        <w:t xml:space="preserve"> </w:t>
      </w:r>
      <w:r>
        <w:t xml:space="preserve">está dentro de </w:t>
      </w:r>
      <w:r>
        <w:lastRenderedPageBreak/>
        <w:t>los límites aceptables, pero el alto nivel de morosidad sugiere dificultades para recuperar los montos adeudados por los clientes.</w:t>
      </w:r>
    </w:p>
    <w:p w14:paraId="45CE529E" w14:textId="2C804983" w:rsidR="001E3FCF" w:rsidRDefault="001E3FCF" w:rsidP="00A94E5E">
      <w:pPr>
        <w:pStyle w:val="TextoPrincipal"/>
        <w:spacing w:line="360" w:lineRule="auto"/>
      </w:pPr>
      <w:r w:rsidRPr="001E3FCF">
        <w:t>La pandemia ha tenido una incidencia significativa en la morosidad</w:t>
      </w:r>
      <w:r>
        <w:t xml:space="preserve"> en</w:t>
      </w:r>
      <w:r w:rsidRPr="001E3FCF">
        <w:t xml:space="preserve"> la empresa </w:t>
      </w:r>
      <w:r w:rsidR="00E5074B">
        <w:t>“XYZ”</w:t>
      </w:r>
      <w:r w:rsidRPr="001E3FCF">
        <w:t xml:space="preserve">. Las restricciones económicas, el cierre de negocios y la disminución de la actividad económica han afectado la capacidad de los clientes para cumplir con sus obligaciones financieras en tiempo y forma. Además, la incertidumbre económica ha llevado a un aumento en la precaución financiera por parte de los consumidores y empresas, lo que ha contribuido a un aumento en los índices de morosidad. La empresa </w:t>
      </w:r>
      <w:r w:rsidR="00E5074B">
        <w:t>“XYZ”</w:t>
      </w:r>
      <w:r w:rsidRPr="001E3FCF">
        <w:t xml:space="preserve"> ha enfrentado estos desafíos, lo que ha impactado su flujo de efectivo y su capacidad para gestionar la deuda de manera eficiente.</w:t>
      </w:r>
    </w:p>
    <w:p w14:paraId="50D63341" w14:textId="660C6AA8" w:rsidR="000A4AD5" w:rsidRDefault="00AE2ABA" w:rsidP="00AE2ABA">
      <w:pPr>
        <w:pStyle w:val="TextoPrincipal"/>
        <w:spacing w:line="360" w:lineRule="auto"/>
      </w:pPr>
      <w:r w:rsidRPr="00AE2ABA">
        <w:t xml:space="preserve">La incidencia de la morosidad en la rentabilidad de la empresa </w:t>
      </w:r>
      <w:r w:rsidR="00E5074B">
        <w:t>“XYZ”</w:t>
      </w:r>
      <w:r w:rsidRPr="00AE2ABA">
        <w:t xml:space="preserve"> es notable y preocupante. Los altos índices de morosidad</w:t>
      </w:r>
      <w:r>
        <w:t xml:space="preserve"> </w:t>
      </w:r>
      <w:r w:rsidRPr="00AE2ABA">
        <w:t>afectan directamente la capacidad de la empresa para generar ingresos y utilidades. La morosidad prolongada restringe el flujo de efectivo, lo que dificulta la gestión eficiente de las operaciones diarias, el pago de deudas y el cumplimiento de obligaciones financieras. La gestión efectiva de la morosidad se convierte, por lo tanto, en un factor crítico para mejorar la rentabilidad y la estabilidad financiera a largo plazo de la empresa.</w:t>
      </w:r>
    </w:p>
    <w:p w14:paraId="60AF41A5" w14:textId="77777777" w:rsidR="003B3AC9" w:rsidRDefault="003B3AC9" w:rsidP="003B3AC9">
      <w:pPr>
        <w:pStyle w:val="TextoPrincipal"/>
        <w:spacing w:line="360" w:lineRule="auto"/>
      </w:pPr>
    </w:p>
    <w:p w14:paraId="119A3A0A" w14:textId="6DE23D61" w:rsidR="003B3AC9" w:rsidRPr="001E4EB3" w:rsidRDefault="003B3AC9" w:rsidP="003B3AC9">
      <w:pPr>
        <w:pStyle w:val="Ttulo3"/>
        <w:spacing w:line="360" w:lineRule="auto"/>
        <w:ind w:left="0" w:firstLine="720"/>
      </w:pPr>
      <w:bookmarkStart w:id="309" w:name="_Toc175171451"/>
      <w:r w:rsidRPr="001E4EB3">
        <w:t>4.2.</w:t>
      </w:r>
      <w:r>
        <w:t>6</w:t>
      </w:r>
      <w:r w:rsidRPr="001E4EB3">
        <w:t xml:space="preserve">. </w:t>
      </w:r>
      <w:r>
        <w:t>INDICADORES FINANCIEROS DE IMF</w:t>
      </w:r>
      <w:r w:rsidR="00C9127D">
        <w:t>´s</w:t>
      </w:r>
      <w:r>
        <w:t xml:space="preserve"> REGULADAS EN HONDURAS</w:t>
      </w:r>
      <w:r w:rsidR="00C9127D">
        <w:t xml:space="preserve"> PERÍODO 2022-2023</w:t>
      </w:r>
      <w:bookmarkEnd w:id="309"/>
    </w:p>
    <w:p w14:paraId="2FBC37DF" w14:textId="24434634" w:rsidR="00C9127D" w:rsidRDefault="003B3AC9" w:rsidP="00C9127D">
      <w:pPr>
        <w:pStyle w:val="TextoPrincipal"/>
        <w:spacing w:line="360" w:lineRule="auto"/>
      </w:pPr>
      <w:r w:rsidRPr="003B3AC9">
        <w:t>Las Instituciones</w:t>
      </w:r>
      <w:r>
        <w:t xml:space="preserve"> Microfinancieras </w:t>
      </w:r>
      <w:r w:rsidRPr="003B3AC9">
        <w:t>reguladas en Honduras juegan un papel crucial en el desarrollo económico, especialmente en la inclusión financiera de sectores vulnerables. Los indicadores financieros de estas instituciones son fundamentales para evaluar su estabilidad, eficiencia y capacidad para cumplir con su misión. Estos indicadores permiten un análisis detallado del rendimiento financiero, la gestión de riesgos y el impacto social de las IMF</w:t>
      </w:r>
      <w:r w:rsidR="00C9127D">
        <w:t>´s</w:t>
      </w:r>
      <w:r w:rsidRPr="003B3AC9">
        <w:t>, ofreciendo una visión integral de su sostenibilidad y su contribución al sistema financiero hondureño. A continuación, se presentan los principales indicadores financieros de las IMF</w:t>
      </w:r>
      <w:r w:rsidR="00C9127D">
        <w:t>´s</w:t>
      </w:r>
      <w:r w:rsidRPr="003B3AC9">
        <w:t xml:space="preserve"> reguladas en Honduras</w:t>
      </w:r>
      <w:r>
        <w:t xml:space="preserve"> para los años 2022 y 2023.</w:t>
      </w:r>
    </w:p>
    <w:p w14:paraId="1C20C8A1" w14:textId="77777777" w:rsidR="00C9127D" w:rsidRDefault="00C9127D">
      <w:pPr>
        <w:widowControl/>
        <w:spacing w:after="160" w:line="259" w:lineRule="auto"/>
        <w:rPr>
          <w:rFonts w:ascii="Times New Roman" w:hAnsi="Times New Roman" w:cs="Times New Roman"/>
          <w:sz w:val="24"/>
          <w:szCs w:val="24"/>
        </w:rPr>
      </w:pPr>
      <w:r>
        <w:br w:type="page"/>
      </w:r>
    </w:p>
    <w:p w14:paraId="7417F88F" w14:textId="27815561" w:rsidR="00C9127D" w:rsidRDefault="00C9127D" w:rsidP="00C9127D">
      <w:pPr>
        <w:pStyle w:val="TextoPrincipal"/>
        <w:spacing w:line="360" w:lineRule="auto"/>
      </w:pPr>
      <w:r>
        <w:lastRenderedPageBreak/>
        <w:t>Tabla 1</w:t>
      </w:r>
      <w:r>
        <w:t>9</w:t>
      </w:r>
      <w:r>
        <w:t xml:space="preserve">. </w:t>
      </w:r>
      <w:r>
        <w:t>I</w:t>
      </w:r>
      <w:r w:rsidRPr="00C9127D">
        <w:t xml:space="preserve">ndicadores financieros de </w:t>
      </w:r>
      <w:r>
        <w:t>IMF´s</w:t>
      </w:r>
      <w:r w:rsidRPr="00C9127D">
        <w:t xml:space="preserve"> reguladas en </w:t>
      </w:r>
      <w:r>
        <w:t>H</w:t>
      </w:r>
      <w:r w:rsidRPr="00C9127D">
        <w:t>onduras</w:t>
      </w:r>
      <w:r>
        <w:t>, período 2022-2023.</w:t>
      </w:r>
    </w:p>
    <w:p w14:paraId="0DD99B88" w14:textId="30BD955E" w:rsidR="003B3AC9" w:rsidRDefault="00C9127D" w:rsidP="00C9127D">
      <w:pPr>
        <w:pStyle w:val="TextoPrincipal"/>
        <w:spacing w:line="360" w:lineRule="auto"/>
        <w:ind w:firstLine="0"/>
        <w:jc w:val="center"/>
      </w:pPr>
      <w:r w:rsidRPr="00C9127D">
        <w:drawing>
          <wp:inline distT="0" distB="0" distL="0" distR="0" wp14:anchorId="2173662B" wp14:editId="161588E6">
            <wp:extent cx="5943600" cy="1562100"/>
            <wp:effectExtent l="0" t="0" r="0" b="0"/>
            <wp:docPr id="2028776642"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5943600" cy="1562100"/>
                    </a:xfrm>
                    <a:prstGeom prst="rect">
                      <a:avLst/>
                    </a:prstGeom>
                    <a:noFill/>
                    <a:ln>
                      <a:noFill/>
                    </a:ln>
                  </pic:spPr>
                </pic:pic>
              </a:graphicData>
            </a:graphic>
          </wp:inline>
        </w:drawing>
      </w:r>
    </w:p>
    <w:p w14:paraId="4FC6FC95" w14:textId="1C63D137" w:rsidR="00C9127D" w:rsidRDefault="00C9127D" w:rsidP="00C9127D">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lang w:val="es-ES"/>
        </w:rPr>
        <w:t xml:space="preserve">Fuente: </w:t>
      </w:r>
      <w:r w:rsidRPr="009968F1">
        <w:rPr>
          <w:rFonts w:ascii="Times New Roman" w:hAnsi="Times New Roman" w:cs="Times New Roman"/>
          <w:sz w:val="24"/>
          <w:szCs w:val="24"/>
        </w:rPr>
        <w:t xml:space="preserve">Elaboración propia con datos de </w:t>
      </w:r>
      <w:r>
        <w:rPr>
          <w:rFonts w:ascii="Times New Roman" w:hAnsi="Times New Roman" w:cs="Times New Roman"/>
          <w:sz w:val="24"/>
          <w:szCs w:val="24"/>
        </w:rPr>
        <w:t>CNBS.</w:t>
      </w:r>
    </w:p>
    <w:p w14:paraId="4C5C6F70" w14:textId="77777777" w:rsidR="00C9127D" w:rsidRPr="00816B30" w:rsidRDefault="00C9127D" w:rsidP="00C9127D">
      <w:pPr>
        <w:pStyle w:val="TextoPrincipal"/>
        <w:spacing w:line="360" w:lineRule="auto"/>
        <w:ind w:firstLine="0"/>
        <w:rPr>
          <w:sz w:val="10"/>
          <w:szCs w:val="10"/>
        </w:rPr>
      </w:pPr>
    </w:p>
    <w:p w14:paraId="629509F1" w14:textId="28099C88" w:rsidR="00C9127D" w:rsidRDefault="00C9127D" w:rsidP="00C9127D">
      <w:pPr>
        <w:pStyle w:val="TextoPrincipal"/>
        <w:spacing w:line="360" w:lineRule="auto"/>
      </w:pPr>
      <w:r>
        <w:t xml:space="preserve">La tabla </w:t>
      </w:r>
      <w:r>
        <w:t xml:space="preserve">superior </w:t>
      </w:r>
      <w:r>
        <w:t xml:space="preserve">muestra los indicadores financieros de cuatro </w:t>
      </w:r>
      <w:r>
        <w:t>IMF´s en Honduras</w:t>
      </w:r>
      <w:r>
        <w:t xml:space="preserve"> para los años 2022 y 2023. </w:t>
      </w:r>
      <w:r>
        <w:t>A continuación, se muestran los datos más relevantes de cada indicador.</w:t>
      </w:r>
    </w:p>
    <w:p w14:paraId="31DE1F79" w14:textId="567CB3B3" w:rsidR="00C9127D" w:rsidRDefault="00C9127D" w:rsidP="00C9127D">
      <w:pPr>
        <w:pStyle w:val="TextoPrincipal"/>
        <w:spacing w:line="360" w:lineRule="auto"/>
      </w:pPr>
      <w:r>
        <w:t>Rentabilidad sobre Activos (ROA)</w:t>
      </w:r>
      <w:r>
        <w:t xml:space="preserve">: </w:t>
      </w:r>
      <w:r>
        <w:t>HDH-OPDF tiene una buena rentabilidad en ambos años (9% en 2022 y 10% en 2023), lo que indica una eficiente gestión de sus activos.</w:t>
      </w:r>
      <w:r>
        <w:t xml:space="preserve"> </w:t>
      </w:r>
      <w:r>
        <w:t>CREDISOL mejora significativamente su ROA de -4% en 2022 a 0.1% en 2023, aunque sigue siendo baja.</w:t>
      </w:r>
    </w:p>
    <w:p w14:paraId="1C124E3B" w14:textId="3D38BEFA" w:rsidR="00C9127D" w:rsidRDefault="00C9127D" w:rsidP="00C9127D">
      <w:pPr>
        <w:pStyle w:val="TextoPrincipal"/>
        <w:spacing w:line="360" w:lineRule="auto"/>
      </w:pPr>
      <w:r>
        <w:t>Rentabilidad sobre Patrimonio (ROE):</w:t>
      </w:r>
      <w:r>
        <w:t xml:space="preserve"> </w:t>
      </w:r>
      <w:r>
        <w:t>PILARH OPDF destaca con un ROE alto (25% en 2022 y 20% en 2023), reflejando una alta rentabilidad para los accionistas.</w:t>
      </w:r>
      <w:r>
        <w:t xml:space="preserve"> </w:t>
      </w:r>
      <w:r>
        <w:t>CREDISOL tenía un ROE negativo en 2022 (-18%) pero mejoró ligeramente a 0.3% en 2023.</w:t>
      </w:r>
    </w:p>
    <w:p w14:paraId="41140000" w14:textId="61965D19" w:rsidR="00C9127D" w:rsidRDefault="00C9127D" w:rsidP="00C9127D">
      <w:pPr>
        <w:pStyle w:val="TextoPrincipal"/>
        <w:spacing w:line="360" w:lineRule="auto"/>
      </w:pPr>
      <w:r>
        <w:t>Endeudamiento:</w:t>
      </w:r>
      <w:r>
        <w:t xml:space="preserve"> </w:t>
      </w:r>
      <w:r>
        <w:t>CREDISOL tiene el nivel más alto de endeudamiento en ambos años, lo que sugiere un alto nivel de obligaciones financieras.</w:t>
      </w:r>
    </w:p>
    <w:p w14:paraId="5EA7107F" w14:textId="4EF8C38A" w:rsidR="00C9127D" w:rsidRDefault="00C9127D" w:rsidP="00C9127D">
      <w:pPr>
        <w:pStyle w:val="TextoPrincipal"/>
        <w:spacing w:line="360" w:lineRule="auto"/>
      </w:pPr>
      <w:r>
        <w:t>Solvencia:</w:t>
      </w:r>
      <w:r>
        <w:t xml:space="preserve"> </w:t>
      </w:r>
      <w:r>
        <w:t>HDH-OPDF tiene una solvencia superior a las otras instituciones, indicando una posición financiera más sólida.</w:t>
      </w:r>
    </w:p>
    <w:p w14:paraId="5BDF7930" w14:textId="20EEC023" w:rsidR="00C9127D" w:rsidRDefault="00C9127D" w:rsidP="00C9127D">
      <w:pPr>
        <w:pStyle w:val="TextoPrincipal"/>
        <w:spacing w:line="360" w:lineRule="auto"/>
      </w:pPr>
      <w:r>
        <w:t>Apalancamiento Financiero:</w:t>
      </w:r>
      <w:r>
        <w:t xml:space="preserve"> </w:t>
      </w:r>
      <w:r>
        <w:t>CREDISOL presenta un alto apalancamiento, especialmente en 2022 (4.11), lo que puede indicar un mayor riesgo financiero.</w:t>
      </w:r>
    </w:p>
    <w:p w14:paraId="3DF9C0ED" w14:textId="77777777" w:rsidR="003C6EA8" w:rsidRDefault="00C9127D" w:rsidP="003C6EA8">
      <w:pPr>
        <w:pStyle w:val="TextoPrincipal"/>
        <w:spacing w:line="360" w:lineRule="auto"/>
      </w:pPr>
      <w:r>
        <w:t>Índice de Mora Mayor a 30 días:</w:t>
      </w:r>
      <w:r>
        <w:t xml:space="preserve"> </w:t>
      </w:r>
      <w:r>
        <w:t>HDH-OPDF mantiene un índice de mora bajo (1%) en ambos años, lo que sugiere una buena gestión del riesgo crediticio.</w:t>
      </w:r>
      <w:r w:rsidR="003C6EA8">
        <w:t xml:space="preserve"> </w:t>
      </w:r>
      <w:r>
        <w:t>CREDISOL tiene el índice más alto, aunque mejora en 2023.</w:t>
      </w:r>
    </w:p>
    <w:p w14:paraId="7AB882D1" w14:textId="3F3EB128" w:rsidR="00C9127D" w:rsidRDefault="003C6EA8" w:rsidP="003C6EA8">
      <w:pPr>
        <w:pStyle w:val="TextoPrincipal"/>
        <w:spacing w:line="360" w:lineRule="auto"/>
      </w:pPr>
      <w:r>
        <w:t xml:space="preserve">De acuerdo con el análisis de los datos, </w:t>
      </w:r>
      <w:r w:rsidR="00C9127D">
        <w:t>HDH-OPDF parece ser la más sólida y estable entre las cuatro, mientras que CREDISOL, aunque muestra mejoras en 2023, sigue enfrentando desafíos significativos en términos de rentabilidad y endeudamiento.</w:t>
      </w:r>
    </w:p>
    <w:p w14:paraId="12E34579" w14:textId="591CAE4A" w:rsidR="00172B0E" w:rsidRDefault="009C4286" w:rsidP="009C4286">
      <w:pPr>
        <w:pStyle w:val="TextoPrincipal"/>
        <w:spacing w:line="360" w:lineRule="auto"/>
        <w:ind w:firstLine="0"/>
        <w:jc w:val="center"/>
      </w:pPr>
      <w:r>
        <w:rPr>
          <w:noProof/>
        </w:rPr>
        <w:lastRenderedPageBreak/>
        <w:drawing>
          <wp:inline distT="0" distB="0" distL="0" distR="0" wp14:anchorId="786263D9" wp14:editId="5B2ABA00">
            <wp:extent cx="5159866" cy="3914775"/>
            <wp:effectExtent l="0" t="0" r="3175" b="0"/>
            <wp:docPr id="25436059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5181958" cy="3931536"/>
                    </a:xfrm>
                    <a:prstGeom prst="rect">
                      <a:avLst/>
                    </a:prstGeom>
                    <a:noFill/>
                  </pic:spPr>
                </pic:pic>
              </a:graphicData>
            </a:graphic>
          </wp:inline>
        </w:drawing>
      </w:r>
    </w:p>
    <w:p w14:paraId="06CE9CB5" w14:textId="5641FC79" w:rsidR="00172B0E" w:rsidRDefault="00172B0E" w:rsidP="00172B0E">
      <w:pPr>
        <w:spacing w:line="360" w:lineRule="auto"/>
        <w:ind w:firstLine="720"/>
        <w:jc w:val="both"/>
        <w:rPr>
          <w:rFonts w:ascii="Times New Roman" w:hAnsi="Times New Roman" w:cs="Times New Roman"/>
          <w:sz w:val="24"/>
          <w:szCs w:val="24"/>
          <w:lang w:val="es-ES"/>
        </w:rPr>
      </w:pPr>
      <w:r>
        <w:rPr>
          <w:rFonts w:ascii="Times New Roman" w:hAnsi="Times New Roman" w:cs="Times New Roman"/>
          <w:sz w:val="24"/>
          <w:szCs w:val="24"/>
          <w:lang w:val="es-ES"/>
        </w:rPr>
        <w:t>Figura 1</w:t>
      </w:r>
      <w:r w:rsidR="00E17687">
        <w:rPr>
          <w:rFonts w:ascii="Times New Roman" w:hAnsi="Times New Roman" w:cs="Times New Roman"/>
          <w:sz w:val="24"/>
          <w:szCs w:val="24"/>
          <w:lang w:val="es-ES"/>
        </w:rPr>
        <w:t>8</w:t>
      </w:r>
      <w:r>
        <w:rPr>
          <w:rFonts w:ascii="Times New Roman" w:hAnsi="Times New Roman" w:cs="Times New Roman"/>
          <w:sz w:val="24"/>
          <w:szCs w:val="24"/>
          <w:lang w:val="es-ES"/>
        </w:rPr>
        <w:t xml:space="preserve">. </w:t>
      </w:r>
      <w:r w:rsidRPr="00172B0E">
        <w:rPr>
          <w:rFonts w:ascii="Times New Roman" w:hAnsi="Times New Roman" w:cs="Times New Roman"/>
          <w:sz w:val="24"/>
          <w:szCs w:val="24"/>
        </w:rPr>
        <w:t xml:space="preserve">Indicadores financieros </w:t>
      </w:r>
      <w:r w:rsidR="009C4286">
        <w:rPr>
          <w:rFonts w:ascii="Times New Roman" w:hAnsi="Times New Roman" w:cs="Times New Roman"/>
          <w:sz w:val="24"/>
          <w:szCs w:val="24"/>
        </w:rPr>
        <w:t xml:space="preserve">promedio </w:t>
      </w:r>
      <w:r w:rsidRPr="00172B0E">
        <w:rPr>
          <w:rFonts w:ascii="Times New Roman" w:hAnsi="Times New Roman" w:cs="Times New Roman"/>
          <w:sz w:val="24"/>
          <w:szCs w:val="24"/>
        </w:rPr>
        <w:t>de IMF´s reguladas en Honduras, período 2022-2023.</w:t>
      </w:r>
    </w:p>
    <w:p w14:paraId="3F5E7E55" w14:textId="6645F328" w:rsidR="00172B0E" w:rsidRDefault="00172B0E" w:rsidP="00172B0E">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lang w:val="es-ES"/>
        </w:rPr>
        <w:t xml:space="preserve">Fuente: </w:t>
      </w:r>
      <w:r w:rsidRPr="009968F1">
        <w:rPr>
          <w:rFonts w:ascii="Times New Roman" w:hAnsi="Times New Roman" w:cs="Times New Roman"/>
          <w:sz w:val="24"/>
          <w:szCs w:val="24"/>
        </w:rPr>
        <w:t xml:space="preserve">Elaboración propia con datos de </w:t>
      </w:r>
      <w:r>
        <w:rPr>
          <w:rFonts w:ascii="Times New Roman" w:hAnsi="Times New Roman" w:cs="Times New Roman"/>
          <w:sz w:val="24"/>
          <w:szCs w:val="24"/>
        </w:rPr>
        <w:t>CNBS.</w:t>
      </w:r>
    </w:p>
    <w:p w14:paraId="23C9910E" w14:textId="77777777" w:rsidR="00172B0E" w:rsidRDefault="00172B0E" w:rsidP="003C6EA8">
      <w:pPr>
        <w:pStyle w:val="TextoPrincipal"/>
        <w:spacing w:line="360" w:lineRule="auto"/>
      </w:pPr>
    </w:p>
    <w:p w14:paraId="75B7183D" w14:textId="4F7D3B54" w:rsidR="009C4286" w:rsidRDefault="009C4286" w:rsidP="009C4286">
      <w:pPr>
        <w:pStyle w:val="TextoPrincipal"/>
        <w:spacing w:line="360" w:lineRule="auto"/>
      </w:pPr>
      <w:r>
        <w:t>HDH se destaca como la institución microfinanciera más sólida entre las cuatro, mostrando los mejores indicadores de rentabilidad (ROA y ROE), baja morosidad, y una estructura financiera estable con bajo endeudamiento y apalancamiento. Esto sugiere una gestión eficiente tanto de activos como de patrimonio, así como una cartera crediticia de alta calidad. Por otro lado, PILARH también muestra un buen desempeño, especialmente en su rentabilidad para los accionistas, aunque con un nivel de endeudamiento y apalancamiento moderadamente más alto.</w:t>
      </w:r>
    </w:p>
    <w:p w14:paraId="09DA7AAF" w14:textId="0C29E176" w:rsidR="009C4286" w:rsidRDefault="009C4286" w:rsidP="009C4286">
      <w:pPr>
        <w:pStyle w:val="TextoPrincipal"/>
        <w:spacing w:line="360" w:lineRule="auto"/>
      </w:pPr>
      <w:r>
        <w:t>En contraste, CREDISOL enfrenta serios desafíos financieros, con rentabilidad negativa en ambos indicadores clave (ROA y ROE), un alto nivel de endeudamiento y apalancamiento, y la mayor tasa de morosidad entre las instituciones. Estos factores indican un riesgo financiero significativo y problemas en la recuperación de créditos, lo que podría comprometer su sostenibilidad a largo plazo si no se toman medidas correctivas.</w:t>
      </w:r>
    </w:p>
    <w:p w14:paraId="070B32F6" w14:textId="39A9632C" w:rsidR="006E309D" w:rsidRDefault="006E309D" w:rsidP="009C4286">
      <w:pPr>
        <w:pStyle w:val="TextoPrincipal"/>
        <w:spacing w:line="360" w:lineRule="auto"/>
      </w:pPr>
      <w:r>
        <w:lastRenderedPageBreak/>
        <w:t>Con e</w:t>
      </w:r>
      <w:r w:rsidRPr="006E309D">
        <w:t>stos resultados</w:t>
      </w:r>
      <w:r>
        <w:t xml:space="preserve">, CREDISOL se </w:t>
      </w:r>
      <w:r w:rsidRPr="006E309D">
        <w:t>posiciona como la IMF con el desempeño más preocupante, similar a la IMF "XYZ", que fue identificada como la peor en su categoría. Amb</w:t>
      </w:r>
      <w:r>
        <w:t>a</w:t>
      </w:r>
      <w:r w:rsidRPr="006E309D">
        <w:t>s presentan un perfil de riesgo elevado que podría afectar gravemente su viabilidad financiera a menos que implementen medidas de mejora sustanciales</w:t>
      </w:r>
      <w:r>
        <w:t xml:space="preserve"> a corto, mediano y largo plazo.</w:t>
      </w:r>
    </w:p>
    <w:p w14:paraId="177817BE" w14:textId="77777777" w:rsidR="00AE2ABA" w:rsidRDefault="00AE2ABA" w:rsidP="00AE2ABA">
      <w:pPr>
        <w:pStyle w:val="TextoPrincipal"/>
        <w:spacing w:line="360" w:lineRule="auto"/>
      </w:pPr>
    </w:p>
    <w:p w14:paraId="34FA5E4E" w14:textId="0106CC35" w:rsidR="001A2EA3" w:rsidRPr="00272B2F" w:rsidRDefault="00984C6F" w:rsidP="00272B2F">
      <w:pPr>
        <w:pStyle w:val="Ttulo2"/>
        <w:spacing w:line="360" w:lineRule="auto"/>
      </w:pPr>
      <w:bookmarkStart w:id="310" w:name="_Toc175171452"/>
      <w:r w:rsidRPr="00272B2F">
        <w:t>4.</w:t>
      </w:r>
      <w:r w:rsidR="00340C62">
        <w:t>3</w:t>
      </w:r>
      <w:r w:rsidRPr="00272B2F">
        <w:t xml:space="preserve">. </w:t>
      </w:r>
      <w:bookmarkEnd w:id="308"/>
      <w:r w:rsidR="001E4EB3" w:rsidRPr="00272B2F">
        <w:t>RESULTADOS Y ANÁLISIS DE LAS TÉCNICAS CUALITATIVAS</w:t>
      </w:r>
      <w:bookmarkEnd w:id="310"/>
    </w:p>
    <w:p w14:paraId="0558CE84" w14:textId="77777777" w:rsidR="001E4EB3" w:rsidRDefault="001E4EB3" w:rsidP="00272B2F">
      <w:pPr>
        <w:spacing w:line="360" w:lineRule="auto"/>
        <w:ind w:firstLine="720"/>
        <w:jc w:val="both"/>
        <w:rPr>
          <w:rFonts w:ascii="Times New Roman" w:hAnsi="Times New Roman" w:cs="Times New Roman"/>
          <w:sz w:val="24"/>
          <w:szCs w:val="24"/>
        </w:rPr>
      </w:pPr>
      <w:r w:rsidRPr="00272B2F">
        <w:rPr>
          <w:rFonts w:ascii="Times New Roman" w:hAnsi="Times New Roman" w:cs="Times New Roman"/>
          <w:sz w:val="24"/>
          <w:szCs w:val="24"/>
        </w:rPr>
        <w:t>En esta sección se presentan los resultados obtenidos mediante las técnicas cualitativas aplicadas en la investigación. Específicamente, se realizaron entrevistas a las diversas gerencias que actualmente tiene la empresa y que se involucran directamente con el área de créditos, esto con el propósito de conocer y recopilar información cualitativa relacionada con la variable Gestión de Crédito.</w:t>
      </w:r>
    </w:p>
    <w:p w14:paraId="611E6F5F" w14:textId="77777777" w:rsidR="006B6A2A" w:rsidRPr="00272B2F" w:rsidRDefault="006B6A2A" w:rsidP="00272B2F">
      <w:pPr>
        <w:spacing w:line="360" w:lineRule="auto"/>
        <w:ind w:firstLine="720"/>
        <w:jc w:val="both"/>
        <w:rPr>
          <w:rFonts w:ascii="Times New Roman" w:hAnsi="Times New Roman" w:cs="Times New Roman"/>
          <w:sz w:val="24"/>
          <w:szCs w:val="24"/>
        </w:rPr>
      </w:pPr>
    </w:p>
    <w:p w14:paraId="3AF74CC9" w14:textId="08040258" w:rsidR="001E4EB3" w:rsidRPr="00272B2F" w:rsidRDefault="001E4EB3" w:rsidP="009F6520">
      <w:pPr>
        <w:pStyle w:val="Ttulo3"/>
        <w:spacing w:line="360" w:lineRule="auto"/>
        <w:ind w:left="0" w:firstLine="720"/>
      </w:pPr>
      <w:bookmarkStart w:id="311" w:name="_Toc153827083"/>
      <w:bookmarkStart w:id="312" w:name="_Toc175171453"/>
      <w:r w:rsidRPr="00272B2F">
        <w:t>4.</w:t>
      </w:r>
      <w:r w:rsidR="00340C62">
        <w:t>3</w:t>
      </w:r>
      <w:r w:rsidRPr="00272B2F">
        <w:t>.1. GESTIÓN DE CRÉDITO</w:t>
      </w:r>
      <w:bookmarkEnd w:id="311"/>
      <w:bookmarkEnd w:id="312"/>
    </w:p>
    <w:p w14:paraId="3C4982A7" w14:textId="77777777" w:rsidR="001E4EB3" w:rsidRDefault="001E4EB3" w:rsidP="00272B2F">
      <w:pPr>
        <w:spacing w:line="360" w:lineRule="auto"/>
        <w:ind w:firstLine="720"/>
        <w:jc w:val="both"/>
        <w:rPr>
          <w:rFonts w:ascii="Times New Roman" w:hAnsi="Times New Roman" w:cs="Times New Roman"/>
          <w:sz w:val="24"/>
          <w:szCs w:val="24"/>
        </w:rPr>
      </w:pPr>
      <w:r w:rsidRPr="00272B2F">
        <w:rPr>
          <w:rFonts w:ascii="Times New Roman" w:hAnsi="Times New Roman" w:cs="Times New Roman"/>
          <w:sz w:val="24"/>
          <w:szCs w:val="24"/>
        </w:rPr>
        <w:t>La gestión de créditos es el proceso mediante el cual la IMF administra sus cuentas por cobrar y la concesión de créditos a sus clientes. Este proceso incluye la evaluación del riesgo crediticio de los clientes, el establecimiento de términos y condiciones de crédito, la monitorización de las cuentas por cobrar y la implementación de estrategias para la recuperación de deudas cuando existe de morosidad, por lo que, esta variable es de suma importancia, ya que permite tomar decisiones de manera oportuna. Y para poder analizar la misma, se realiza a través de la Dimensión de Procesos de Créditos.</w:t>
      </w:r>
    </w:p>
    <w:p w14:paraId="05D0938F" w14:textId="77777777" w:rsidR="006B6A2A" w:rsidRPr="00272B2F" w:rsidRDefault="006B6A2A" w:rsidP="00272B2F">
      <w:pPr>
        <w:spacing w:line="360" w:lineRule="auto"/>
        <w:ind w:firstLine="720"/>
        <w:jc w:val="both"/>
        <w:rPr>
          <w:rFonts w:ascii="Times New Roman" w:hAnsi="Times New Roman" w:cs="Times New Roman"/>
          <w:sz w:val="24"/>
          <w:szCs w:val="24"/>
        </w:rPr>
      </w:pPr>
    </w:p>
    <w:p w14:paraId="6B260D05" w14:textId="0B07A262" w:rsidR="001E4EB3" w:rsidRPr="00272B2F" w:rsidRDefault="001E4EB3" w:rsidP="009F6520">
      <w:pPr>
        <w:pStyle w:val="Ttulo4"/>
        <w:ind w:left="0" w:firstLine="1440"/>
      </w:pPr>
      <w:bookmarkStart w:id="313" w:name="_Toc175171454"/>
      <w:r w:rsidRPr="00272B2F">
        <w:t>4.</w:t>
      </w:r>
      <w:r w:rsidR="00340C62">
        <w:t>3</w:t>
      </w:r>
      <w:r w:rsidRPr="00272B2F">
        <w:t>.1.1. DIMENSIÓN PROCESOS DE LA CARTERA DE CREDITOS</w:t>
      </w:r>
      <w:bookmarkEnd w:id="313"/>
    </w:p>
    <w:p w14:paraId="2DCE562E" w14:textId="77777777" w:rsidR="001E4EB3" w:rsidRDefault="001E4EB3" w:rsidP="00272B2F">
      <w:pPr>
        <w:spacing w:line="360" w:lineRule="auto"/>
        <w:ind w:firstLine="720"/>
        <w:jc w:val="both"/>
        <w:rPr>
          <w:rFonts w:ascii="Times New Roman" w:hAnsi="Times New Roman" w:cs="Times New Roman"/>
          <w:sz w:val="24"/>
          <w:szCs w:val="24"/>
        </w:rPr>
      </w:pPr>
      <w:r w:rsidRPr="00272B2F">
        <w:rPr>
          <w:rFonts w:ascii="Times New Roman" w:hAnsi="Times New Roman" w:cs="Times New Roman"/>
          <w:sz w:val="24"/>
          <w:szCs w:val="24"/>
        </w:rPr>
        <w:t>Esta dimensión se refiere a las actividades, procedimientos y políticas que la IMF implementa para gestionar su cartera de créditos de manera eficiente y eficaz. Esta dimensión también abarca todo el ciclo de vida del crédito, desde la solicitud y evaluación de este hasta la recuperación y seguimiento de los pagos. También incluye aspectos como la evaluación del riesgo crediticio, la asignación de límites de crédito, el monitoreo de los pagos, la gestión de la morosidad y la implementación de estrategias de cobranza.</w:t>
      </w:r>
    </w:p>
    <w:p w14:paraId="4A141808" w14:textId="77777777" w:rsidR="006B6A2A" w:rsidRPr="00272B2F" w:rsidRDefault="006B6A2A" w:rsidP="00272B2F">
      <w:pPr>
        <w:spacing w:line="360" w:lineRule="auto"/>
        <w:ind w:firstLine="720"/>
        <w:jc w:val="both"/>
        <w:rPr>
          <w:rFonts w:ascii="Times New Roman" w:hAnsi="Times New Roman" w:cs="Times New Roman"/>
          <w:sz w:val="24"/>
          <w:szCs w:val="24"/>
        </w:rPr>
      </w:pPr>
    </w:p>
    <w:p w14:paraId="5FCCE2C6" w14:textId="2C029452" w:rsidR="001E4EB3" w:rsidRPr="009F6520" w:rsidRDefault="001E4EB3" w:rsidP="009F6520">
      <w:pPr>
        <w:pStyle w:val="Ttulo5"/>
        <w:spacing w:line="360" w:lineRule="auto"/>
        <w:ind w:firstLine="1440"/>
        <w:rPr>
          <w:rFonts w:ascii="Times New Roman" w:hAnsi="Times New Roman" w:cs="Times New Roman"/>
          <w:b/>
          <w:bCs/>
          <w:color w:val="000000" w:themeColor="text1"/>
          <w:sz w:val="24"/>
          <w:szCs w:val="24"/>
        </w:rPr>
      </w:pPr>
      <w:bookmarkStart w:id="314" w:name="_Toc175171455"/>
      <w:r w:rsidRPr="009F6520">
        <w:rPr>
          <w:rFonts w:ascii="Times New Roman" w:hAnsi="Times New Roman" w:cs="Times New Roman"/>
          <w:b/>
          <w:bCs/>
          <w:color w:val="000000" w:themeColor="text1"/>
          <w:sz w:val="24"/>
          <w:szCs w:val="24"/>
        </w:rPr>
        <w:lastRenderedPageBreak/>
        <w:t>4.</w:t>
      </w:r>
      <w:r w:rsidR="00340C62">
        <w:rPr>
          <w:rFonts w:ascii="Times New Roman" w:hAnsi="Times New Roman" w:cs="Times New Roman"/>
          <w:b/>
          <w:bCs/>
          <w:color w:val="000000" w:themeColor="text1"/>
          <w:sz w:val="24"/>
          <w:szCs w:val="24"/>
        </w:rPr>
        <w:t>3</w:t>
      </w:r>
      <w:r w:rsidRPr="009F6520">
        <w:rPr>
          <w:rFonts w:ascii="Times New Roman" w:hAnsi="Times New Roman" w:cs="Times New Roman"/>
          <w:b/>
          <w:bCs/>
          <w:color w:val="000000" w:themeColor="text1"/>
          <w:sz w:val="24"/>
          <w:szCs w:val="24"/>
        </w:rPr>
        <w:t>.1.1.1. POLITICAS DE CREDITO</w:t>
      </w:r>
      <w:bookmarkEnd w:id="314"/>
    </w:p>
    <w:p w14:paraId="5224AB62" w14:textId="77777777" w:rsidR="001E4EB3" w:rsidRPr="00272B2F" w:rsidRDefault="001E4EB3" w:rsidP="00272B2F">
      <w:pPr>
        <w:spacing w:line="360" w:lineRule="auto"/>
        <w:ind w:firstLine="720"/>
        <w:jc w:val="both"/>
        <w:rPr>
          <w:rFonts w:ascii="Times New Roman" w:hAnsi="Times New Roman" w:cs="Times New Roman"/>
          <w:sz w:val="24"/>
          <w:szCs w:val="24"/>
        </w:rPr>
      </w:pPr>
      <w:r w:rsidRPr="00272B2F">
        <w:rPr>
          <w:rFonts w:ascii="Times New Roman" w:hAnsi="Times New Roman" w:cs="Times New Roman"/>
          <w:sz w:val="24"/>
          <w:szCs w:val="24"/>
        </w:rPr>
        <w:t>La política de crédito es un conjunto de directrices, normas y procedimientos que la IMF establece para la gestión y administración de sus actividades de crédito. Esta política define los criterios para la evaluación de solicitudes de crédito, los términos y condiciones de los préstamos, los procedimientos de aprobación, el seguimiento de los créditos otorgados.</w:t>
      </w:r>
    </w:p>
    <w:p w14:paraId="63CFA631" w14:textId="77777777" w:rsidR="001E4EB3" w:rsidRDefault="001E4EB3" w:rsidP="00272B2F">
      <w:pPr>
        <w:spacing w:line="360" w:lineRule="auto"/>
        <w:ind w:firstLine="720"/>
        <w:jc w:val="both"/>
        <w:rPr>
          <w:rFonts w:ascii="Times New Roman" w:hAnsi="Times New Roman" w:cs="Times New Roman"/>
          <w:sz w:val="24"/>
          <w:szCs w:val="24"/>
        </w:rPr>
      </w:pPr>
      <w:r w:rsidRPr="00272B2F">
        <w:rPr>
          <w:rFonts w:ascii="Times New Roman" w:hAnsi="Times New Roman" w:cs="Times New Roman"/>
          <w:sz w:val="24"/>
          <w:szCs w:val="24"/>
        </w:rPr>
        <w:t>Para conocer algunos aspectos importantes que se consideran en la política de crédito para el otorgamiento de los préstamos se plantearon cinco (5) preguntas.</w:t>
      </w:r>
    </w:p>
    <w:p w14:paraId="2B536599" w14:textId="77777777" w:rsidR="001D4D5E" w:rsidRDefault="001D4D5E" w:rsidP="00272B2F">
      <w:pPr>
        <w:spacing w:line="360" w:lineRule="auto"/>
        <w:ind w:firstLine="720"/>
        <w:jc w:val="both"/>
        <w:rPr>
          <w:rFonts w:ascii="Times New Roman" w:hAnsi="Times New Roman" w:cs="Times New Roman"/>
          <w:sz w:val="24"/>
          <w:szCs w:val="24"/>
        </w:rPr>
      </w:pPr>
    </w:p>
    <w:p w14:paraId="608FB83B" w14:textId="42354C51" w:rsidR="006B6A2A" w:rsidRPr="00272B2F" w:rsidRDefault="001D4D5E" w:rsidP="001D4D5E">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Tabla </w:t>
      </w:r>
      <w:r w:rsidR="00E17687">
        <w:rPr>
          <w:rFonts w:ascii="Times New Roman" w:hAnsi="Times New Roman" w:cs="Times New Roman"/>
          <w:sz w:val="24"/>
          <w:szCs w:val="24"/>
        </w:rPr>
        <w:t>20</w:t>
      </w:r>
      <w:r>
        <w:rPr>
          <w:rFonts w:ascii="Times New Roman" w:hAnsi="Times New Roman" w:cs="Times New Roman"/>
          <w:sz w:val="24"/>
          <w:szCs w:val="24"/>
        </w:rPr>
        <w:t>. Preguntas y respuestas sobre variable de gestión de crédito.</w:t>
      </w:r>
    </w:p>
    <w:tbl>
      <w:tblPr>
        <w:tblW w:w="9430" w:type="dxa"/>
        <w:jc w:val="center"/>
        <w:tblCellMar>
          <w:left w:w="70" w:type="dxa"/>
          <w:right w:w="70" w:type="dxa"/>
        </w:tblCellMar>
        <w:tblLook w:val="04A0" w:firstRow="1" w:lastRow="0" w:firstColumn="1" w:lastColumn="0" w:noHBand="0" w:noVBand="1"/>
      </w:tblPr>
      <w:tblGrid>
        <w:gridCol w:w="2026"/>
        <w:gridCol w:w="5244"/>
        <w:gridCol w:w="2160"/>
      </w:tblGrid>
      <w:tr w:rsidR="001E4EB3" w:rsidRPr="00272B2F" w14:paraId="41690D08" w14:textId="77777777" w:rsidTr="006C0B8D">
        <w:trPr>
          <w:trHeight w:val="324"/>
          <w:jc w:val="center"/>
        </w:trPr>
        <w:tc>
          <w:tcPr>
            <w:tcW w:w="2026" w:type="dxa"/>
            <w:tcBorders>
              <w:top w:val="single" w:sz="4" w:space="0" w:color="auto"/>
              <w:left w:val="single" w:sz="4" w:space="0" w:color="auto"/>
              <w:bottom w:val="single" w:sz="4" w:space="0" w:color="auto"/>
              <w:right w:val="single" w:sz="4" w:space="0" w:color="auto"/>
            </w:tcBorders>
            <w:shd w:val="clear" w:color="000000" w:fill="BDD7EE"/>
            <w:noWrap/>
            <w:vAlign w:val="center"/>
            <w:hideMark/>
          </w:tcPr>
          <w:p w14:paraId="30278C9B" w14:textId="77777777" w:rsidR="001E4EB3" w:rsidRPr="00272B2F" w:rsidRDefault="001E4EB3" w:rsidP="006C0B8D">
            <w:pPr>
              <w:spacing w:line="360" w:lineRule="auto"/>
              <w:jc w:val="center"/>
              <w:rPr>
                <w:rFonts w:ascii="Times New Roman" w:eastAsia="Times New Roman" w:hAnsi="Times New Roman" w:cs="Times New Roman"/>
                <w:b/>
                <w:bCs/>
                <w:color w:val="000000"/>
                <w:sz w:val="24"/>
                <w:szCs w:val="24"/>
                <w:lang w:eastAsia="es-HN"/>
              </w:rPr>
            </w:pPr>
            <w:r w:rsidRPr="00272B2F">
              <w:rPr>
                <w:rFonts w:ascii="Times New Roman" w:eastAsia="Times New Roman" w:hAnsi="Times New Roman" w:cs="Times New Roman"/>
                <w:b/>
                <w:bCs/>
                <w:color w:val="000000"/>
                <w:sz w:val="24"/>
                <w:szCs w:val="24"/>
                <w:lang w:eastAsia="es-HN"/>
              </w:rPr>
              <w:t>Pregunta</w:t>
            </w:r>
          </w:p>
        </w:tc>
        <w:tc>
          <w:tcPr>
            <w:tcW w:w="5244" w:type="dxa"/>
            <w:tcBorders>
              <w:top w:val="single" w:sz="4" w:space="0" w:color="auto"/>
              <w:left w:val="nil"/>
              <w:bottom w:val="single" w:sz="4" w:space="0" w:color="auto"/>
              <w:right w:val="single" w:sz="4" w:space="0" w:color="auto"/>
            </w:tcBorders>
            <w:shd w:val="clear" w:color="000000" w:fill="BDD7EE"/>
            <w:noWrap/>
            <w:vAlign w:val="center"/>
            <w:hideMark/>
          </w:tcPr>
          <w:p w14:paraId="7849D1E0" w14:textId="0119F64D" w:rsidR="001E4EB3" w:rsidRPr="00272B2F" w:rsidRDefault="001E4EB3" w:rsidP="006C0B8D">
            <w:pPr>
              <w:spacing w:line="360" w:lineRule="auto"/>
              <w:jc w:val="center"/>
              <w:rPr>
                <w:rFonts w:ascii="Times New Roman" w:eastAsia="Times New Roman" w:hAnsi="Times New Roman" w:cs="Times New Roman"/>
                <w:b/>
                <w:bCs/>
                <w:color w:val="000000"/>
                <w:sz w:val="24"/>
                <w:szCs w:val="24"/>
                <w:lang w:eastAsia="es-HN"/>
              </w:rPr>
            </w:pPr>
            <w:r w:rsidRPr="00272B2F">
              <w:rPr>
                <w:rFonts w:ascii="Times New Roman" w:eastAsia="Times New Roman" w:hAnsi="Times New Roman" w:cs="Times New Roman"/>
                <w:b/>
                <w:bCs/>
                <w:color w:val="000000"/>
                <w:sz w:val="24"/>
                <w:szCs w:val="24"/>
                <w:lang w:eastAsia="es-HN"/>
              </w:rPr>
              <w:t>Respuesta</w:t>
            </w:r>
          </w:p>
        </w:tc>
        <w:tc>
          <w:tcPr>
            <w:tcW w:w="2160" w:type="dxa"/>
            <w:tcBorders>
              <w:top w:val="single" w:sz="4" w:space="0" w:color="auto"/>
              <w:left w:val="nil"/>
              <w:bottom w:val="single" w:sz="4" w:space="0" w:color="auto"/>
              <w:right w:val="single" w:sz="4" w:space="0" w:color="auto"/>
            </w:tcBorders>
            <w:shd w:val="clear" w:color="000000" w:fill="BDD7EE"/>
            <w:noWrap/>
            <w:vAlign w:val="center"/>
            <w:hideMark/>
          </w:tcPr>
          <w:p w14:paraId="430567B9" w14:textId="77777777" w:rsidR="001E4EB3" w:rsidRPr="00272B2F" w:rsidRDefault="001E4EB3" w:rsidP="006C0B8D">
            <w:pPr>
              <w:spacing w:line="360" w:lineRule="auto"/>
              <w:jc w:val="center"/>
              <w:rPr>
                <w:rFonts w:ascii="Times New Roman" w:eastAsia="Times New Roman" w:hAnsi="Times New Roman" w:cs="Times New Roman"/>
                <w:b/>
                <w:bCs/>
                <w:color w:val="000000"/>
                <w:sz w:val="24"/>
                <w:szCs w:val="24"/>
                <w:lang w:eastAsia="es-HN"/>
              </w:rPr>
            </w:pPr>
            <w:r w:rsidRPr="00272B2F">
              <w:rPr>
                <w:rFonts w:ascii="Times New Roman" w:eastAsia="Times New Roman" w:hAnsi="Times New Roman" w:cs="Times New Roman"/>
                <w:b/>
                <w:bCs/>
                <w:color w:val="000000"/>
                <w:sz w:val="24"/>
                <w:szCs w:val="24"/>
                <w:lang w:eastAsia="es-HN"/>
              </w:rPr>
              <w:t>Interpretación</w:t>
            </w:r>
          </w:p>
        </w:tc>
      </w:tr>
      <w:tr w:rsidR="001E4EB3" w:rsidRPr="00272B2F" w14:paraId="5A6DAC2A" w14:textId="77777777" w:rsidTr="004F708C">
        <w:trPr>
          <w:trHeight w:val="558"/>
          <w:jc w:val="center"/>
        </w:trPr>
        <w:tc>
          <w:tcPr>
            <w:tcW w:w="2026"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625CA2A" w14:textId="77777777" w:rsidR="001E4EB3" w:rsidRPr="00272B2F" w:rsidRDefault="001E4EB3" w:rsidP="00272B2F">
            <w:pPr>
              <w:spacing w:line="360" w:lineRule="auto"/>
              <w:jc w:val="both"/>
              <w:rPr>
                <w:rFonts w:ascii="Times New Roman" w:eastAsia="Times New Roman" w:hAnsi="Times New Roman" w:cs="Times New Roman"/>
                <w:color w:val="000000"/>
                <w:sz w:val="24"/>
                <w:szCs w:val="24"/>
                <w:lang w:eastAsia="es-HN"/>
              </w:rPr>
            </w:pPr>
            <w:r w:rsidRPr="00272B2F">
              <w:rPr>
                <w:rFonts w:ascii="Times New Roman" w:eastAsia="Times New Roman" w:hAnsi="Times New Roman" w:cs="Times New Roman"/>
                <w:color w:val="000000"/>
                <w:sz w:val="24"/>
                <w:szCs w:val="24"/>
                <w:lang w:eastAsia="es-HN"/>
              </w:rPr>
              <w:t>1. ¿Cuáles son los criterios utilizados para evaluar la capacidad de pago de sus clientes?</w:t>
            </w:r>
          </w:p>
        </w:tc>
        <w:tc>
          <w:tcPr>
            <w:tcW w:w="5244" w:type="dxa"/>
            <w:tcBorders>
              <w:top w:val="single" w:sz="4" w:space="0" w:color="auto"/>
              <w:left w:val="nil"/>
              <w:bottom w:val="single" w:sz="4" w:space="0" w:color="auto"/>
              <w:right w:val="single" w:sz="4" w:space="0" w:color="auto"/>
            </w:tcBorders>
            <w:shd w:val="clear" w:color="auto" w:fill="auto"/>
            <w:vAlign w:val="center"/>
            <w:hideMark/>
          </w:tcPr>
          <w:p w14:paraId="22C99A6E" w14:textId="617282D0" w:rsidR="001E4EB3" w:rsidRPr="00272B2F" w:rsidRDefault="001E4EB3" w:rsidP="00272B2F">
            <w:pPr>
              <w:spacing w:line="360" w:lineRule="auto"/>
              <w:jc w:val="both"/>
              <w:rPr>
                <w:rFonts w:ascii="Times New Roman" w:eastAsia="Times New Roman" w:hAnsi="Times New Roman" w:cs="Times New Roman"/>
                <w:color w:val="000000"/>
                <w:sz w:val="24"/>
                <w:szCs w:val="24"/>
                <w:lang w:eastAsia="es-HN"/>
              </w:rPr>
            </w:pPr>
            <w:r w:rsidRPr="00272B2F">
              <w:rPr>
                <w:rFonts w:ascii="Times New Roman" w:eastAsia="Times New Roman" w:hAnsi="Times New Roman" w:cs="Times New Roman"/>
                <w:color w:val="000000"/>
                <w:sz w:val="24"/>
                <w:szCs w:val="24"/>
                <w:lang w:eastAsia="es-HN"/>
              </w:rPr>
              <w:t xml:space="preserve">Debido a que el segmento de la economía que se evalúa es informal y que carece de algunos controles, se valoran aspectos cuantitativos y cualitativos. En la evaluación cuantitativa se analiza la capacidad de pago del cliente con base a los estados financieros elaborados por el personal de la IMF, ya que la mayoría no los maneja o los maneja de forma empírica; a través de las diferentes fuentes tales como: referenciación de la comunidad, verificación de campo y movimiento observado em el negocio u otra documentación soporte que maneje el cliente  y en base a esto se procede a hacer el levantamiento y la elaboración de los mismos, siendo complementado por el análisis de las centrales de riesgo, estos estados financieros servirán como información base y fundamental para la elaboración y el análisis de los indicadores que permitirán conocer la real capacidad de pago y si puede honrar con la obligación que desea contraer. En la evaluación cualitativa se analizarán las cualidades o características del posible deudor a través de mediciones que no pueden cuantificarse con </w:t>
            </w:r>
            <w:r w:rsidRPr="00272B2F">
              <w:rPr>
                <w:rFonts w:ascii="Times New Roman" w:eastAsia="Times New Roman" w:hAnsi="Times New Roman" w:cs="Times New Roman"/>
                <w:color w:val="000000"/>
                <w:sz w:val="24"/>
                <w:szCs w:val="24"/>
                <w:lang w:eastAsia="es-HN"/>
              </w:rPr>
              <w:lastRenderedPageBreak/>
              <w:t>la finalidad de poder cubrir la ausencia de información cuantitativa, tal como la voluntad de pago del posible deudor, arraigo domiciliar, referenciación de la comunidad, visitas al domicilio y entorno familiar, etc.</w:t>
            </w:r>
          </w:p>
        </w:tc>
        <w:tc>
          <w:tcPr>
            <w:tcW w:w="2160" w:type="dxa"/>
            <w:tcBorders>
              <w:top w:val="single" w:sz="4" w:space="0" w:color="auto"/>
              <w:left w:val="nil"/>
              <w:bottom w:val="single" w:sz="4" w:space="0" w:color="auto"/>
              <w:right w:val="single" w:sz="4" w:space="0" w:color="auto"/>
            </w:tcBorders>
            <w:shd w:val="clear" w:color="auto" w:fill="auto"/>
            <w:vAlign w:val="center"/>
            <w:hideMark/>
          </w:tcPr>
          <w:p w14:paraId="4F8DACB7" w14:textId="77777777" w:rsidR="001E4EB3" w:rsidRDefault="001E4EB3" w:rsidP="00272B2F">
            <w:pPr>
              <w:spacing w:line="360" w:lineRule="auto"/>
              <w:jc w:val="both"/>
              <w:rPr>
                <w:rFonts w:ascii="Times New Roman" w:eastAsia="Times New Roman" w:hAnsi="Times New Roman" w:cs="Times New Roman"/>
                <w:color w:val="000000"/>
                <w:sz w:val="24"/>
                <w:szCs w:val="24"/>
                <w:lang w:eastAsia="es-HN"/>
              </w:rPr>
            </w:pPr>
            <w:r w:rsidRPr="00272B2F">
              <w:rPr>
                <w:rFonts w:ascii="Times New Roman" w:eastAsia="Times New Roman" w:hAnsi="Times New Roman" w:cs="Times New Roman"/>
                <w:color w:val="000000"/>
                <w:sz w:val="24"/>
                <w:szCs w:val="24"/>
                <w:lang w:eastAsia="es-HN"/>
              </w:rPr>
              <w:lastRenderedPageBreak/>
              <w:t>Se llevan a cabo los principales criterios que permiten a la IMF evaluar de manera integral la capacidad de pago de los clientes, minimizando el riesgo de incumplimiento y asegurando la sostenibilidad de la cartera de crédito. Para la medición de las variables cuantitativas ya existen los formatos y con relación a las variables cualitativas es con verificación in situ.</w:t>
            </w:r>
          </w:p>
          <w:p w14:paraId="2B363A77" w14:textId="392A64E0" w:rsidR="008364A1" w:rsidRPr="00272B2F" w:rsidRDefault="008364A1" w:rsidP="008364A1">
            <w:pPr>
              <w:spacing w:line="360" w:lineRule="auto"/>
              <w:jc w:val="both"/>
              <w:rPr>
                <w:rFonts w:ascii="Times New Roman" w:eastAsia="Times New Roman" w:hAnsi="Times New Roman" w:cs="Times New Roman"/>
                <w:color w:val="000000"/>
                <w:sz w:val="24"/>
                <w:szCs w:val="24"/>
                <w:lang w:eastAsia="es-HN"/>
              </w:rPr>
            </w:pPr>
            <w:r>
              <w:rPr>
                <w:rFonts w:ascii="Times New Roman" w:eastAsia="Times New Roman" w:hAnsi="Times New Roman" w:cs="Times New Roman"/>
                <w:color w:val="000000"/>
                <w:sz w:val="24"/>
                <w:szCs w:val="24"/>
                <w:lang w:eastAsia="es-HN"/>
              </w:rPr>
              <w:lastRenderedPageBreak/>
              <w:t xml:space="preserve">Además, debería existir según </w:t>
            </w:r>
            <w:r>
              <w:rPr>
                <w:rFonts w:ascii="Times New Roman" w:eastAsia="Times New Roman" w:hAnsi="Times New Roman" w:cs="Times New Roman"/>
                <w:color w:val="000000"/>
                <w:sz w:val="24"/>
                <w:szCs w:val="24"/>
                <w:lang w:eastAsia="es-HN"/>
              </w:rPr>
              <w:fldChar w:fldCharType="begin"/>
            </w:r>
            <w:r w:rsidR="00C52841">
              <w:rPr>
                <w:rFonts w:ascii="Times New Roman" w:eastAsia="Times New Roman" w:hAnsi="Times New Roman" w:cs="Times New Roman"/>
                <w:color w:val="000000"/>
                <w:sz w:val="24"/>
                <w:szCs w:val="24"/>
                <w:lang w:eastAsia="es-HN"/>
              </w:rPr>
              <w:instrText xml:space="preserve"> ADDIN ZOTERO_ITEM CSL_CITATION {"citationID":"nuiqZvP4","properties":{"formattedCitation":"(Hinostroza Hermoza, 2022)","plainCitation":"(Hinostroza Hermoza, 2022)","dontUpdate":true,"noteIndex":0},"citationItems":[{"id":"mhK3fgOx/o3SDNFDY","uris":["http://zotero.org/users/local/rewjbDUP/items/WH4PG6RN"],"itemData":{"id":46,"type":"thesis","event-place":"Lima, Perú","language":"Español","number-of-pages":"105","publisher":"Universidad Nacional Mayor de San Marcos","publisher-place":"Lima, Perú","title":"Gestión crediticia y la morosidad del área de microfinanzas de la agencia Chorrillos del Banco Financiero del Perú, periodo 2017","author":[{"family":"Hinostroza Hermoza","given":"Henry"}],"issued":{"date-parts":[["2022"]]}}}],"schema":"https://github.com/citation-style-language/schema/raw/master/csl-citation.json"} </w:instrText>
            </w:r>
            <w:r>
              <w:rPr>
                <w:rFonts w:ascii="Times New Roman" w:eastAsia="Times New Roman" w:hAnsi="Times New Roman" w:cs="Times New Roman"/>
                <w:color w:val="000000"/>
                <w:sz w:val="24"/>
                <w:szCs w:val="24"/>
                <w:lang w:eastAsia="es-HN"/>
              </w:rPr>
              <w:fldChar w:fldCharType="separate"/>
            </w:r>
            <w:r w:rsidRPr="008364A1">
              <w:rPr>
                <w:rFonts w:ascii="Times New Roman" w:hAnsi="Times New Roman" w:cs="Times New Roman"/>
                <w:sz w:val="24"/>
              </w:rPr>
              <w:t xml:space="preserve">Hinostroza Hermoza, </w:t>
            </w:r>
            <w:r>
              <w:rPr>
                <w:rFonts w:ascii="Times New Roman" w:hAnsi="Times New Roman" w:cs="Times New Roman"/>
                <w:sz w:val="24"/>
              </w:rPr>
              <w:t>(</w:t>
            </w:r>
            <w:r w:rsidRPr="008364A1">
              <w:rPr>
                <w:rFonts w:ascii="Times New Roman" w:hAnsi="Times New Roman" w:cs="Times New Roman"/>
                <w:sz w:val="24"/>
              </w:rPr>
              <w:t>2022)</w:t>
            </w:r>
            <w:r>
              <w:rPr>
                <w:rFonts w:ascii="Times New Roman" w:eastAsia="Times New Roman" w:hAnsi="Times New Roman" w:cs="Times New Roman"/>
                <w:color w:val="000000"/>
                <w:sz w:val="24"/>
                <w:szCs w:val="24"/>
                <w:lang w:eastAsia="es-HN"/>
              </w:rPr>
              <w:fldChar w:fldCharType="end"/>
            </w:r>
            <w:r>
              <w:rPr>
                <w:rFonts w:ascii="Times New Roman" w:eastAsia="Times New Roman" w:hAnsi="Times New Roman" w:cs="Times New Roman"/>
                <w:color w:val="000000"/>
                <w:sz w:val="24"/>
                <w:szCs w:val="24"/>
                <w:lang w:eastAsia="es-HN"/>
              </w:rPr>
              <w:t>,</w:t>
            </w:r>
            <w:r>
              <w:t xml:space="preserve"> </w:t>
            </w:r>
            <w:r w:rsidRPr="008364A1">
              <w:rPr>
                <w:rFonts w:ascii="Times New Roman" w:hAnsi="Times New Roman" w:cs="Times New Roman"/>
                <w:sz w:val="24"/>
                <w:szCs w:val="24"/>
              </w:rPr>
              <w:t>Evaluación de Riesgos</w:t>
            </w:r>
            <w:r>
              <w:rPr>
                <w:rFonts w:ascii="Times New Roman" w:hAnsi="Times New Roman" w:cs="Times New Roman"/>
                <w:sz w:val="24"/>
                <w:szCs w:val="24"/>
              </w:rPr>
              <w:t xml:space="preserve"> que</w:t>
            </w:r>
            <w:r w:rsidRPr="008364A1">
              <w:rPr>
                <w:rFonts w:ascii="Times New Roman" w:hAnsi="Times New Roman" w:cs="Times New Roman"/>
                <w:sz w:val="24"/>
                <w:szCs w:val="24"/>
              </w:rPr>
              <w:t xml:space="preserve"> permite validar el cumplimiento del perfil de riesgos, pautas de admisión y límites establecidos en la política de crédito</w:t>
            </w:r>
            <w:r>
              <w:rPr>
                <w:rFonts w:ascii="Times New Roman" w:hAnsi="Times New Roman" w:cs="Times New Roman"/>
                <w:sz w:val="24"/>
                <w:szCs w:val="24"/>
              </w:rPr>
              <w:t>.</w:t>
            </w:r>
          </w:p>
        </w:tc>
      </w:tr>
      <w:tr w:rsidR="001E4EB3" w:rsidRPr="00272B2F" w14:paraId="3E927472" w14:textId="77777777" w:rsidTr="006C0B8D">
        <w:trPr>
          <w:trHeight w:val="1842"/>
          <w:jc w:val="center"/>
        </w:trPr>
        <w:tc>
          <w:tcPr>
            <w:tcW w:w="2026"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C72A54B" w14:textId="77777777" w:rsidR="001E4EB3" w:rsidRPr="00272B2F" w:rsidRDefault="001E4EB3" w:rsidP="00272B2F">
            <w:pPr>
              <w:spacing w:line="360" w:lineRule="auto"/>
              <w:jc w:val="both"/>
              <w:rPr>
                <w:rFonts w:ascii="Times New Roman" w:eastAsia="Times New Roman" w:hAnsi="Times New Roman" w:cs="Times New Roman"/>
                <w:color w:val="000000"/>
                <w:sz w:val="24"/>
                <w:szCs w:val="24"/>
                <w:lang w:eastAsia="es-HN"/>
              </w:rPr>
            </w:pPr>
            <w:r w:rsidRPr="00272B2F">
              <w:rPr>
                <w:rFonts w:ascii="Times New Roman" w:eastAsia="Times New Roman" w:hAnsi="Times New Roman" w:cs="Times New Roman"/>
                <w:color w:val="000000"/>
                <w:sz w:val="24"/>
                <w:szCs w:val="24"/>
                <w:lang w:eastAsia="es-HN"/>
              </w:rPr>
              <w:lastRenderedPageBreak/>
              <w:t>2. ¿Qué medidas se toman para verificar que la información proporcionada por los clientes sea la correcta?</w:t>
            </w:r>
          </w:p>
        </w:tc>
        <w:tc>
          <w:tcPr>
            <w:tcW w:w="5244" w:type="dxa"/>
            <w:tcBorders>
              <w:top w:val="single" w:sz="4" w:space="0" w:color="auto"/>
              <w:left w:val="nil"/>
              <w:bottom w:val="single" w:sz="4" w:space="0" w:color="auto"/>
              <w:right w:val="single" w:sz="4" w:space="0" w:color="auto"/>
            </w:tcBorders>
            <w:shd w:val="clear" w:color="auto" w:fill="auto"/>
            <w:vAlign w:val="center"/>
            <w:hideMark/>
          </w:tcPr>
          <w:p w14:paraId="153C0684" w14:textId="77777777" w:rsidR="001E4EB3" w:rsidRPr="00272B2F" w:rsidRDefault="001E4EB3" w:rsidP="00272B2F">
            <w:pPr>
              <w:spacing w:line="360" w:lineRule="auto"/>
              <w:jc w:val="both"/>
              <w:rPr>
                <w:rFonts w:ascii="Times New Roman" w:eastAsia="Times New Roman" w:hAnsi="Times New Roman" w:cs="Times New Roman"/>
                <w:color w:val="000000"/>
                <w:sz w:val="24"/>
                <w:szCs w:val="24"/>
                <w:lang w:eastAsia="es-HN"/>
              </w:rPr>
            </w:pPr>
            <w:r w:rsidRPr="00272B2F">
              <w:rPr>
                <w:rFonts w:ascii="Times New Roman" w:eastAsia="Times New Roman" w:hAnsi="Times New Roman" w:cs="Times New Roman"/>
                <w:color w:val="000000"/>
                <w:sz w:val="24"/>
                <w:szCs w:val="24"/>
                <w:lang w:eastAsia="es-HN"/>
              </w:rPr>
              <w:t xml:space="preserve">Se toman en consideración medidas de acuerdo con la metodología, y esto involucra un cruce de variables que consisten en calcular los ingresos por utilidades, por costos, etc., Estructura solida del negocio. Verificación de Campo por parte de los supervisores directos en cada Agencia. </w:t>
            </w:r>
            <w:proofErr w:type="spellStart"/>
            <w:r w:rsidRPr="00272B2F">
              <w:rPr>
                <w:rFonts w:ascii="Times New Roman" w:eastAsia="Times New Roman" w:hAnsi="Times New Roman" w:cs="Times New Roman"/>
                <w:color w:val="000000"/>
                <w:sz w:val="24"/>
                <w:szCs w:val="24"/>
                <w:lang w:eastAsia="es-HN"/>
              </w:rPr>
              <w:t>Pre-comité</w:t>
            </w:r>
            <w:proofErr w:type="spellEnd"/>
            <w:r w:rsidRPr="00272B2F">
              <w:rPr>
                <w:rFonts w:ascii="Times New Roman" w:eastAsia="Times New Roman" w:hAnsi="Times New Roman" w:cs="Times New Roman"/>
                <w:color w:val="000000"/>
                <w:sz w:val="24"/>
                <w:szCs w:val="24"/>
                <w:lang w:eastAsia="es-HN"/>
              </w:rPr>
              <w:t xml:space="preserve"> de Agencias. Análisis de documentación y presentación de créditos en un área centralizada diferente a la </w:t>
            </w:r>
            <w:proofErr w:type="spellStart"/>
            <w:r w:rsidRPr="00272B2F">
              <w:rPr>
                <w:rFonts w:ascii="Times New Roman" w:eastAsia="Times New Roman" w:hAnsi="Times New Roman" w:cs="Times New Roman"/>
                <w:color w:val="000000"/>
                <w:sz w:val="24"/>
                <w:szCs w:val="24"/>
                <w:lang w:eastAsia="es-HN"/>
              </w:rPr>
              <w:t>originación</w:t>
            </w:r>
            <w:proofErr w:type="spellEnd"/>
            <w:r w:rsidRPr="00272B2F">
              <w:rPr>
                <w:rFonts w:ascii="Times New Roman" w:eastAsia="Times New Roman" w:hAnsi="Times New Roman" w:cs="Times New Roman"/>
                <w:color w:val="000000"/>
                <w:sz w:val="24"/>
                <w:szCs w:val="24"/>
                <w:lang w:eastAsia="es-HN"/>
              </w:rPr>
              <w:t>. Muestreo de verificación de información vía telefónica por parte del área de análisis. Revisión de centrales de riesgo.</w:t>
            </w:r>
          </w:p>
        </w:tc>
        <w:tc>
          <w:tcPr>
            <w:tcW w:w="2160" w:type="dxa"/>
            <w:tcBorders>
              <w:top w:val="single" w:sz="4" w:space="0" w:color="auto"/>
              <w:left w:val="nil"/>
              <w:bottom w:val="single" w:sz="4" w:space="0" w:color="auto"/>
              <w:right w:val="single" w:sz="4" w:space="0" w:color="auto"/>
            </w:tcBorders>
            <w:shd w:val="clear" w:color="auto" w:fill="auto"/>
            <w:noWrap/>
            <w:vAlign w:val="bottom"/>
            <w:hideMark/>
          </w:tcPr>
          <w:p w14:paraId="3AD2A861" w14:textId="5D8FB3F7" w:rsidR="001E4EB3" w:rsidRPr="00272B2F" w:rsidRDefault="001E4EB3" w:rsidP="00272B2F">
            <w:pPr>
              <w:spacing w:line="360" w:lineRule="auto"/>
              <w:jc w:val="both"/>
              <w:rPr>
                <w:rFonts w:ascii="Times New Roman" w:eastAsia="Times New Roman" w:hAnsi="Times New Roman" w:cs="Times New Roman"/>
                <w:color w:val="000000"/>
                <w:sz w:val="24"/>
                <w:szCs w:val="24"/>
                <w:lang w:eastAsia="es-HN"/>
              </w:rPr>
            </w:pPr>
            <w:r w:rsidRPr="00272B2F">
              <w:rPr>
                <w:rFonts w:ascii="Times New Roman" w:eastAsia="Times New Roman" w:hAnsi="Times New Roman" w:cs="Times New Roman"/>
                <w:color w:val="000000"/>
                <w:sz w:val="24"/>
                <w:szCs w:val="24"/>
                <w:lang w:eastAsia="es-HN"/>
              </w:rPr>
              <w:t>Como parte de las medidas se realizan visitas por parte de los supervisores para comprobar que la información dada es la correcta y que el oficial de negocios no manipula la misma.</w:t>
            </w:r>
          </w:p>
        </w:tc>
      </w:tr>
      <w:tr w:rsidR="001E4EB3" w:rsidRPr="00272B2F" w14:paraId="27FBEF27" w14:textId="77777777" w:rsidTr="006C0B8D">
        <w:trPr>
          <w:trHeight w:val="2116"/>
          <w:jc w:val="center"/>
        </w:trPr>
        <w:tc>
          <w:tcPr>
            <w:tcW w:w="2026"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389FFC6" w14:textId="77777777" w:rsidR="001E4EB3" w:rsidRPr="00272B2F" w:rsidRDefault="001E4EB3" w:rsidP="00272B2F">
            <w:pPr>
              <w:spacing w:line="360" w:lineRule="auto"/>
              <w:jc w:val="both"/>
              <w:rPr>
                <w:rFonts w:ascii="Times New Roman" w:eastAsia="Times New Roman" w:hAnsi="Times New Roman" w:cs="Times New Roman"/>
                <w:color w:val="000000"/>
                <w:sz w:val="24"/>
                <w:szCs w:val="24"/>
                <w:lang w:eastAsia="es-HN"/>
              </w:rPr>
            </w:pPr>
            <w:r w:rsidRPr="00272B2F">
              <w:rPr>
                <w:rFonts w:ascii="Times New Roman" w:eastAsia="Times New Roman" w:hAnsi="Times New Roman" w:cs="Times New Roman"/>
                <w:color w:val="000000"/>
                <w:sz w:val="24"/>
                <w:szCs w:val="24"/>
                <w:lang w:eastAsia="es-HN"/>
              </w:rPr>
              <w:t>3. ¿Cómo determinan los montos y plazos de los préstamos otorgados?</w:t>
            </w:r>
          </w:p>
        </w:tc>
        <w:tc>
          <w:tcPr>
            <w:tcW w:w="5244" w:type="dxa"/>
            <w:tcBorders>
              <w:top w:val="single" w:sz="4" w:space="0" w:color="auto"/>
              <w:left w:val="nil"/>
              <w:bottom w:val="single" w:sz="4" w:space="0" w:color="auto"/>
              <w:right w:val="single" w:sz="4" w:space="0" w:color="auto"/>
            </w:tcBorders>
            <w:shd w:val="clear" w:color="auto" w:fill="auto"/>
            <w:vAlign w:val="center"/>
            <w:hideMark/>
          </w:tcPr>
          <w:p w14:paraId="302617E9" w14:textId="77777777" w:rsidR="001E4EB3" w:rsidRPr="00272B2F" w:rsidRDefault="001E4EB3" w:rsidP="00272B2F">
            <w:pPr>
              <w:spacing w:line="360" w:lineRule="auto"/>
              <w:jc w:val="both"/>
              <w:rPr>
                <w:rFonts w:ascii="Times New Roman" w:eastAsia="Times New Roman" w:hAnsi="Times New Roman" w:cs="Times New Roman"/>
                <w:color w:val="000000"/>
                <w:sz w:val="24"/>
                <w:szCs w:val="24"/>
                <w:lang w:eastAsia="es-HN"/>
              </w:rPr>
            </w:pPr>
            <w:r w:rsidRPr="00272B2F">
              <w:rPr>
                <w:rFonts w:ascii="Times New Roman" w:eastAsia="Times New Roman" w:hAnsi="Times New Roman" w:cs="Times New Roman"/>
                <w:color w:val="000000"/>
                <w:sz w:val="24"/>
                <w:szCs w:val="24"/>
                <w:lang w:eastAsia="es-HN"/>
              </w:rPr>
              <w:t>Para determinar los montos y plazos de los préstamos otorgados, se valora la solicitud de crédito, así como la factibilidad del plan de inversión que proporciona el cliente y con base en estos elementos se consideran: Capacidad de pago del deudor. Destino de los créditos. Ciclo productivo al que pertenece el cliente. Tipo de garantías ofrecidas</w:t>
            </w:r>
          </w:p>
        </w:tc>
        <w:tc>
          <w:tcPr>
            <w:tcW w:w="2160" w:type="dxa"/>
            <w:tcBorders>
              <w:top w:val="single" w:sz="4" w:space="0" w:color="auto"/>
              <w:left w:val="nil"/>
              <w:bottom w:val="single" w:sz="4" w:space="0" w:color="auto"/>
              <w:right w:val="single" w:sz="4" w:space="0" w:color="auto"/>
            </w:tcBorders>
            <w:shd w:val="clear" w:color="auto" w:fill="auto"/>
            <w:noWrap/>
            <w:vAlign w:val="bottom"/>
            <w:hideMark/>
          </w:tcPr>
          <w:p w14:paraId="40701C56" w14:textId="77777777" w:rsidR="001E4EB3" w:rsidRPr="00272B2F" w:rsidRDefault="001E4EB3" w:rsidP="00272B2F">
            <w:pPr>
              <w:spacing w:line="360" w:lineRule="auto"/>
              <w:jc w:val="both"/>
              <w:rPr>
                <w:rFonts w:ascii="Times New Roman" w:eastAsia="Times New Roman" w:hAnsi="Times New Roman" w:cs="Times New Roman"/>
                <w:color w:val="000000"/>
                <w:sz w:val="24"/>
                <w:szCs w:val="24"/>
                <w:lang w:eastAsia="es-HN"/>
              </w:rPr>
            </w:pPr>
            <w:r w:rsidRPr="00272B2F">
              <w:rPr>
                <w:rFonts w:ascii="Times New Roman" w:eastAsia="Times New Roman" w:hAnsi="Times New Roman" w:cs="Times New Roman"/>
                <w:color w:val="000000"/>
                <w:sz w:val="24"/>
                <w:szCs w:val="24"/>
                <w:lang w:eastAsia="es-HN"/>
              </w:rPr>
              <w:t xml:space="preserve">Se revisan los datos o planes de inversión proporcionados por el cliente, se mide su factibilidad y con base a ello se evalúa la capacidad de pago </w:t>
            </w:r>
            <w:r w:rsidRPr="00272B2F">
              <w:rPr>
                <w:rFonts w:ascii="Times New Roman" w:eastAsia="Times New Roman" w:hAnsi="Times New Roman" w:cs="Times New Roman"/>
                <w:color w:val="000000"/>
                <w:sz w:val="24"/>
                <w:szCs w:val="24"/>
                <w:lang w:eastAsia="es-HN"/>
              </w:rPr>
              <w:lastRenderedPageBreak/>
              <w:t>del cliente.</w:t>
            </w:r>
          </w:p>
        </w:tc>
      </w:tr>
      <w:tr w:rsidR="001E4EB3" w:rsidRPr="00272B2F" w14:paraId="5DC930BB" w14:textId="77777777" w:rsidTr="004F708C">
        <w:trPr>
          <w:trHeight w:val="274"/>
          <w:jc w:val="center"/>
        </w:trPr>
        <w:tc>
          <w:tcPr>
            <w:tcW w:w="2026"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71271D4" w14:textId="77777777" w:rsidR="001E4EB3" w:rsidRPr="00272B2F" w:rsidRDefault="001E4EB3" w:rsidP="00272B2F">
            <w:pPr>
              <w:spacing w:line="360" w:lineRule="auto"/>
              <w:jc w:val="both"/>
              <w:rPr>
                <w:rFonts w:ascii="Times New Roman" w:eastAsia="Times New Roman" w:hAnsi="Times New Roman" w:cs="Times New Roman"/>
                <w:color w:val="000000"/>
                <w:sz w:val="24"/>
                <w:szCs w:val="24"/>
                <w:lang w:eastAsia="es-HN"/>
              </w:rPr>
            </w:pPr>
            <w:r w:rsidRPr="00272B2F">
              <w:rPr>
                <w:rFonts w:ascii="Times New Roman" w:eastAsia="Times New Roman" w:hAnsi="Times New Roman" w:cs="Times New Roman"/>
                <w:color w:val="000000"/>
                <w:sz w:val="24"/>
                <w:szCs w:val="24"/>
                <w:lang w:eastAsia="es-HN"/>
              </w:rPr>
              <w:lastRenderedPageBreak/>
              <w:t xml:space="preserve">4. ¿Qué estrategias utilizan para mitigar los riesgos crediticios, como el incumplimiento de pagos? </w:t>
            </w:r>
          </w:p>
        </w:tc>
        <w:tc>
          <w:tcPr>
            <w:tcW w:w="5244" w:type="dxa"/>
            <w:tcBorders>
              <w:top w:val="single" w:sz="4" w:space="0" w:color="auto"/>
              <w:left w:val="nil"/>
              <w:bottom w:val="single" w:sz="4" w:space="0" w:color="auto"/>
              <w:right w:val="single" w:sz="4" w:space="0" w:color="auto"/>
            </w:tcBorders>
            <w:shd w:val="clear" w:color="auto" w:fill="auto"/>
            <w:vAlign w:val="center"/>
            <w:hideMark/>
          </w:tcPr>
          <w:p w14:paraId="69A59081" w14:textId="77777777" w:rsidR="001E4EB3" w:rsidRPr="00272B2F" w:rsidRDefault="001E4EB3" w:rsidP="00272B2F">
            <w:pPr>
              <w:spacing w:line="360" w:lineRule="auto"/>
              <w:jc w:val="both"/>
              <w:rPr>
                <w:rFonts w:ascii="Times New Roman" w:eastAsia="Times New Roman" w:hAnsi="Times New Roman" w:cs="Times New Roman"/>
                <w:color w:val="000000"/>
                <w:sz w:val="24"/>
                <w:szCs w:val="24"/>
                <w:lang w:eastAsia="es-HN"/>
              </w:rPr>
            </w:pPr>
            <w:r w:rsidRPr="00272B2F">
              <w:rPr>
                <w:rFonts w:ascii="Times New Roman" w:eastAsia="Times New Roman" w:hAnsi="Times New Roman" w:cs="Times New Roman"/>
                <w:color w:val="000000"/>
                <w:sz w:val="24"/>
                <w:szCs w:val="24"/>
                <w:lang w:eastAsia="es-HN"/>
              </w:rPr>
              <w:t>Como parte de las estrategias para mitigar el riesgo en incumplimiento de los pagos se confirman referencias con clientes, proveedores y vecinos de la zona para medir la moral de pago. Además, Se calculan variables de ingresos y se consideran las más bajas aplicando un porcentaje de descuento como mitigante del riesgo de que el cliente no pueda pagar. Se solicitan garantías reales y colaterales como fuente alterna de pago.</w:t>
            </w:r>
          </w:p>
        </w:tc>
        <w:tc>
          <w:tcPr>
            <w:tcW w:w="2160" w:type="dxa"/>
            <w:tcBorders>
              <w:top w:val="single" w:sz="4" w:space="0" w:color="auto"/>
              <w:left w:val="nil"/>
              <w:bottom w:val="single" w:sz="4" w:space="0" w:color="auto"/>
              <w:right w:val="single" w:sz="4" w:space="0" w:color="auto"/>
            </w:tcBorders>
            <w:shd w:val="clear" w:color="auto" w:fill="auto"/>
            <w:noWrap/>
            <w:vAlign w:val="bottom"/>
            <w:hideMark/>
          </w:tcPr>
          <w:p w14:paraId="0FA59170" w14:textId="094D1D6A" w:rsidR="001E4EB3" w:rsidRPr="00272B2F" w:rsidRDefault="001E4EB3" w:rsidP="00272B2F">
            <w:pPr>
              <w:spacing w:line="360" w:lineRule="auto"/>
              <w:jc w:val="both"/>
              <w:rPr>
                <w:rFonts w:ascii="Times New Roman" w:eastAsia="Times New Roman" w:hAnsi="Times New Roman" w:cs="Times New Roman"/>
                <w:color w:val="000000"/>
                <w:sz w:val="24"/>
                <w:szCs w:val="24"/>
                <w:lang w:eastAsia="es-HN"/>
              </w:rPr>
            </w:pPr>
            <w:r w:rsidRPr="00272B2F">
              <w:rPr>
                <w:rFonts w:ascii="Times New Roman" w:eastAsia="Times New Roman" w:hAnsi="Times New Roman" w:cs="Times New Roman"/>
                <w:color w:val="000000"/>
                <w:sz w:val="24"/>
                <w:szCs w:val="24"/>
                <w:lang w:eastAsia="es-HN"/>
              </w:rPr>
              <w:t xml:space="preserve"> Esta es una gestión más de campo y de seguimiento, ya que a través de la información que puedan confirmar los vecinos de la comunidad se evalúa la posibilidad del otorgamiento del crédito. </w:t>
            </w:r>
            <w:r w:rsidR="00FE56E1">
              <w:rPr>
                <w:rFonts w:ascii="Times New Roman" w:eastAsia="Times New Roman" w:hAnsi="Times New Roman" w:cs="Times New Roman"/>
                <w:color w:val="000000"/>
                <w:sz w:val="24"/>
                <w:szCs w:val="24"/>
                <w:lang w:eastAsia="es-HN"/>
              </w:rPr>
              <w:t xml:space="preserve">Según </w:t>
            </w:r>
            <w:r w:rsidR="00FE56E1">
              <w:rPr>
                <w:rFonts w:ascii="Times New Roman" w:eastAsia="Times New Roman" w:hAnsi="Times New Roman" w:cs="Times New Roman"/>
                <w:color w:val="000000"/>
                <w:sz w:val="24"/>
                <w:szCs w:val="24"/>
                <w:lang w:eastAsia="es-HN"/>
              </w:rPr>
              <w:fldChar w:fldCharType="begin"/>
            </w:r>
            <w:r w:rsidR="00C52841">
              <w:rPr>
                <w:rFonts w:ascii="Times New Roman" w:eastAsia="Times New Roman" w:hAnsi="Times New Roman" w:cs="Times New Roman"/>
                <w:color w:val="000000"/>
                <w:sz w:val="24"/>
                <w:szCs w:val="24"/>
                <w:lang w:eastAsia="es-HN"/>
              </w:rPr>
              <w:instrText xml:space="preserve"> ADDIN ZOTERO_ITEM CSL_CITATION {"citationID":"Y69zmRqo","properties":{"formattedCitation":"(Hinostroza Hermoza, 2022)","plainCitation":"(Hinostroza Hermoza, 2022)","dontUpdate":true,"noteIndex":0},"citationItems":[{"id":"mhK3fgOx/o3SDNFDY","uris":["http://zotero.org/users/local/rewjbDUP/items/WH4PG6RN"],"itemData":{"id":46,"type":"thesis","event-place":"Lima, Perú","language":"Español","number-of-pages":"105","publisher":"Universidad Nacional Mayor de San Marcos","publisher-place":"Lima, Perú","title":"Gestión crediticia y la morosidad del área de microfinanzas de la agencia Chorrillos del Banco Financiero del Perú, periodo 2017","author":[{"family":"Hinostroza Hermoza","given":"Henry"}],"issued":{"date-parts":[["2022"]]}}}],"schema":"https://github.com/citation-style-language/schema/raw/master/csl-citation.json"} </w:instrText>
            </w:r>
            <w:r w:rsidR="00FE56E1">
              <w:rPr>
                <w:rFonts w:ascii="Times New Roman" w:eastAsia="Times New Roman" w:hAnsi="Times New Roman" w:cs="Times New Roman"/>
                <w:color w:val="000000"/>
                <w:sz w:val="24"/>
                <w:szCs w:val="24"/>
                <w:lang w:eastAsia="es-HN"/>
              </w:rPr>
              <w:fldChar w:fldCharType="separate"/>
            </w:r>
            <w:r w:rsidR="00FE56E1" w:rsidRPr="00FE56E1">
              <w:rPr>
                <w:rFonts w:ascii="Times New Roman" w:hAnsi="Times New Roman" w:cs="Times New Roman"/>
                <w:sz w:val="24"/>
              </w:rPr>
              <w:t xml:space="preserve">Hinostroza Hermoza, </w:t>
            </w:r>
            <w:r w:rsidR="00FE56E1">
              <w:rPr>
                <w:rFonts w:ascii="Times New Roman" w:hAnsi="Times New Roman" w:cs="Times New Roman"/>
                <w:sz w:val="24"/>
              </w:rPr>
              <w:t>(</w:t>
            </w:r>
            <w:r w:rsidR="00FE56E1" w:rsidRPr="00FE56E1">
              <w:rPr>
                <w:rFonts w:ascii="Times New Roman" w:hAnsi="Times New Roman" w:cs="Times New Roman"/>
                <w:sz w:val="24"/>
              </w:rPr>
              <w:t>2022)</w:t>
            </w:r>
            <w:r w:rsidR="00FE56E1">
              <w:rPr>
                <w:rFonts w:ascii="Times New Roman" w:eastAsia="Times New Roman" w:hAnsi="Times New Roman" w:cs="Times New Roman"/>
                <w:color w:val="000000"/>
                <w:sz w:val="24"/>
                <w:szCs w:val="24"/>
                <w:lang w:eastAsia="es-HN"/>
              </w:rPr>
              <w:fldChar w:fldCharType="end"/>
            </w:r>
            <w:r w:rsidR="00FE56E1">
              <w:rPr>
                <w:rFonts w:ascii="Times New Roman" w:eastAsia="Times New Roman" w:hAnsi="Times New Roman" w:cs="Times New Roman"/>
                <w:color w:val="000000"/>
                <w:sz w:val="24"/>
                <w:szCs w:val="24"/>
                <w:lang w:eastAsia="es-HN"/>
              </w:rPr>
              <w:t xml:space="preserve">, </w:t>
            </w:r>
            <w:r w:rsidR="00FE56E1" w:rsidRPr="00FE56E1">
              <w:rPr>
                <w:rFonts w:ascii="Times New Roman" w:eastAsia="Times New Roman" w:hAnsi="Times New Roman" w:cs="Times New Roman"/>
                <w:color w:val="000000"/>
                <w:sz w:val="24"/>
                <w:szCs w:val="24"/>
                <w:lang w:eastAsia="es-HN"/>
              </w:rPr>
              <w:t>Para otorgar el conforme a un crédito se deben tener en cuenta los siguientes indicadores</w:t>
            </w:r>
            <w:r w:rsidR="00FE56E1">
              <w:rPr>
                <w:rFonts w:ascii="Times New Roman" w:eastAsia="Times New Roman" w:hAnsi="Times New Roman" w:cs="Times New Roman"/>
                <w:color w:val="000000"/>
                <w:sz w:val="24"/>
                <w:szCs w:val="24"/>
                <w:lang w:eastAsia="es-HN"/>
              </w:rPr>
              <w:t xml:space="preserve">: </w:t>
            </w:r>
            <w:r w:rsidR="00FE56E1" w:rsidRPr="00FE56E1">
              <w:rPr>
                <w:rFonts w:ascii="Times New Roman" w:eastAsia="Times New Roman" w:hAnsi="Times New Roman" w:cs="Times New Roman"/>
                <w:color w:val="000000"/>
                <w:sz w:val="24"/>
                <w:szCs w:val="24"/>
                <w:lang w:eastAsia="es-HN"/>
              </w:rPr>
              <w:t>Capacidad de pago del cliente</w:t>
            </w:r>
            <w:r w:rsidR="00FE56E1">
              <w:rPr>
                <w:rFonts w:ascii="Times New Roman" w:eastAsia="Times New Roman" w:hAnsi="Times New Roman" w:cs="Times New Roman"/>
                <w:color w:val="000000"/>
                <w:sz w:val="24"/>
                <w:szCs w:val="24"/>
                <w:lang w:eastAsia="es-HN"/>
              </w:rPr>
              <w:t xml:space="preserve">, </w:t>
            </w:r>
            <w:r w:rsidR="00FE56E1" w:rsidRPr="00FE56E1">
              <w:rPr>
                <w:rFonts w:ascii="Times New Roman" w:eastAsia="Times New Roman" w:hAnsi="Times New Roman" w:cs="Times New Roman"/>
                <w:color w:val="000000"/>
                <w:sz w:val="24"/>
                <w:szCs w:val="24"/>
                <w:lang w:eastAsia="es-HN"/>
              </w:rPr>
              <w:t>Voluntad de pago del cliente</w:t>
            </w:r>
            <w:r w:rsidR="00FE56E1">
              <w:rPr>
                <w:rFonts w:ascii="Times New Roman" w:eastAsia="Times New Roman" w:hAnsi="Times New Roman" w:cs="Times New Roman"/>
                <w:color w:val="000000"/>
                <w:sz w:val="24"/>
                <w:szCs w:val="24"/>
                <w:lang w:eastAsia="es-HN"/>
              </w:rPr>
              <w:t>,</w:t>
            </w:r>
            <w:r w:rsidR="00FE56E1" w:rsidRPr="00FE56E1">
              <w:t xml:space="preserve"> </w:t>
            </w:r>
            <w:r w:rsidR="00FE56E1" w:rsidRPr="00FE56E1">
              <w:rPr>
                <w:rFonts w:ascii="Times New Roman" w:eastAsia="Times New Roman" w:hAnsi="Times New Roman" w:cs="Times New Roman"/>
                <w:color w:val="000000"/>
                <w:sz w:val="24"/>
                <w:szCs w:val="24"/>
                <w:lang w:eastAsia="es-HN"/>
              </w:rPr>
              <w:t>Calidad de las garantías</w:t>
            </w:r>
            <w:r w:rsidR="00FE56E1">
              <w:rPr>
                <w:rFonts w:ascii="Times New Roman" w:eastAsia="Times New Roman" w:hAnsi="Times New Roman" w:cs="Times New Roman"/>
                <w:color w:val="000000"/>
                <w:sz w:val="24"/>
                <w:szCs w:val="24"/>
                <w:lang w:eastAsia="es-HN"/>
              </w:rPr>
              <w:t xml:space="preserve"> y  </w:t>
            </w:r>
            <w:r w:rsidR="00FE56E1" w:rsidRPr="00FE56E1">
              <w:rPr>
                <w:rFonts w:ascii="Times New Roman" w:eastAsia="Times New Roman" w:hAnsi="Times New Roman" w:cs="Times New Roman"/>
                <w:color w:val="000000"/>
                <w:sz w:val="24"/>
                <w:szCs w:val="24"/>
                <w:lang w:eastAsia="es-HN"/>
              </w:rPr>
              <w:t xml:space="preserve">Situación económica y financiera (Estado </w:t>
            </w:r>
            <w:r w:rsidR="00FE56E1" w:rsidRPr="00FE56E1">
              <w:rPr>
                <w:rFonts w:ascii="Times New Roman" w:eastAsia="Times New Roman" w:hAnsi="Times New Roman" w:cs="Times New Roman"/>
                <w:color w:val="000000"/>
                <w:sz w:val="24"/>
                <w:szCs w:val="24"/>
                <w:lang w:eastAsia="es-HN"/>
              </w:rPr>
              <w:lastRenderedPageBreak/>
              <w:t>de situación financiera, Estados de resultados y de Flujos de Efectivo) presentados por el asesor de negocio</w:t>
            </w:r>
          </w:p>
        </w:tc>
      </w:tr>
      <w:tr w:rsidR="001E4EB3" w:rsidRPr="00272B2F" w14:paraId="68D3C841" w14:textId="77777777" w:rsidTr="006C0B8D">
        <w:trPr>
          <w:trHeight w:val="1637"/>
          <w:jc w:val="center"/>
        </w:trPr>
        <w:tc>
          <w:tcPr>
            <w:tcW w:w="2026"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A5F54DF" w14:textId="77777777" w:rsidR="001E4EB3" w:rsidRPr="00272B2F" w:rsidRDefault="001E4EB3" w:rsidP="00272B2F">
            <w:pPr>
              <w:spacing w:line="360" w:lineRule="auto"/>
              <w:jc w:val="both"/>
              <w:rPr>
                <w:rFonts w:ascii="Times New Roman" w:eastAsia="Times New Roman" w:hAnsi="Times New Roman" w:cs="Times New Roman"/>
                <w:color w:val="000000"/>
                <w:sz w:val="24"/>
                <w:szCs w:val="24"/>
                <w:lang w:eastAsia="es-HN"/>
              </w:rPr>
            </w:pPr>
            <w:r w:rsidRPr="00272B2F">
              <w:rPr>
                <w:rFonts w:ascii="Times New Roman" w:eastAsia="Times New Roman" w:hAnsi="Times New Roman" w:cs="Times New Roman"/>
                <w:color w:val="000000"/>
                <w:sz w:val="24"/>
                <w:szCs w:val="24"/>
                <w:lang w:eastAsia="es-HN"/>
              </w:rPr>
              <w:lastRenderedPageBreak/>
              <w:t>5. ¿Qué estrategias se utilizan para evaluar el riesgo crediticio de los clientes?</w:t>
            </w:r>
          </w:p>
        </w:tc>
        <w:tc>
          <w:tcPr>
            <w:tcW w:w="5244" w:type="dxa"/>
            <w:tcBorders>
              <w:top w:val="single" w:sz="4" w:space="0" w:color="auto"/>
              <w:left w:val="nil"/>
              <w:bottom w:val="single" w:sz="4" w:space="0" w:color="auto"/>
              <w:right w:val="single" w:sz="4" w:space="0" w:color="auto"/>
            </w:tcBorders>
            <w:shd w:val="clear" w:color="auto" w:fill="auto"/>
            <w:vAlign w:val="center"/>
            <w:hideMark/>
          </w:tcPr>
          <w:p w14:paraId="0647A7D0" w14:textId="77777777" w:rsidR="001E4EB3" w:rsidRPr="00272B2F" w:rsidRDefault="001E4EB3" w:rsidP="00272B2F">
            <w:pPr>
              <w:spacing w:line="360" w:lineRule="auto"/>
              <w:jc w:val="both"/>
              <w:rPr>
                <w:rFonts w:ascii="Times New Roman" w:eastAsia="Times New Roman" w:hAnsi="Times New Roman" w:cs="Times New Roman"/>
                <w:color w:val="000000"/>
                <w:sz w:val="24"/>
                <w:szCs w:val="24"/>
                <w:lang w:eastAsia="es-HN"/>
              </w:rPr>
            </w:pPr>
            <w:r w:rsidRPr="00272B2F">
              <w:rPr>
                <w:rFonts w:ascii="Times New Roman" w:eastAsia="Times New Roman" w:hAnsi="Times New Roman" w:cs="Times New Roman"/>
                <w:color w:val="000000"/>
                <w:sz w:val="24"/>
                <w:szCs w:val="24"/>
                <w:lang w:eastAsia="es-HN"/>
              </w:rPr>
              <w:t>Se evalúan buros de crédito externos, referencias comerciales, referencias en campo. Metodología de crédito que abarque un tema socio económico (que no solo mide de forma financiero sino cualitativo), se analizan el plan de inversión, se verifica la acumulación de bienes. Análisis de Cosechas.</w:t>
            </w:r>
          </w:p>
        </w:tc>
        <w:tc>
          <w:tcPr>
            <w:tcW w:w="2160" w:type="dxa"/>
            <w:tcBorders>
              <w:top w:val="single" w:sz="4" w:space="0" w:color="auto"/>
              <w:left w:val="nil"/>
              <w:bottom w:val="single" w:sz="4" w:space="0" w:color="auto"/>
              <w:right w:val="single" w:sz="4" w:space="0" w:color="auto"/>
            </w:tcBorders>
            <w:shd w:val="clear" w:color="auto" w:fill="auto"/>
            <w:noWrap/>
            <w:vAlign w:val="bottom"/>
            <w:hideMark/>
          </w:tcPr>
          <w:p w14:paraId="05FD7DE7" w14:textId="18107141" w:rsidR="001E4EB3" w:rsidRPr="00272B2F" w:rsidRDefault="001E4EB3" w:rsidP="00272B2F">
            <w:pPr>
              <w:spacing w:line="360" w:lineRule="auto"/>
              <w:jc w:val="both"/>
              <w:rPr>
                <w:rFonts w:ascii="Times New Roman" w:eastAsia="Times New Roman" w:hAnsi="Times New Roman" w:cs="Times New Roman"/>
                <w:color w:val="000000"/>
                <w:sz w:val="24"/>
                <w:szCs w:val="24"/>
                <w:lang w:eastAsia="es-HN"/>
              </w:rPr>
            </w:pPr>
            <w:r w:rsidRPr="00272B2F">
              <w:rPr>
                <w:rFonts w:ascii="Times New Roman" w:eastAsia="Times New Roman" w:hAnsi="Times New Roman" w:cs="Times New Roman"/>
                <w:color w:val="000000"/>
                <w:sz w:val="24"/>
                <w:szCs w:val="24"/>
                <w:lang w:eastAsia="es-HN"/>
              </w:rPr>
              <w:t> Además de las visitas y continuos seguimientos, se evalúan los buros de crédito para determinar si existen obligaciones con otras instituciones, y se evalúan también las garantías</w:t>
            </w:r>
            <w:r w:rsidR="00C53D53">
              <w:rPr>
                <w:rFonts w:ascii="Times New Roman" w:eastAsia="Times New Roman" w:hAnsi="Times New Roman" w:cs="Times New Roman"/>
                <w:color w:val="000000"/>
                <w:sz w:val="24"/>
                <w:szCs w:val="24"/>
                <w:lang w:eastAsia="es-HN"/>
              </w:rPr>
              <w:t>, que de acuerdo con otros estudios es fundamental poder realizar análisis de los Estados financieros de los clientes, además de la evaluación de las garantías.</w:t>
            </w:r>
          </w:p>
        </w:tc>
      </w:tr>
    </w:tbl>
    <w:p w14:paraId="0DCE0A34" w14:textId="3BC4C90B" w:rsidR="001E4EB3" w:rsidRDefault="001D4D5E" w:rsidP="001D4D5E">
      <w:pPr>
        <w:spacing w:line="360" w:lineRule="auto"/>
        <w:ind w:firstLine="720"/>
        <w:jc w:val="both"/>
        <w:rPr>
          <w:rFonts w:ascii="Times New Roman" w:hAnsi="Times New Roman" w:cs="Times New Roman"/>
          <w:sz w:val="24"/>
          <w:szCs w:val="24"/>
        </w:rPr>
      </w:pPr>
      <w:r w:rsidRPr="001D4D5E">
        <w:rPr>
          <w:rFonts w:ascii="Times New Roman" w:hAnsi="Times New Roman" w:cs="Times New Roman"/>
          <w:sz w:val="24"/>
          <w:szCs w:val="24"/>
        </w:rPr>
        <w:t>Fuente: Elaboración propia.</w:t>
      </w:r>
    </w:p>
    <w:p w14:paraId="674DADDD" w14:textId="77777777" w:rsidR="001D4D5E" w:rsidRPr="001D4D5E" w:rsidRDefault="001D4D5E" w:rsidP="001D4D5E">
      <w:pPr>
        <w:spacing w:line="360" w:lineRule="auto"/>
        <w:ind w:firstLine="720"/>
        <w:jc w:val="both"/>
        <w:rPr>
          <w:rFonts w:ascii="Times New Roman" w:hAnsi="Times New Roman" w:cs="Times New Roman"/>
          <w:sz w:val="24"/>
          <w:szCs w:val="24"/>
        </w:rPr>
      </w:pPr>
    </w:p>
    <w:p w14:paraId="346A28AF" w14:textId="1CB003E7" w:rsidR="001E4EB3" w:rsidRPr="00BF5D8E" w:rsidRDefault="001E4EB3" w:rsidP="00BF5D8E">
      <w:pPr>
        <w:pStyle w:val="Ttulo5"/>
        <w:spacing w:line="360" w:lineRule="auto"/>
        <w:ind w:firstLine="1440"/>
        <w:rPr>
          <w:rFonts w:ascii="Times New Roman" w:hAnsi="Times New Roman" w:cs="Times New Roman"/>
          <w:b/>
          <w:bCs/>
          <w:color w:val="000000" w:themeColor="text1"/>
          <w:sz w:val="24"/>
          <w:szCs w:val="24"/>
        </w:rPr>
      </w:pPr>
      <w:bookmarkStart w:id="315" w:name="_Toc175171456"/>
      <w:r w:rsidRPr="00BF5D8E">
        <w:rPr>
          <w:rFonts w:ascii="Times New Roman" w:hAnsi="Times New Roman" w:cs="Times New Roman"/>
          <w:b/>
          <w:bCs/>
          <w:color w:val="000000" w:themeColor="text1"/>
          <w:sz w:val="24"/>
          <w:szCs w:val="24"/>
        </w:rPr>
        <w:t>4.</w:t>
      </w:r>
      <w:r w:rsidR="00BF5D8E" w:rsidRPr="00BF5D8E">
        <w:rPr>
          <w:rFonts w:ascii="Times New Roman" w:hAnsi="Times New Roman" w:cs="Times New Roman"/>
          <w:b/>
          <w:bCs/>
          <w:color w:val="000000" w:themeColor="text1"/>
          <w:sz w:val="24"/>
          <w:szCs w:val="24"/>
        </w:rPr>
        <w:t>3</w:t>
      </w:r>
      <w:r w:rsidRPr="00BF5D8E">
        <w:rPr>
          <w:rFonts w:ascii="Times New Roman" w:hAnsi="Times New Roman" w:cs="Times New Roman"/>
          <w:b/>
          <w:bCs/>
          <w:color w:val="000000" w:themeColor="text1"/>
          <w:sz w:val="24"/>
          <w:szCs w:val="24"/>
        </w:rPr>
        <w:t>.1.1.2. POLITICAS DE COBRO</w:t>
      </w:r>
      <w:bookmarkEnd w:id="315"/>
    </w:p>
    <w:p w14:paraId="67A79977" w14:textId="658C9BB2" w:rsidR="001E4EB3" w:rsidRPr="00272B2F" w:rsidRDefault="001E4EB3" w:rsidP="00272B2F">
      <w:pPr>
        <w:spacing w:line="360" w:lineRule="auto"/>
        <w:ind w:firstLine="720"/>
        <w:jc w:val="both"/>
        <w:rPr>
          <w:rFonts w:ascii="Times New Roman" w:hAnsi="Times New Roman" w:cs="Times New Roman"/>
          <w:sz w:val="24"/>
          <w:szCs w:val="24"/>
        </w:rPr>
      </w:pPr>
      <w:r w:rsidRPr="00272B2F">
        <w:rPr>
          <w:rFonts w:ascii="Times New Roman" w:hAnsi="Times New Roman" w:cs="Times New Roman"/>
          <w:sz w:val="24"/>
          <w:szCs w:val="24"/>
        </w:rPr>
        <w:t xml:space="preserve">La política de cobros es también un conjunto de directrices, procedimientos y estrategias que la IMF establece para gestionar y asegurar la recuperación de los préstamos otorgados. Es fundamental para garantizar una gestión eficiente y efectiva de los cobros y mejorar los flujos de </w:t>
      </w:r>
      <w:r w:rsidRPr="00272B2F">
        <w:rPr>
          <w:rFonts w:ascii="Times New Roman" w:hAnsi="Times New Roman" w:cs="Times New Roman"/>
          <w:sz w:val="24"/>
          <w:szCs w:val="24"/>
        </w:rPr>
        <w:lastRenderedPageBreak/>
        <w:t xml:space="preserve">caja de la IMF. Esta política abarca desde </w:t>
      </w:r>
      <w:r w:rsidR="00BF5D8E" w:rsidRPr="00272B2F">
        <w:rPr>
          <w:rFonts w:ascii="Times New Roman" w:hAnsi="Times New Roman" w:cs="Times New Roman"/>
          <w:sz w:val="24"/>
          <w:szCs w:val="24"/>
        </w:rPr>
        <w:t>el origen</w:t>
      </w:r>
      <w:r w:rsidRPr="00272B2F">
        <w:rPr>
          <w:rFonts w:ascii="Times New Roman" w:hAnsi="Times New Roman" w:cs="Times New Roman"/>
          <w:sz w:val="24"/>
          <w:szCs w:val="24"/>
        </w:rPr>
        <w:t xml:space="preserve"> del crédito y la realización de recordatorios de pago a los clientes, hasta la implementación de acciones de recuperación de deudas y el manejo de cuentas morosas.</w:t>
      </w:r>
    </w:p>
    <w:p w14:paraId="23B7468B" w14:textId="77777777" w:rsidR="001E4EB3" w:rsidRDefault="001E4EB3" w:rsidP="00272B2F">
      <w:pPr>
        <w:spacing w:line="360" w:lineRule="auto"/>
        <w:ind w:firstLine="720"/>
        <w:jc w:val="both"/>
        <w:rPr>
          <w:rFonts w:ascii="Times New Roman" w:hAnsi="Times New Roman" w:cs="Times New Roman"/>
          <w:sz w:val="24"/>
          <w:szCs w:val="24"/>
        </w:rPr>
      </w:pPr>
      <w:r w:rsidRPr="00272B2F">
        <w:rPr>
          <w:rFonts w:ascii="Times New Roman" w:hAnsi="Times New Roman" w:cs="Times New Roman"/>
          <w:sz w:val="24"/>
          <w:szCs w:val="24"/>
        </w:rPr>
        <w:t>Para conocer algunos criterios relevantes que se consideran en la política de cobros para el seguimiento de los pagos de préstamos se plantearon cinco (5) preguntas.</w:t>
      </w:r>
    </w:p>
    <w:p w14:paraId="1B5BC640" w14:textId="77777777" w:rsidR="0042459D" w:rsidRDefault="0042459D" w:rsidP="00272B2F">
      <w:pPr>
        <w:spacing w:line="360" w:lineRule="auto"/>
        <w:ind w:firstLine="720"/>
        <w:jc w:val="both"/>
        <w:rPr>
          <w:rFonts w:ascii="Times New Roman" w:hAnsi="Times New Roman" w:cs="Times New Roman"/>
          <w:sz w:val="24"/>
          <w:szCs w:val="24"/>
        </w:rPr>
      </w:pPr>
    </w:p>
    <w:p w14:paraId="491A13F1" w14:textId="32FB0860" w:rsidR="001E4EB3" w:rsidRPr="00272B2F" w:rsidRDefault="0042459D" w:rsidP="0042459D">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Tabla </w:t>
      </w:r>
      <w:r w:rsidR="007C6FC5">
        <w:rPr>
          <w:rFonts w:ascii="Times New Roman" w:hAnsi="Times New Roman" w:cs="Times New Roman"/>
          <w:sz w:val="24"/>
          <w:szCs w:val="24"/>
        </w:rPr>
        <w:t>2</w:t>
      </w:r>
      <w:r w:rsidR="00E17687">
        <w:rPr>
          <w:rFonts w:ascii="Times New Roman" w:hAnsi="Times New Roman" w:cs="Times New Roman"/>
          <w:sz w:val="24"/>
          <w:szCs w:val="24"/>
        </w:rPr>
        <w:t>1</w:t>
      </w:r>
      <w:r>
        <w:rPr>
          <w:rFonts w:ascii="Times New Roman" w:hAnsi="Times New Roman" w:cs="Times New Roman"/>
          <w:sz w:val="24"/>
          <w:szCs w:val="24"/>
        </w:rPr>
        <w:t>: Preguntas y respuestas sobre variable de gestión de crédito.</w:t>
      </w:r>
    </w:p>
    <w:tbl>
      <w:tblPr>
        <w:tblW w:w="9310" w:type="dxa"/>
        <w:jc w:val="center"/>
        <w:tblCellMar>
          <w:left w:w="70" w:type="dxa"/>
          <w:right w:w="70" w:type="dxa"/>
        </w:tblCellMar>
        <w:tblLook w:val="04A0" w:firstRow="1" w:lastRow="0" w:firstColumn="1" w:lastColumn="0" w:noHBand="0" w:noVBand="1"/>
      </w:tblPr>
      <w:tblGrid>
        <w:gridCol w:w="1792"/>
        <w:gridCol w:w="4648"/>
        <w:gridCol w:w="2870"/>
      </w:tblGrid>
      <w:tr w:rsidR="001E4EB3" w:rsidRPr="00272B2F" w14:paraId="2F6DD195" w14:textId="77777777" w:rsidTr="00CF2EDD">
        <w:trPr>
          <w:trHeight w:val="408"/>
          <w:jc w:val="center"/>
        </w:trPr>
        <w:tc>
          <w:tcPr>
            <w:tcW w:w="1792" w:type="dxa"/>
            <w:tcBorders>
              <w:top w:val="single" w:sz="4" w:space="0" w:color="auto"/>
              <w:left w:val="single" w:sz="4" w:space="0" w:color="auto"/>
              <w:bottom w:val="single" w:sz="4" w:space="0" w:color="auto"/>
              <w:right w:val="single" w:sz="4" w:space="0" w:color="auto"/>
            </w:tcBorders>
            <w:shd w:val="clear" w:color="000000" w:fill="BDD7EE"/>
            <w:noWrap/>
            <w:vAlign w:val="center"/>
            <w:hideMark/>
          </w:tcPr>
          <w:p w14:paraId="087BEF67" w14:textId="77777777" w:rsidR="001E4EB3" w:rsidRPr="00272B2F" w:rsidRDefault="001E4EB3" w:rsidP="004F046E">
            <w:pPr>
              <w:spacing w:line="360" w:lineRule="auto"/>
              <w:jc w:val="center"/>
              <w:rPr>
                <w:rFonts w:ascii="Times New Roman" w:eastAsia="Times New Roman" w:hAnsi="Times New Roman" w:cs="Times New Roman"/>
                <w:b/>
                <w:bCs/>
                <w:color w:val="000000"/>
                <w:sz w:val="24"/>
                <w:szCs w:val="24"/>
                <w:lang w:eastAsia="es-HN"/>
              </w:rPr>
            </w:pPr>
            <w:r w:rsidRPr="00272B2F">
              <w:rPr>
                <w:rFonts w:ascii="Times New Roman" w:eastAsia="Times New Roman" w:hAnsi="Times New Roman" w:cs="Times New Roman"/>
                <w:b/>
                <w:bCs/>
                <w:color w:val="000000"/>
                <w:sz w:val="24"/>
                <w:szCs w:val="24"/>
                <w:lang w:eastAsia="es-HN"/>
              </w:rPr>
              <w:t>Pregunta</w:t>
            </w:r>
          </w:p>
        </w:tc>
        <w:tc>
          <w:tcPr>
            <w:tcW w:w="4648" w:type="dxa"/>
            <w:tcBorders>
              <w:top w:val="single" w:sz="4" w:space="0" w:color="auto"/>
              <w:left w:val="nil"/>
              <w:bottom w:val="single" w:sz="4" w:space="0" w:color="auto"/>
              <w:right w:val="single" w:sz="4" w:space="0" w:color="auto"/>
            </w:tcBorders>
            <w:shd w:val="clear" w:color="000000" w:fill="BDD7EE"/>
            <w:noWrap/>
            <w:vAlign w:val="center"/>
            <w:hideMark/>
          </w:tcPr>
          <w:p w14:paraId="159BF6A5" w14:textId="084AA633" w:rsidR="001E4EB3" w:rsidRPr="00272B2F" w:rsidRDefault="001E4EB3" w:rsidP="004F046E">
            <w:pPr>
              <w:spacing w:line="360" w:lineRule="auto"/>
              <w:jc w:val="center"/>
              <w:rPr>
                <w:rFonts w:ascii="Times New Roman" w:eastAsia="Times New Roman" w:hAnsi="Times New Roman" w:cs="Times New Roman"/>
                <w:b/>
                <w:bCs/>
                <w:color w:val="000000"/>
                <w:sz w:val="24"/>
                <w:szCs w:val="24"/>
                <w:lang w:eastAsia="es-HN"/>
              </w:rPr>
            </w:pPr>
            <w:r w:rsidRPr="00272B2F">
              <w:rPr>
                <w:rFonts w:ascii="Times New Roman" w:eastAsia="Times New Roman" w:hAnsi="Times New Roman" w:cs="Times New Roman"/>
                <w:b/>
                <w:bCs/>
                <w:color w:val="000000"/>
                <w:sz w:val="24"/>
                <w:szCs w:val="24"/>
                <w:lang w:eastAsia="es-HN"/>
              </w:rPr>
              <w:t>Respuesta</w:t>
            </w:r>
          </w:p>
        </w:tc>
        <w:tc>
          <w:tcPr>
            <w:tcW w:w="2870" w:type="dxa"/>
            <w:tcBorders>
              <w:top w:val="single" w:sz="4" w:space="0" w:color="auto"/>
              <w:left w:val="nil"/>
              <w:bottom w:val="single" w:sz="4" w:space="0" w:color="auto"/>
              <w:right w:val="single" w:sz="4" w:space="0" w:color="auto"/>
            </w:tcBorders>
            <w:shd w:val="clear" w:color="000000" w:fill="BDD7EE"/>
            <w:noWrap/>
            <w:vAlign w:val="center"/>
            <w:hideMark/>
          </w:tcPr>
          <w:p w14:paraId="1B51E293" w14:textId="77777777" w:rsidR="001E4EB3" w:rsidRPr="00272B2F" w:rsidRDefault="001E4EB3" w:rsidP="004F046E">
            <w:pPr>
              <w:spacing w:line="360" w:lineRule="auto"/>
              <w:jc w:val="center"/>
              <w:rPr>
                <w:rFonts w:ascii="Times New Roman" w:eastAsia="Times New Roman" w:hAnsi="Times New Roman" w:cs="Times New Roman"/>
                <w:b/>
                <w:bCs/>
                <w:color w:val="000000"/>
                <w:sz w:val="24"/>
                <w:szCs w:val="24"/>
                <w:lang w:eastAsia="es-HN"/>
              </w:rPr>
            </w:pPr>
            <w:r w:rsidRPr="00272B2F">
              <w:rPr>
                <w:rFonts w:ascii="Times New Roman" w:eastAsia="Times New Roman" w:hAnsi="Times New Roman" w:cs="Times New Roman"/>
                <w:b/>
                <w:bCs/>
                <w:color w:val="000000"/>
                <w:sz w:val="24"/>
                <w:szCs w:val="24"/>
                <w:lang w:eastAsia="es-HN"/>
              </w:rPr>
              <w:t>Interpretación</w:t>
            </w:r>
          </w:p>
        </w:tc>
      </w:tr>
      <w:tr w:rsidR="001E4EB3" w:rsidRPr="00272B2F" w14:paraId="0AA09D28" w14:textId="77777777" w:rsidTr="00660997">
        <w:trPr>
          <w:trHeight w:val="699"/>
          <w:jc w:val="center"/>
        </w:trPr>
        <w:tc>
          <w:tcPr>
            <w:tcW w:w="1792"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DB20BFC" w14:textId="77777777" w:rsidR="001E4EB3" w:rsidRDefault="001E4EB3" w:rsidP="00660997">
            <w:pPr>
              <w:spacing w:line="360" w:lineRule="auto"/>
              <w:jc w:val="both"/>
              <w:rPr>
                <w:rFonts w:ascii="Times New Roman" w:eastAsia="Times New Roman" w:hAnsi="Times New Roman" w:cs="Times New Roman"/>
                <w:color w:val="000000"/>
                <w:sz w:val="24"/>
                <w:szCs w:val="24"/>
                <w:lang w:eastAsia="es-HN"/>
              </w:rPr>
            </w:pPr>
            <w:r w:rsidRPr="00272B2F">
              <w:rPr>
                <w:rFonts w:ascii="Times New Roman" w:eastAsia="Times New Roman" w:hAnsi="Times New Roman" w:cs="Times New Roman"/>
                <w:color w:val="000000"/>
                <w:sz w:val="24"/>
                <w:szCs w:val="24"/>
                <w:lang w:eastAsia="es-HN"/>
              </w:rPr>
              <w:t xml:space="preserve">6. ¿Qué herramientas o sistemas se utilizan para monitorear el seguimiento de recuperación de la cartera de créditos? </w:t>
            </w:r>
          </w:p>
          <w:p w14:paraId="230E131A" w14:textId="77777777" w:rsidR="00660997" w:rsidRPr="00660997" w:rsidRDefault="00660997" w:rsidP="00660997">
            <w:pPr>
              <w:rPr>
                <w:rFonts w:ascii="Times New Roman" w:eastAsia="Times New Roman" w:hAnsi="Times New Roman" w:cs="Times New Roman"/>
                <w:sz w:val="24"/>
                <w:szCs w:val="24"/>
                <w:lang w:eastAsia="es-HN"/>
              </w:rPr>
            </w:pPr>
          </w:p>
        </w:tc>
        <w:tc>
          <w:tcPr>
            <w:tcW w:w="4648" w:type="dxa"/>
            <w:tcBorders>
              <w:top w:val="single" w:sz="4" w:space="0" w:color="auto"/>
              <w:left w:val="nil"/>
              <w:bottom w:val="single" w:sz="4" w:space="0" w:color="auto"/>
              <w:right w:val="single" w:sz="4" w:space="0" w:color="auto"/>
            </w:tcBorders>
            <w:shd w:val="clear" w:color="auto" w:fill="auto"/>
            <w:vAlign w:val="center"/>
            <w:hideMark/>
          </w:tcPr>
          <w:p w14:paraId="6DFF9B58" w14:textId="1F0E7EC0" w:rsidR="00D350BE" w:rsidRPr="00272B2F" w:rsidRDefault="00D350BE" w:rsidP="00E24D9A">
            <w:pPr>
              <w:spacing w:line="360" w:lineRule="auto"/>
              <w:rPr>
                <w:rFonts w:ascii="Times New Roman" w:eastAsia="Times New Roman" w:hAnsi="Times New Roman" w:cs="Times New Roman"/>
                <w:color w:val="000000"/>
                <w:sz w:val="24"/>
                <w:szCs w:val="24"/>
                <w:lang w:eastAsia="es-HN"/>
              </w:rPr>
            </w:pPr>
            <w:r>
              <w:rPr>
                <w:rFonts w:ascii="Times New Roman" w:eastAsia="Times New Roman" w:hAnsi="Times New Roman" w:cs="Times New Roman"/>
                <w:color w:val="000000"/>
                <w:sz w:val="24"/>
                <w:szCs w:val="24"/>
                <w:lang w:eastAsia="es-HN"/>
              </w:rPr>
              <w:t>Como herramientas se utiliza el sistema FBS (Finacial System Business) que ayuda a monitorear el seguimiento de la cartera, además, se cuenta con un aplicativo en el celular donde se pueden verificar los reportes de la cartera a la que se debe dar el seguimiento por mora.</w:t>
            </w:r>
          </w:p>
        </w:tc>
        <w:tc>
          <w:tcPr>
            <w:tcW w:w="2870" w:type="dxa"/>
            <w:tcBorders>
              <w:top w:val="single" w:sz="4" w:space="0" w:color="auto"/>
              <w:left w:val="nil"/>
              <w:bottom w:val="single" w:sz="4" w:space="0" w:color="auto"/>
              <w:right w:val="single" w:sz="4" w:space="0" w:color="auto"/>
            </w:tcBorders>
            <w:shd w:val="clear" w:color="auto" w:fill="auto"/>
            <w:noWrap/>
            <w:vAlign w:val="bottom"/>
            <w:hideMark/>
          </w:tcPr>
          <w:p w14:paraId="01F76314" w14:textId="078152A7" w:rsidR="001E4EB3" w:rsidRPr="00272B2F" w:rsidRDefault="004F0001" w:rsidP="00272B2F">
            <w:pPr>
              <w:spacing w:line="360" w:lineRule="auto"/>
              <w:jc w:val="both"/>
              <w:rPr>
                <w:rFonts w:ascii="Times New Roman" w:eastAsia="Times New Roman" w:hAnsi="Times New Roman" w:cs="Times New Roman"/>
                <w:color w:val="000000"/>
                <w:sz w:val="24"/>
                <w:szCs w:val="24"/>
                <w:lang w:eastAsia="es-HN"/>
              </w:rPr>
            </w:pPr>
            <w:r>
              <w:rPr>
                <w:rFonts w:ascii="Times New Roman" w:eastAsia="Times New Roman" w:hAnsi="Times New Roman" w:cs="Times New Roman"/>
                <w:color w:val="000000"/>
                <w:sz w:val="24"/>
                <w:szCs w:val="24"/>
                <w:lang w:eastAsia="es-HN"/>
              </w:rPr>
              <w:t>E</w:t>
            </w:r>
            <w:r w:rsidRPr="004F0001">
              <w:rPr>
                <w:rFonts w:ascii="Times New Roman" w:eastAsia="Times New Roman" w:hAnsi="Times New Roman" w:cs="Times New Roman"/>
                <w:color w:val="000000"/>
                <w:sz w:val="24"/>
                <w:szCs w:val="24"/>
                <w:lang w:eastAsia="es-HN"/>
              </w:rPr>
              <w:t>l uso combinado del sistema FBS y la aplicación móvil para el monitoreo de la cartera por morosidad refleja un enfoque moderno y tecnológico para la gestión financiera de la empresa, proporcionando herramientas poderosas para optimizar la recuperación de deudas y mejorar la salud financiera a largo plazo.</w:t>
            </w:r>
          </w:p>
        </w:tc>
      </w:tr>
      <w:tr w:rsidR="001E4EB3" w:rsidRPr="00272B2F" w14:paraId="2FA41A12" w14:textId="77777777" w:rsidTr="00451561">
        <w:trPr>
          <w:trHeight w:val="841"/>
          <w:jc w:val="center"/>
        </w:trPr>
        <w:tc>
          <w:tcPr>
            <w:tcW w:w="1792"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EB9C56C" w14:textId="77777777" w:rsidR="001E4EB3" w:rsidRPr="00272B2F" w:rsidRDefault="001E4EB3" w:rsidP="00272B2F">
            <w:pPr>
              <w:spacing w:line="360" w:lineRule="auto"/>
              <w:jc w:val="both"/>
              <w:rPr>
                <w:rFonts w:ascii="Times New Roman" w:eastAsia="Times New Roman" w:hAnsi="Times New Roman" w:cs="Times New Roman"/>
                <w:color w:val="000000"/>
                <w:sz w:val="24"/>
                <w:szCs w:val="24"/>
                <w:lang w:eastAsia="es-HN"/>
              </w:rPr>
            </w:pPr>
            <w:r w:rsidRPr="00272B2F">
              <w:rPr>
                <w:rFonts w:ascii="Times New Roman" w:eastAsia="Times New Roman" w:hAnsi="Times New Roman" w:cs="Times New Roman"/>
                <w:color w:val="000000"/>
                <w:sz w:val="24"/>
                <w:szCs w:val="24"/>
                <w:lang w:eastAsia="es-HN"/>
              </w:rPr>
              <w:t xml:space="preserve">7. ¿Qué políticas y procedimientos se han implementado para mejorar la gestión de cobro? </w:t>
            </w:r>
          </w:p>
        </w:tc>
        <w:tc>
          <w:tcPr>
            <w:tcW w:w="4648" w:type="dxa"/>
            <w:tcBorders>
              <w:top w:val="single" w:sz="4" w:space="0" w:color="auto"/>
              <w:left w:val="nil"/>
              <w:bottom w:val="single" w:sz="4" w:space="0" w:color="auto"/>
              <w:right w:val="single" w:sz="4" w:space="0" w:color="auto"/>
            </w:tcBorders>
            <w:shd w:val="clear" w:color="auto" w:fill="auto"/>
            <w:vAlign w:val="center"/>
            <w:hideMark/>
          </w:tcPr>
          <w:p w14:paraId="0C76DB5E" w14:textId="074C8ECA" w:rsidR="00227446" w:rsidRPr="00227446" w:rsidRDefault="00227446" w:rsidP="00227446">
            <w:pPr>
              <w:spacing w:line="360" w:lineRule="auto"/>
              <w:jc w:val="both"/>
              <w:rPr>
                <w:rFonts w:ascii="Times New Roman" w:eastAsia="Times New Roman" w:hAnsi="Times New Roman" w:cs="Times New Roman"/>
                <w:color w:val="000000"/>
                <w:sz w:val="24"/>
                <w:szCs w:val="24"/>
                <w:lang w:eastAsia="es-HN"/>
              </w:rPr>
            </w:pPr>
            <w:r w:rsidRPr="00227446">
              <w:rPr>
                <w:rFonts w:ascii="Times New Roman" w:eastAsia="Times New Roman" w:hAnsi="Times New Roman" w:cs="Times New Roman"/>
                <w:color w:val="000000"/>
                <w:sz w:val="24"/>
                <w:szCs w:val="24"/>
                <w:lang w:eastAsia="es-HN"/>
              </w:rPr>
              <w:t>Las visitas que se hacen a los clientes, de forma cronológicas para poder entregar cartas de cobro</w:t>
            </w:r>
            <w:r>
              <w:rPr>
                <w:rFonts w:ascii="Times New Roman" w:eastAsia="Times New Roman" w:hAnsi="Times New Roman" w:cs="Times New Roman"/>
                <w:color w:val="000000"/>
                <w:sz w:val="24"/>
                <w:szCs w:val="24"/>
                <w:lang w:eastAsia="es-HN"/>
              </w:rPr>
              <w:t>.</w:t>
            </w:r>
          </w:p>
          <w:p w14:paraId="46CA5746" w14:textId="77777777" w:rsidR="00227446" w:rsidRPr="00227446" w:rsidRDefault="00227446" w:rsidP="00227446">
            <w:pPr>
              <w:spacing w:line="360" w:lineRule="auto"/>
              <w:jc w:val="both"/>
              <w:rPr>
                <w:rFonts w:ascii="Times New Roman" w:eastAsia="Times New Roman" w:hAnsi="Times New Roman" w:cs="Times New Roman"/>
                <w:color w:val="000000"/>
                <w:sz w:val="24"/>
                <w:szCs w:val="24"/>
                <w:lang w:eastAsia="es-HN"/>
              </w:rPr>
            </w:pPr>
            <w:r w:rsidRPr="00227446">
              <w:rPr>
                <w:rFonts w:ascii="Times New Roman" w:eastAsia="Times New Roman" w:hAnsi="Times New Roman" w:cs="Times New Roman"/>
                <w:color w:val="000000"/>
                <w:sz w:val="24"/>
                <w:szCs w:val="24"/>
                <w:lang w:eastAsia="es-HN"/>
              </w:rPr>
              <w:t>Procesos de cobranzas a través de visitas de campo.</w:t>
            </w:r>
          </w:p>
          <w:p w14:paraId="5B830620" w14:textId="1C4F9729" w:rsidR="00227446" w:rsidRDefault="00227446" w:rsidP="00227446">
            <w:pPr>
              <w:spacing w:line="360" w:lineRule="auto"/>
              <w:jc w:val="both"/>
              <w:rPr>
                <w:rFonts w:ascii="Times New Roman" w:eastAsia="Times New Roman" w:hAnsi="Times New Roman" w:cs="Times New Roman"/>
                <w:color w:val="000000"/>
                <w:sz w:val="24"/>
                <w:szCs w:val="24"/>
                <w:lang w:eastAsia="es-HN"/>
              </w:rPr>
            </w:pPr>
            <w:r w:rsidRPr="00227446">
              <w:rPr>
                <w:rFonts w:ascii="Times New Roman" w:eastAsia="Times New Roman" w:hAnsi="Times New Roman" w:cs="Times New Roman"/>
                <w:color w:val="000000"/>
                <w:sz w:val="24"/>
                <w:szCs w:val="24"/>
                <w:lang w:eastAsia="es-HN"/>
              </w:rPr>
              <w:t>Inclusión del área de cobros</w:t>
            </w:r>
            <w:r>
              <w:rPr>
                <w:rFonts w:ascii="Times New Roman" w:eastAsia="Times New Roman" w:hAnsi="Times New Roman" w:cs="Times New Roman"/>
                <w:color w:val="000000"/>
                <w:sz w:val="24"/>
                <w:szCs w:val="24"/>
                <w:lang w:eastAsia="es-HN"/>
              </w:rPr>
              <w:t>, a través de gestores de cobros.</w:t>
            </w:r>
            <w:r w:rsidRPr="00227446">
              <w:rPr>
                <w:rFonts w:ascii="Times New Roman" w:eastAsia="Times New Roman" w:hAnsi="Times New Roman" w:cs="Times New Roman"/>
                <w:color w:val="000000"/>
                <w:sz w:val="24"/>
                <w:szCs w:val="24"/>
                <w:lang w:eastAsia="es-HN"/>
              </w:rPr>
              <w:t xml:space="preserve"> Traslados de menores rangos de mora a los cobradores, para una gestión más intensa</w:t>
            </w:r>
            <w:r w:rsidR="000D1738">
              <w:rPr>
                <w:rFonts w:ascii="Times New Roman" w:eastAsia="Times New Roman" w:hAnsi="Times New Roman" w:cs="Times New Roman"/>
                <w:color w:val="000000"/>
                <w:sz w:val="24"/>
                <w:szCs w:val="24"/>
                <w:lang w:eastAsia="es-HN"/>
              </w:rPr>
              <w:t>.</w:t>
            </w:r>
          </w:p>
          <w:p w14:paraId="58331F8D" w14:textId="6F777E47" w:rsidR="00227446" w:rsidRPr="00227446" w:rsidRDefault="00227446" w:rsidP="00227446">
            <w:pPr>
              <w:spacing w:line="360" w:lineRule="auto"/>
              <w:jc w:val="both"/>
              <w:rPr>
                <w:rFonts w:ascii="Times New Roman" w:eastAsia="Times New Roman" w:hAnsi="Times New Roman" w:cs="Times New Roman"/>
                <w:color w:val="000000"/>
                <w:sz w:val="24"/>
                <w:szCs w:val="24"/>
                <w:lang w:eastAsia="es-HN"/>
              </w:rPr>
            </w:pPr>
            <w:r w:rsidRPr="00227446">
              <w:rPr>
                <w:rFonts w:ascii="Times New Roman" w:eastAsia="Times New Roman" w:hAnsi="Times New Roman" w:cs="Times New Roman"/>
                <w:color w:val="000000"/>
                <w:sz w:val="24"/>
                <w:szCs w:val="24"/>
                <w:lang w:eastAsia="es-HN"/>
              </w:rPr>
              <w:t>Utilización de los juzgados de paz, para llegar a conciliaciones para arreglos de pago</w:t>
            </w:r>
          </w:p>
          <w:p w14:paraId="11595A6A" w14:textId="77777777" w:rsidR="00227446" w:rsidRPr="00227446" w:rsidRDefault="00227446" w:rsidP="00227446">
            <w:pPr>
              <w:spacing w:line="360" w:lineRule="auto"/>
              <w:jc w:val="both"/>
              <w:rPr>
                <w:rFonts w:ascii="Times New Roman" w:eastAsia="Times New Roman" w:hAnsi="Times New Roman" w:cs="Times New Roman"/>
                <w:color w:val="000000"/>
                <w:sz w:val="24"/>
                <w:szCs w:val="24"/>
                <w:lang w:eastAsia="es-HN"/>
              </w:rPr>
            </w:pPr>
            <w:r w:rsidRPr="00227446">
              <w:rPr>
                <w:rFonts w:ascii="Times New Roman" w:eastAsia="Times New Roman" w:hAnsi="Times New Roman" w:cs="Times New Roman"/>
                <w:color w:val="000000"/>
                <w:sz w:val="24"/>
                <w:szCs w:val="24"/>
                <w:lang w:eastAsia="es-HN"/>
              </w:rPr>
              <w:lastRenderedPageBreak/>
              <w:t>Visitas con abogados como medidas de presión</w:t>
            </w:r>
          </w:p>
          <w:p w14:paraId="47D7B26A" w14:textId="10BFB738" w:rsidR="001E4EB3" w:rsidRPr="00272B2F" w:rsidRDefault="00227446" w:rsidP="00227446">
            <w:pPr>
              <w:spacing w:line="360" w:lineRule="auto"/>
              <w:jc w:val="both"/>
              <w:rPr>
                <w:rFonts w:ascii="Times New Roman" w:eastAsia="Times New Roman" w:hAnsi="Times New Roman" w:cs="Times New Roman"/>
                <w:color w:val="000000"/>
                <w:sz w:val="24"/>
                <w:szCs w:val="24"/>
                <w:lang w:eastAsia="es-HN"/>
              </w:rPr>
            </w:pPr>
            <w:r w:rsidRPr="00227446">
              <w:rPr>
                <w:rFonts w:ascii="Times New Roman" w:eastAsia="Times New Roman" w:hAnsi="Times New Roman" w:cs="Times New Roman"/>
                <w:color w:val="000000"/>
                <w:sz w:val="24"/>
                <w:szCs w:val="24"/>
                <w:lang w:eastAsia="es-HN"/>
              </w:rPr>
              <w:t>Agencia de cobranzas externas</w:t>
            </w:r>
            <w:r w:rsidR="000D1738">
              <w:rPr>
                <w:rFonts w:ascii="Times New Roman" w:eastAsia="Times New Roman" w:hAnsi="Times New Roman" w:cs="Times New Roman"/>
                <w:color w:val="000000"/>
                <w:sz w:val="24"/>
                <w:szCs w:val="24"/>
                <w:lang w:eastAsia="es-HN"/>
              </w:rPr>
              <w:t>.</w:t>
            </w:r>
          </w:p>
        </w:tc>
        <w:tc>
          <w:tcPr>
            <w:tcW w:w="2870" w:type="dxa"/>
            <w:tcBorders>
              <w:top w:val="single" w:sz="4" w:space="0" w:color="auto"/>
              <w:left w:val="nil"/>
              <w:bottom w:val="single" w:sz="4" w:space="0" w:color="auto"/>
              <w:right w:val="single" w:sz="4" w:space="0" w:color="auto"/>
            </w:tcBorders>
            <w:shd w:val="clear" w:color="auto" w:fill="auto"/>
            <w:noWrap/>
            <w:vAlign w:val="bottom"/>
          </w:tcPr>
          <w:p w14:paraId="38E47688" w14:textId="5514F645" w:rsidR="001E4EB3" w:rsidRPr="00272B2F" w:rsidRDefault="000D1738" w:rsidP="00272B2F">
            <w:pPr>
              <w:spacing w:line="360" w:lineRule="auto"/>
              <w:jc w:val="both"/>
              <w:rPr>
                <w:rFonts w:ascii="Times New Roman" w:eastAsia="Times New Roman" w:hAnsi="Times New Roman" w:cs="Times New Roman"/>
                <w:color w:val="000000"/>
                <w:sz w:val="24"/>
                <w:szCs w:val="24"/>
                <w:lang w:eastAsia="es-HN"/>
              </w:rPr>
            </w:pPr>
            <w:r>
              <w:rPr>
                <w:rFonts w:ascii="Times New Roman" w:eastAsia="Times New Roman" w:hAnsi="Times New Roman" w:cs="Times New Roman"/>
                <w:color w:val="000000"/>
                <w:sz w:val="24"/>
                <w:szCs w:val="24"/>
                <w:lang w:eastAsia="es-HN"/>
              </w:rPr>
              <w:lastRenderedPageBreak/>
              <w:t>E</w:t>
            </w:r>
            <w:r w:rsidRPr="000D1738">
              <w:rPr>
                <w:rFonts w:ascii="Times New Roman" w:eastAsia="Times New Roman" w:hAnsi="Times New Roman" w:cs="Times New Roman"/>
                <w:color w:val="000000"/>
                <w:sz w:val="24"/>
                <w:szCs w:val="24"/>
                <w:lang w:eastAsia="es-HN"/>
              </w:rPr>
              <w:t>stas estrategias y procesos indican un enfoque integral y multifacético en la gestión de cobranza de la empresa, utilizando tanto recursos internos como externos para maximizar la efectividad y mejorar los resultados en la recuperación de deudas.</w:t>
            </w:r>
          </w:p>
        </w:tc>
      </w:tr>
      <w:tr w:rsidR="001E4EB3" w:rsidRPr="00272B2F" w14:paraId="03BE8532" w14:textId="77777777" w:rsidTr="004F708C">
        <w:trPr>
          <w:trHeight w:val="1633"/>
          <w:jc w:val="center"/>
        </w:trPr>
        <w:tc>
          <w:tcPr>
            <w:tcW w:w="1792"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588F623" w14:textId="77777777" w:rsidR="001E4EB3" w:rsidRPr="00272B2F" w:rsidRDefault="001E4EB3" w:rsidP="00272B2F">
            <w:pPr>
              <w:spacing w:line="360" w:lineRule="auto"/>
              <w:jc w:val="both"/>
              <w:rPr>
                <w:rFonts w:ascii="Times New Roman" w:eastAsia="Times New Roman" w:hAnsi="Times New Roman" w:cs="Times New Roman"/>
                <w:color w:val="000000"/>
                <w:sz w:val="24"/>
                <w:szCs w:val="24"/>
                <w:lang w:eastAsia="es-HN"/>
              </w:rPr>
            </w:pPr>
            <w:r w:rsidRPr="00272B2F">
              <w:rPr>
                <w:rFonts w:ascii="Times New Roman" w:eastAsia="Times New Roman" w:hAnsi="Times New Roman" w:cs="Times New Roman"/>
                <w:color w:val="000000"/>
                <w:sz w:val="24"/>
                <w:szCs w:val="24"/>
                <w:lang w:eastAsia="es-HN"/>
              </w:rPr>
              <w:t xml:space="preserve">8. ¿Cómo se manejan las situaciones de morosidad o préstamos en riesgo de no pago? </w:t>
            </w:r>
          </w:p>
        </w:tc>
        <w:tc>
          <w:tcPr>
            <w:tcW w:w="4648" w:type="dxa"/>
            <w:tcBorders>
              <w:top w:val="single" w:sz="4" w:space="0" w:color="auto"/>
              <w:left w:val="nil"/>
              <w:bottom w:val="single" w:sz="4" w:space="0" w:color="auto"/>
              <w:right w:val="single" w:sz="4" w:space="0" w:color="auto"/>
            </w:tcBorders>
            <w:shd w:val="clear" w:color="auto" w:fill="auto"/>
            <w:vAlign w:val="center"/>
            <w:hideMark/>
          </w:tcPr>
          <w:p w14:paraId="2EF56851" w14:textId="63839319" w:rsidR="00227446" w:rsidRPr="00227446" w:rsidRDefault="00227446" w:rsidP="00227446">
            <w:pPr>
              <w:spacing w:line="360" w:lineRule="auto"/>
              <w:jc w:val="both"/>
              <w:rPr>
                <w:rFonts w:ascii="Times New Roman" w:eastAsia="Times New Roman" w:hAnsi="Times New Roman" w:cs="Times New Roman"/>
                <w:color w:val="000000"/>
                <w:sz w:val="24"/>
                <w:szCs w:val="24"/>
                <w:lang w:eastAsia="es-HN"/>
              </w:rPr>
            </w:pPr>
            <w:r w:rsidRPr="00227446">
              <w:rPr>
                <w:rFonts w:ascii="Times New Roman" w:eastAsia="Times New Roman" w:hAnsi="Times New Roman" w:cs="Times New Roman"/>
                <w:color w:val="000000"/>
                <w:sz w:val="24"/>
                <w:szCs w:val="24"/>
                <w:lang w:eastAsia="es-HN"/>
              </w:rPr>
              <w:t>Cuando los clientes que migran se vuelven difícil ya que no hay manera de citarlo, a través de los familiares se realiza el contacto o se solicita el pago.</w:t>
            </w:r>
          </w:p>
          <w:p w14:paraId="552FAF41" w14:textId="3611CA1D" w:rsidR="00227446" w:rsidRPr="00227446" w:rsidRDefault="00227446" w:rsidP="00227446">
            <w:pPr>
              <w:spacing w:line="360" w:lineRule="auto"/>
              <w:jc w:val="both"/>
              <w:rPr>
                <w:rFonts w:ascii="Times New Roman" w:eastAsia="Times New Roman" w:hAnsi="Times New Roman" w:cs="Times New Roman"/>
                <w:color w:val="000000"/>
                <w:sz w:val="24"/>
                <w:szCs w:val="24"/>
                <w:lang w:eastAsia="es-HN"/>
              </w:rPr>
            </w:pPr>
            <w:r w:rsidRPr="00227446">
              <w:rPr>
                <w:rFonts w:ascii="Times New Roman" w:eastAsia="Times New Roman" w:hAnsi="Times New Roman" w:cs="Times New Roman"/>
                <w:color w:val="000000"/>
                <w:sz w:val="24"/>
                <w:szCs w:val="24"/>
                <w:lang w:eastAsia="es-HN"/>
              </w:rPr>
              <w:t>Además, se identifican otros aspectos como si los clientes tienen bienes a su nombre y se realiza una ejecución judicial</w:t>
            </w:r>
            <w:r w:rsidRPr="003439BE">
              <w:rPr>
                <w:rFonts w:ascii="Times New Roman" w:hAnsi="Times New Roman" w:cs="Times New Roman"/>
                <w:kern w:val="2"/>
                <w:sz w:val="24"/>
                <w:szCs w:val="24"/>
              </w:rPr>
              <w:t xml:space="preserve"> </w:t>
            </w:r>
            <w:r w:rsidRPr="00227446">
              <w:rPr>
                <w:rFonts w:ascii="Times New Roman" w:eastAsia="Times New Roman" w:hAnsi="Times New Roman" w:cs="Times New Roman"/>
                <w:color w:val="000000"/>
                <w:sz w:val="24"/>
                <w:szCs w:val="24"/>
                <w:lang w:eastAsia="es-HN"/>
              </w:rPr>
              <w:t xml:space="preserve">La atención personalizada de los </w:t>
            </w:r>
            <w:r>
              <w:rPr>
                <w:rFonts w:ascii="Times New Roman" w:eastAsia="Times New Roman" w:hAnsi="Times New Roman" w:cs="Times New Roman"/>
                <w:color w:val="000000"/>
                <w:sz w:val="24"/>
                <w:szCs w:val="24"/>
                <w:lang w:eastAsia="es-HN"/>
              </w:rPr>
              <w:t xml:space="preserve">oficiales de negocios, </w:t>
            </w:r>
            <w:r w:rsidRPr="00227446">
              <w:rPr>
                <w:rFonts w:ascii="Times New Roman" w:eastAsia="Times New Roman" w:hAnsi="Times New Roman" w:cs="Times New Roman"/>
                <w:color w:val="000000"/>
                <w:sz w:val="24"/>
                <w:szCs w:val="24"/>
                <w:lang w:eastAsia="es-HN"/>
              </w:rPr>
              <w:t>a través de llamadas y visitas</w:t>
            </w:r>
          </w:p>
          <w:p w14:paraId="32576F23" w14:textId="32095D1C" w:rsidR="001E4EB3" w:rsidRPr="00272B2F" w:rsidRDefault="00227446" w:rsidP="00227446">
            <w:pPr>
              <w:spacing w:line="360" w:lineRule="auto"/>
              <w:jc w:val="both"/>
              <w:rPr>
                <w:rFonts w:ascii="Times New Roman" w:eastAsia="Times New Roman" w:hAnsi="Times New Roman" w:cs="Times New Roman"/>
                <w:color w:val="000000"/>
                <w:sz w:val="24"/>
                <w:szCs w:val="24"/>
                <w:lang w:eastAsia="es-HN"/>
              </w:rPr>
            </w:pPr>
            <w:r w:rsidRPr="00227446">
              <w:rPr>
                <w:rFonts w:ascii="Times New Roman" w:eastAsia="Times New Roman" w:hAnsi="Times New Roman" w:cs="Times New Roman"/>
                <w:color w:val="000000"/>
                <w:sz w:val="24"/>
                <w:szCs w:val="24"/>
                <w:lang w:eastAsia="es-HN"/>
              </w:rPr>
              <w:t>Con clientes de altos se traslada al departamento de recuperaciones</w:t>
            </w:r>
            <w:r>
              <w:rPr>
                <w:rFonts w:ascii="Times New Roman" w:eastAsia="Times New Roman" w:hAnsi="Times New Roman" w:cs="Times New Roman"/>
                <w:color w:val="000000"/>
                <w:sz w:val="24"/>
                <w:szCs w:val="24"/>
                <w:lang w:eastAsia="es-HN"/>
              </w:rPr>
              <w:t>.</w:t>
            </w:r>
          </w:p>
        </w:tc>
        <w:tc>
          <w:tcPr>
            <w:tcW w:w="2870" w:type="dxa"/>
            <w:tcBorders>
              <w:top w:val="single" w:sz="4" w:space="0" w:color="auto"/>
              <w:left w:val="nil"/>
              <w:bottom w:val="single" w:sz="4" w:space="0" w:color="auto"/>
              <w:right w:val="single" w:sz="4" w:space="0" w:color="auto"/>
            </w:tcBorders>
            <w:shd w:val="clear" w:color="auto" w:fill="auto"/>
            <w:noWrap/>
            <w:vAlign w:val="bottom"/>
            <w:hideMark/>
          </w:tcPr>
          <w:p w14:paraId="5F4F640F" w14:textId="5C056EF0" w:rsidR="001E4EB3" w:rsidRPr="00272B2F" w:rsidRDefault="000D1738" w:rsidP="00272B2F">
            <w:pPr>
              <w:spacing w:line="360" w:lineRule="auto"/>
              <w:jc w:val="both"/>
              <w:rPr>
                <w:rFonts w:ascii="Times New Roman" w:eastAsia="Times New Roman" w:hAnsi="Times New Roman" w:cs="Times New Roman"/>
                <w:color w:val="000000"/>
                <w:sz w:val="24"/>
                <w:szCs w:val="24"/>
                <w:lang w:eastAsia="es-HN"/>
              </w:rPr>
            </w:pPr>
            <w:r>
              <w:rPr>
                <w:rFonts w:ascii="Times New Roman" w:eastAsia="Times New Roman" w:hAnsi="Times New Roman" w:cs="Times New Roman"/>
                <w:color w:val="000000"/>
                <w:sz w:val="24"/>
                <w:szCs w:val="24"/>
                <w:lang w:eastAsia="es-HN"/>
              </w:rPr>
              <w:t>E</w:t>
            </w:r>
            <w:r w:rsidRPr="000D1738">
              <w:rPr>
                <w:rFonts w:ascii="Times New Roman" w:eastAsia="Times New Roman" w:hAnsi="Times New Roman" w:cs="Times New Roman"/>
                <w:color w:val="000000"/>
                <w:sz w:val="24"/>
                <w:szCs w:val="24"/>
                <w:lang w:eastAsia="es-HN"/>
              </w:rPr>
              <w:t>stos enfoques muestran la flexibilidad y la adaptabilidad de la empresa en la gestión de cobranzas, utilizando diversas estrategias para abordar situaciones complejas y mejorar la efectividad en la recuperación de deudas. La atención personalizada, el contacto indirecto a través de familiares y la consideración de medidas legales como la ejecución judicial reflejan un enfoque integral y proactivo en la gestión de morosidad.</w:t>
            </w:r>
          </w:p>
        </w:tc>
      </w:tr>
      <w:tr w:rsidR="001E4EB3" w:rsidRPr="00272B2F" w14:paraId="4D70ACD2" w14:textId="77777777" w:rsidTr="00CF2EDD">
        <w:trPr>
          <w:trHeight w:val="2041"/>
          <w:jc w:val="center"/>
        </w:trPr>
        <w:tc>
          <w:tcPr>
            <w:tcW w:w="1792"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F08784D" w14:textId="77777777" w:rsidR="001E4EB3" w:rsidRPr="00272B2F" w:rsidRDefault="001E4EB3" w:rsidP="00272B2F">
            <w:pPr>
              <w:spacing w:line="360" w:lineRule="auto"/>
              <w:jc w:val="both"/>
              <w:rPr>
                <w:rFonts w:ascii="Times New Roman" w:eastAsia="Times New Roman" w:hAnsi="Times New Roman" w:cs="Times New Roman"/>
                <w:color w:val="000000"/>
                <w:sz w:val="24"/>
                <w:szCs w:val="24"/>
                <w:lang w:eastAsia="es-HN"/>
              </w:rPr>
            </w:pPr>
            <w:r w:rsidRPr="00272B2F">
              <w:rPr>
                <w:rFonts w:ascii="Times New Roman" w:eastAsia="Times New Roman" w:hAnsi="Times New Roman" w:cs="Times New Roman"/>
                <w:color w:val="000000"/>
                <w:sz w:val="24"/>
                <w:szCs w:val="24"/>
                <w:lang w:eastAsia="es-HN"/>
              </w:rPr>
              <w:t xml:space="preserve">9. ¿Cómo se manejan los casos de clientes con problemas para cumplir con sus obligaciones de pago? </w:t>
            </w:r>
          </w:p>
        </w:tc>
        <w:tc>
          <w:tcPr>
            <w:tcW w:w="4648" w:type="dxa"/>
            <w:tcBorders>
              <w:top w:val="single" w:sz="4" w:space="0" w:color="auto"/>
              <w:left w:val="nil"/>
              <w:bottom w:val="single" w:sz="4" w:space="0" w:color="auto"/>
              <w:right w:val="single" w:sz="4" w:space="0" w:color="auto"/>
            </w:tcBorders>
            <w:shd w:val="clear" w:color="auto" w:fill="auto"/>
            <w:vAlign w:val="center"/>
            <w:hideMark/>
          </w:tcPr>
          <w:p w14:paraId="3347E0C2" w14:textId="43A5D8CD" w:rsidR="001732C7" w:rsidRDefault="00D350BE" w:rsidP="001732C7">
            <w:pPr>
              <w:spacing w:line="360" w:lineRule="auto"/>
              <w:jc w:val="both"/>
              <w:rPr>
                <w:rFonts w:ascii="Times New Roman" w:hAnsi="Times New Roman" w:cs="Times New Roman"/>
                <w:sz w:val="24"/>
                <w:szCs w:val="24"/>
              </w:rPr>
            </w:pPr>
            <w:r>
              <w:rPr>
                <w:rFonts w:ascii="Times New Roman" w:eastAsia="Times New Roman" w:hAnsi="Times New Roman" w:cs="Times New Roman"/>
                <w:color w:val="000000"/>
                <w:sz w:val="24"/>
                <w:szCs w:val="24"/>
                <w:lang w:eastAsia="es-HN"/>
              </w:rPr>
              <w:t xml:space="preserve">Primero que </w:t>
            </w:r>
            <w:r w:rsidR="001732C7">
              <w:rPr>
                <w:rFonts w:ascii="Times New Roman" w:eastAsia="Times New Roman" w:hAnsi="Times New Roman" w:cs="Times New Roman"/>
                <w:color w:val="000000"/>
                <w:sz w:val="24"/>
                <w:szCs w:val="24"/>
                <w:lang w:eastAsia="es-HN"/>
              </w:rPr>
              <w:t>nada,</w:t>
            </w:r>
            <w:r>
              <w:rPr>
                <w:rFonts w:ascii="Times New Roman" w:eastAsia="Times New Roman" w:hAnsi="Times New Roman" w:cs="Times New Roman"/>
                <w:color w:val="000000"/>
                <w:sz w:val="24"/>
                <w:szCs w:val="24"/>
                <w:lang w:eastAsia="es-HN"/>
              </w:rPr>
              <w:t xml:space="preserve"> se identifica cual es la situación del no pago, debido a que pueden ser situaciones temporales como baja en las ventas, problemas de salud</w:t>
            </w:r>
            <w:r w:rsidR="001732C7">
              <w:rPr>
                <w:rFonts w:ascii="Times New Roman" w:eastAsia="Times New Roman" w:hAnsi="Times New Roman" w:cs="Times New Roman"/>
                <w:color w:val="000000"/>
                <w:sz w:val="24"/>
                <w:szCs w:val="24"/>
                <w:lang w:eastAsia="es-HN"/>
              </w:rPr>
              <w:t>, porque el cliente o proveedor no realizo el pago, entre otros. Una vez identificada la situación se ofrecen alternativas de pago, como ser pagos parciales, abonos semanales. Etc.</w:t>
            </w:r>
            <w:r w:rsidR="001732C7" w:rsidRPr="002C4B0E">
              <w:rPr>
                <w:rFonts w:ascii="Times New Roman" w:hAnsi="Times New Roman" w:cs="Times New Roman"/>
                <w:sz w:val="24"/>
                <w:szCs w:val="24"/>
              </w:rPr>
              <w:t xml:space="preserve"> Se realiza un a</w:t>
            </w:r>
            <w:r w:rsidR="001732C7">
              <w:rPr>
                <w:rFonts w:ascii="Times New Roman" w:hAnsi="Times New Roman" w:cs="Times New Roman"/>
                <w:sz w:val="24"/>
                <w:szCs w:val="24"/>
              </w:rPr>
              <w:t>n</w:t>
            </w:r>
            <w:r w:rsidR="001732C7" w:rsidRPr="002C4B0E">
              <w:rPr>
                <w:rFonts w:ascii="Times New Roman" w:hAnsi="Times New Roman" w:cs="Times New Roman"/>
                <w:sz w:val="24"/>
                <w:szCs w:val="24"/>
              </w:rPr>
              <w:t>ális</w:t>
            </w:r>
            <w:r w:rsidR="001732C7">
              <w:rPr>
                <w:rFonts w:ascii="Times New Roman" w:hAnsi="Times New Roman" w:cs="Times New Roman"/>
                <w:sz w:val="24"/>
                <w:szCs w:val="24"/>
              </w:rPr>
              <w:t>is</w:t>
            </w:r>
            <w:r w:rsidR="001732C7" w:rsidRPr="002C4B0E">
              <w:rPr>
                <w:rFonts w:ascii="Times New Roman" w:hAnsi="Times New Roman" w:cs="Times New Roman"/>
                <w:sz w:val="24"/>
                <w:szCs w:val="24"/>
              </w:rPr>
              <w:t xml:space="preserve"> socio económico del negocio para brindarle el derecho de usuario financiero para renegociar o refinanciar su obligación</w:t>
            </w:r>
            <w:r w:rsidR="001732C7">
              <w:rPr>
                <w:rFonts w:ascii="Times New Roman" w:hAnsi="Times New Roman" w:cs="Times New Roman"/>
                <w:sz w:val="24"/>
                <w:szCs w:val="24"/>
              </w:rPr>
              <w:t>.</w:t>
            </w:r>
          </w:p>
          <w:p w14:paraId="42FBF119" w14:textId="678642A6" w:rsidR="001E4EB3" w:rsidRPr="00272B2F" w:rsidRDefault="001E4EB3" w:rsidP="00272B2F">
            <w:pPr>
              <w:spacing w:line="360" w:lineRule="auto"/>
              <w:jc w:val="both"/>
              <w:rPr>
                <w:rFonts w:ascii="Times New Roman" w:eastAsia="Times New Roman" w:hAnsi="Times New Roman" w:cs="Times New Roman"/>
                <w:color w:val="000000"/>
                <w:sz w:val="24"/>
                <w:szCs w:val="24"/>
                <w:lang w:eastAsia="es-HN"/>
              </w:rPr>
            </w:pPr>
          </w:p>
        </w:tc>
        <w:tc>
          <w:tcPr>
            <w:tcW w:w="2870" w:type="dxa"/>
            <w:tcBorders>
              <w:top w:val="single" w:sz="4" w:space="0" w:color="auto"/>
              <w:left w:val="nil"/>
              <w:bottom w:val="single" w:sz="4" w:space="0" w:color="auto"/>
              <w:right w:val="single" w:sz="4" w:space="0" w:color="auto"/>
            </w:tcBorders>
            <w:shd w:val="clear" w:color="auto" w:fill="auto"/>
            <w:noWrap/>
            <w:vAlign w:val="bottom"/>
            <w:hideMark/>
          </w:tcPr>
          <w:p w14:paraId="565D1EBA" w14:textId="531EF7A1" w:rsidR="001E4EB3" w:rsidRPr="00272B2F" w:rsidRDefault="00A51DB6" w:rsidP="00272B2F">
            <w:pPr>
              <w:spacing w:line="360" w:lineRule="auto"/>
              <w:jc w:val="both"/>
              <w:rPr>
                <w:rFonts w:ascii="Times New Roman" w:eastAsia="Times New Roman" w:hAnsi="Times New Roman" w:cs="Times New Roman"/>
                <w:color w:val="000000"/>
                <w:sz w:val="24"/>
                <w:szCs w:val="24"/>
                <w:lang w:eastAsia="es-HN"/>
              </w:rPr>
            </w:pPr>
            <w:r>
              <w:rPr>
                <w:rFonts w:ascii="Times New Roman" w:eastAsia="Times New Roman" w:hAnsi="Times New Roman" w:cs="Times New Roman"/>
                <w:color w:val="000000"/>
                <w:sz w:val="24"/>
                <w:szCs w:val="24"/>
                <w:lang w:eastAsia="es-HN"/>
              </w:rPr>
              <w:t xml:space="preserve">Esta respuesta </w:t>
            </w:r>
            <w:r w:rsidRPr="00A51DB6">
              <w:rPr>
                <w:rFonts w:ascii="Times New Roman" w:eastAsia="Times New Roman" w:hAnsi="Times New Roman" w:cs="Times New Roman"/>
                <w:color w:val="000000"/>
                <w:sz w:val="24"/>
                <w:szCs w:val="24"/>
                <w:lang w:eastAsia="es-HN"/>
              </w:rPr>
              <w:t>destaca el enfoque comprensivo y orientado al cliente de la empresa para abordar las situaciones de no pago, priorizando la búsqueda de soluciones flexibles y personalizadas que permitan a los clientes regularizar sus obligaciones financieras de manera adecuada y justa.</w:t>
            </w:r>
          </w:p>
        </w:tc>
      </w:tr>
      <w:tr w:rsidR="001E4EB3" w:rsidRPr="00272B2F" w14:paraId="45804978" w14:textId="77777777" w:rsidTr="00227446">
        <w:trPr>
          <w:trHeight w:val="1382"/>
          <w:jc w:val="center"/>
        </w:trPr>
        <w:tc>
          <w:tcPr>
            <w:tcW w:w="1792"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6A2D9AA" w14:textId="77777777" w:rsidR="001E4EB3" w:rsidRPr="00272B2F" w:rsidRDefault="001E4EB3" w:rsidP="00272B2F">
            <w:pPr>
              <w:spacing w:line="360" w:lineRule="auto"/>
              <w:jc w:val="both"/>
              <w:rPr>
                <w:rFonts w:ascii="Times New Roman" w:eastAsia="Times New Roman" w:hAnsi="Times New Roman" w:cs="Times New Roman"/>
                <w:color w:val="000000"/>
                <w:sz w:val="24"/>
                <w:szCs w:val="24"/>
                <w:lang w:eastAsia="es-HN"/>
              </w:rPr>
            </w:pPr>
            <w:r w:rsidRPr="00272B2F">
              <w:rPr>
                <w:rFonts w:ascii="Times New Roman" w:eastAsia="Times New Roman" w:hAnsi="Times New Roman" w:cs="Times New Roman"/>
                <w:color w:val="000000"/>
                <w:sz w:val="24"/>
                <w:szCs w:val="24"/>
                <w:lang w:eastAsia="es-HN"/>
              </w:rPr>
              <w:lastRenderedPageBreak/>
              <w:t>10. ¿Qué aspectos regulatorios o legales han tenido un impacto en la gestión de crédito?</w:t>
            </w:r>
          </w:p>
        </w:tc>
        <w:tc>
          <w:tcPr>
            <w:tcW w:w="4648" w:type="dxa"/>
            <w:tcBorders>
              <w:top w:val="single" w:sz="4" w:space="0" w:color="auto"/>
              <w:left w:val="nil"/>
              <w:bottom w:val="single" w:sz="4" w:space="0" w:color="auto"/>
              <w:right w:val="single" w:sz="4" w:space="0" w:color="auto"/>
            </w:tcBorders>
            <w:shd w:val="clear" w:color="auto" w:fill="auto"/>
            <w:vAlign w:val="center"/>
            <w:hideMark/>
          </w:tcPr>
          <w:p w14:paraId="3A885BB7" w14:textId="0A215B67" w:rsidR="001E4EB3" w:rsidRDefault="001732C7" w:rsidP="00272B2F">
            <w:pPr>
              <w:spacing w:line="360" w:lineRule="auto"/>
              <w:jc w:val="both"/>
              <w:rPr>
                <w:rFonts w:ascii="Times New Roman" w:eastAsia="Times New Roman" w:hAnsi="Times New Roman" w:cs="Times New Roman"/>
                <w:color w:val="000000"/>
                <w:sz w:val="24"/>
                <w:szCs w:val="24"/>
                <w:lang w:eastAsia="es-HN"/>
              </w:rPr>
            </w:pPr>
            <w:r>
              <w:rPr>
                <w:rFonts w:ascii="Times New Roman" w:eastAsia="Times New Roman" w:hAnsi="Times New Roman" w:cs="Times New Roman"/>
                <w:color w:val="000000"/>
                <w:sz w:val="24"/>
                <w:szCs w:val="24"/>
                <w:lang w:eastAsia="es-HN"/>
              </w:rPr>
              <w:t xml:space="preserve">A nivel interno, la política es demasiado restrictiva y exigente que llega al punto de competir en el mercado sobre todo en el sector Agro, puesto que no permite otorgar créditos con pagos de capital e intereses al vencimiento. </w:t>
            </w:r>
          </w:p>
          <w:p w14:paraId="6F5A5EF9" w14:textId="77777777" w:rsidR="004B5D76" w:rsidRDefault="004B5D76" w:rsidP="000F76FF">
            <w:pPr>
              <w:spacing w:line="360" w:lineRule="auto"/>
              <w:jc w:val="both"/>
              <w:rPr>
                <w:rFonts w:ascii="Times New Roman" w:eastAsia="Times New Roman" w:hAnsi="Times New Roman" w:cs="Times New Roman"/>
                <w:color w:val="000000"/>
                <w:sz w:val="24"/>
                <w:szCs w:val="24"/>
                <w:lang w:eastAsia="es-HN"/>
              </w:rPr>
            </w:pPr>
          </w:p>
          <w:p w14:paraId="608545BE" w14:textId="4587371E" w:rsidR="001732C7" w:rsidRPr="00272B2F" w:rsidRDefault="001732C7" w:rsidP="000F76FF">
            <w:pPr>
              <w:spacing w:line="360" w:lineRule="auto"/>
              <w:jc w:val="both"/>
              <w:rPr>
                <w:rFonts w:ascii="Times New Roman" w:eastAsia="Times New Roman" w:hAnsi="Times New Roman" w:cs="Times New Roman"/>
                <w:color w:val="000000"/>
                <w:sz w:val="24"/>
                <w:szCs w:val="24"/>
                <w:lang w:eastAsia="es-HN"/>
              </w:rPr>
            </w:pPr>
            <w:r>
              <w:rPr>
                <w:rFonts w:ascii="Times New Roman" w:eastAsia="Times New Roman" w:hAnsi="Times New Roman" w:cs="Times New Roman"/>
                <w:color w:val="000000"/>
                <w:sz w:val="24"/>
                <w:szCs w:val="24"/>
                <w:lang w:eastAsia="es-HN"/>
              </w:rPr>
              <w:t xml:space="preserve">A nivel externo, </w:t>
            </w:r>
            <w:r w:rsidRPr="001732C7">
              <w:rPr>
                <w:rFonts w:ascii="Times New Roman" w:eastAsia="Times New Roman" w:hAnsi="Times New Roman" w:cs="Times New Roman"/>
                <w:color w:val="000000"/>
                <w:sz w:val="24"/>
                <w:szCs w:val="24"/>
                <w:lang w:eastAsia="es-HN"/>
              </w:rPr>
              <w:t xml:space="preserve">En temas de regulación a la empresa le </w:t>
            </w:r>
            <w:r>
              <w:rPr>
                <w:rFonts w:ascii="Times New Roman" w:eastAsia="Times New Roman" w:hAnsi="Times New Roman" w:cs="Times New Roman"/>
                <w:color w:val="000000"/>
                <w:sz w:val="24"/>
                <w:szCs w:val="24"/>
                <w:lang w:eastAsia="es-HN"/>
              </w:rPr>
              <w:t xml:space="preserve">podrían </w:t>
            </w:r>
            <w:r w:rsidRPr="001732C7">
              <w:rPr>
                <w:rFonts w:ascii="Times New Roman" w:eastAsia="Times New Roman" w:hAnsi="Times New Roman" w:cs="Times New Roman"/>
                <w:color w:val="000000"/>
                <w:sz w:val="24"/>
                <w:szCs w:val="24"/>
                <w:lang w:eastAsia="es-HN"/>
              </w:rPr>
              <w:t>favorece</w:t>
            </w:r>
            <w:r>
              <w:rPr>
                <w:rFonts w:ascii="Times New Roman" w:eastAsia="Times New Roman" w:hAnsi="Times New Roman" w:cs="Times New Roman"/>
                <w:color w:val="000000"/>
                <w:sz w:val="24"/>
                <w:szCs w:val="24"/>
                <w:lang w:eastAsia="es-HN"/>
              </w:rPr>
              <w:t>r</w:t>
            </w:r>
            <w:r w:rsidRPr="001732C7">
              <w:rPr>
                <w:rFonts w:ascii="Times New Roman" w:eastAsia="Times New Roman" w:hAnsi="Times New Roman" w:cs="Times New Roman"/>
                <w:color w:val="000000"/>
                <w:sz w:val="24"/>
                <w:szCs w:val="24"/>
                <w:lang w:eastAsia="es-HN"/>
              </w:rPr>
              <w:t xml:space="preserve"> los temas de alivio que pueda emitir la CNBS</w:t>
            </w:r>
            <w:r>
              <w:rPr>
                <w:rFonts w:ascii="Times New Roman" w:eastAsia="Times New Roman" w:hAnsi="Times New Roman" w:cs="Times New Roman"/>
                <w:color w:val="000000"/>
                <w:sz w:val="24"/>
                <w:szCs w:val="24"/>
                <w:lang w:eastAsia="es-HN"/>
              </w:rPr>
              <w:t>. Pero por otro lado se la IMF se ve afectada con algunas normativas que emite el regulador, debido a que los</w:t>
            </w:r>
            <w:r w:rsidRPr="001732C7">
              <w:rPr>
                <w:rFonts w:ascii="Times New Roman" w:eastAsia="Times New Roman" w:hAnsi="Times New Roman" w:cs="Times New Roman"/>
                <w:color w:val="000000"/>
                <w:sz w:val="24"/>
                <w:szCs w:val="24"/>
                <w:lang w:eastAsia="es-HN"/>
              </w:rPr>
              <w:t xml:space="preserve"> intereses se pasan a suspenso a los 30 días, y con el tema de reservas se realiza el 110% del saldo del crédito, </w:t>
            </w:r>
            <w:r w:rsidR="000F76FF">
              <w:rPr>
                <w:rFonts w:ascii="Times New Roman" w:eastAsia="Times New Roman" w:hAnsi="Times New Roman" w:cs="Times New Roman"/>
                <w:color w:val="000000"/>
                <w:sz w:val="24"/>
                <w:szCs w:val="24"/>
                <w:lang w:eastAsia="es-HN"/>
              </w:rPr>
              <w:t>en cambio</w:t>
            </w:r>
            <w:r w:rsidRPr="001732C7">
              <w:rPr>
                <w:rFonts w:ascii="Times New Roman" w:eastAsia="Times New Roman" w:hAnsi="Times New Roman" w:cs="Times New Roman"/>
                <w:color w:val="000000"/>
                <w:sz w:val="24"/>
                <w:szCs w:val="24"/>
                <w:lang w:eastAsia="es-HN"/>
              </w:rPr>
              <w:t xml:space="preserve"> para los Bancos es de 90 </w:t>
            </w:r>
            <w:r w:rsidR="000F76FF" w:rsidRPr="001732C7">
              <w:rPr>
                <w:rFonts w:ascii="Times New Roman" w:eastAsia="Times New Roman" w:hAnsi="Times New Roman" w:cs="Times New Roman"/>
                <w:color w:val="000000"/>
                <w:sz w:val="24"/>
                <w:szCs w:val="24"/>
                <w:lang w:eastAsia="es-HN"/>
              </w:rPr>
              <w:t>días.</w:t>
            </w:r>
            <w:r w:rsidR="000F76FF">
              <w:rPr>
                <w:rFonts w:ascii="Times New Roman" w:eastAsia="Times New Roman" w:hAnsi="Times New Roman" w:cs="Times New Roman"/>
                <w:color w:val="000000"/>
                <w:sz w:val="24"/>
                <w:szCs w:val="24"/>
                <w:lang w:eastAsia="es-HN"/>
              </w:rPr>
              <w:t xml:space="preserve"> Por lo que, nos vemos afectados porque n</w:t>
            </w:r>
            <w:r w:rsidR="000F76FF" w:rsidRPr="001732C7">
              <w:rPr>
                <w:rFonts w:ascii="Times New Roman" w:eastAsia="Times New Roman" w:hAnsi="Times New Roman" w:cs="Times New Roman"/>
                <w:color w:val="000000"/>
                <w:sz w:val="24"/>
                <w:szCs w:val="24"/>
                <w:lang w:eastAsia="es-HN"/>
              </w:rPr>
              <w:t>uestros</w:t>
            </w:r>
            <w:r w:rsidRPr="001732C7">
              <w:rPr>
                <w:rFonts w:ascii="Times New Roman" w:eastAsia="Times New Roman" w:hAnsi="Times New Roman" w:cs="Times New Roman"/>
                <w:color w:val="000000"/>
                <w:sz w:val="24"/>
                <w:szCs w:val="24"/>
                <w:lang w:eastAsia="es-HN"/>
              </w:rPr>
              <w:t xml:space="preserve"> ingresos son inferiores y el impacto se ve reflejado en los resultados de la empresa</w:t>
            </w:r>
            <w:r w:rsidR="000F76FF">
              <w:rPr>
                <w:rFonts w:ascii="Times New Roman" w:eastAsia="Times New Roman" w:hAnsi="Times New Roman" w:cs="Times New Roman"/>
                <w:color w:val="000000"/>
                <w:sz w:val="24"/>
                <w:szCs w:val="24"/>
                <w:lang w:eastAsia="es-HN"/>
              </w:rPr>
              <w:t>.</w:t>
            </w:r>
          </w:p>
        </w:tc>
        <w:tc>
          <w:tcPr>
            <w:tcW w:w="2870" w:type="dxa"/>
            <w:tcBorders>
              <w:top w:val="single" w:sz="4" w:space="0" w:color="auto"/>
              <w:left w:val="nil"/>
              <w:bottom w:val="single" w:sz="4" w:space="0" w:color="auto"/>
              <w:right w:val="single" w:sz="4" w:space="0" w:color="auto"/>
            </w:tcBorders>
            <w:shd w:val="clear" w:color="auto" w:fill="auto"/>
            <w:noWrap/>
            <w:vAlign w:val="bottom"/>
            <w:hideMark/>
          </w:tcPr>
          <w:p w14:paraId="73D174F1" w14:textId="142541B2" w:rsidR="001E4EB3" w:rsidRPr="00272B2F" w:rsidRDefault="00A51DB6" w:rsidP="00272B2F">
            <w:pPr>
              <w:spacing w:line="360" w:lineRule="auto"/>
              <w:jc w:val="both"/>
              <w:rPr>
                <w:rFonts w:ascii="Times New Roman" w:eastAsia="Times New Roman" w:hAnsi="Times New Roman" w:cs="Times New Roman"/>
                <w:color w:val="000000"/>
                <w:sz w:val="24"/>
                <w:szCs w:val="24"/>
                <w:lang w:eastAsia="es-HN"/>
              </w:rPr>
            </w:pPr>
            <w:r>
              <w:rPr>
                <w:rFonts w:ascii="Times New Roman" w:eastAsia="Times New Roman" w:hAnsi="Times New Roman" w:cs="Times New Roman"/>
                <w:color w:val="000000"/>
                <w:sz w:val="24"/>
                <w:szCs w:val="24"/>
                <w:lang w:eastAsia="es-HN"/>
              </w:rPr>
              <w:t>L</w:t>
            </w:r>
            <w:r w:rsidRPr="00A51DB6">
              <w:rPr>
                <w:rFonts w:ascii="Times New Roman" w:eastAsia="Times New Roman" w:hAnsi="Times New Roman" w:cs="Times New Roman"/>
                <w:color w:val="000000"/>
                <w:sz w:val="24"/>
                <w:szCs w:val="24"/>
                <w:lang w:eastAsia="es-HN"/>
              </w:rPr>
              <w:t xml:space="preserve">os </w:t>
            </w:r>
            <w:r>
              <w:rPr>
                <w:rFonts w:ascii="Times New Roman" w:eastAsia="Times New Roman" w:hAnsi="Times New Roman" w:cs="Times New Roman"/>
                <w:color w:val="000000"/>
                <w:sz w:val="24"/>
                <w:szCs w:val="24"/>
                <w:lang w:eastAsia="es-HN"/>
              </w:rPr>
              <w:t xml:space="preserve">participantes en este proceso de recolección de </w:t>
            </w:r>
            <w:r w:rsidR="00FB6F49">
              <w:rPr>
                <w:rFonts w:ascii="Times New Roman" w:eastAsia="Times New Roman" w:hAnsi="Times New Roman" w:cs="Times New Roman"/>
                <w:color w:val="000000"/>
                <w:sz w:val="24"/>
                <w:szCs w:val="24"/>
                <w:lang w:eastAsia="es-HN"/>
              </w:rPr>
              <w:t>datos</w:t>
            </w:r>
            <w:r>
              <w:rPr>
                <w:rFonts w:ascii="Times New Roman" w:eastAsia="Times New Roman" w:hAnsi="Times New Roman" w:cs="Times New Roman"/>
                <w:color w:val="000000"/>
                <w:sz w:val="24"/>
                <w:szCs w:val="24"/>
                <w:lang w:eastAsia="es-HN"/>
              </w:rPr>
              <w:t xml:space="preserve"> resaltan los </w:t>
            </w:r>
            <w:r w:rsidRPr="00A51DB6">
              <w:rPr>
                <w:rFonts w:ascii="Times New Roman" w:eastAsia="Times New Roman" w:hAnsi="Times New Roman" w:cs="Times New Roman"/>
                <w:color w:val="000000"/>
                <w:sz w:val="24"/>
                <w:szCs w:val="24"/>
                <w:lang w:eastAsia="es-HN"/>
              </w:rPr>
              <w:t>desafíos que enfrenta la empresa debido a su política interna restrictiva, así como las tensiones y desigualdades en las regulaciones externas que afectan su capacidad para competir en el mercado y generar ingresos adecuados. Es crucial encontrar un equilibrio entre la gestión de riesgos financieros y la adaptación a un entorno regulatorio que pueda ser desafiante pero también ofrecer oportunidades de alivio y flexibilidad para mejorar su desempeño y resultados.</w:t>
            </w:r>
          </w:p>
        </w:tc>
      </w:tr>
    </w:tbl>
    <w:p w14:paraId="61799F84" w14:textId="03720AA4" w:rsidR="00660997" w:rsidRDefault="0042459D" w:rsidP="0042459D">
      <w:pPr>
        <w:pStyle w:val="TextoPrincipal"/>
        <w:spacing w:line="360" w:lineRule="auto"/>
      </w:pPr>
      <w:r w:rsidRPr="0042459D">
        <w:t>Fuente: Elaboración propia.</w:t>
      </w:r>
    </w:p>
    <w:p w14:paraId="55414AE3" w14:textId="77777777" w:rsidR="0042459D" w:rsidRPr="0042459D" w:rsidRDefault="0042459D" w:rsidP="0042459D">
      <w:pPr>
        <w:pStyle w:val="TextoPrincipal"/>
        <w:spacing w:line="360" w:lineRule="auto"/>
      </w:pPr>
    </w:p>
    <w:p w14:paraId="4A57E927" w14:textId="0D175CC0" w:rsidR="001113C1" w:rsidRPr="001113C1" w:rsidRDefault="001113C1" w:rsidP="001113C1">
      <w:pPr>
        <w:widowControl/>
        <w:spacing w:after="160" w:line="360" w:lineRule="auto"/>
        <w:ind w:firstLine="720"/>
        <w:jc w:val="both"/>
        <w:rPr>
          <w:rFonts w:ascii="Times New Roman" w:hAnsi="Times New Roman" w:cs="Times New Roman"/>
          <w:sz w:val="24"/>
          <w:szCs w:val="24"/>
        </w:rPr>
      </w:pPr>
      <w:bookmarkStart w:id="316" w:name="_Toc474331201"/>
      <w:bookmarkStart w:id="317" w:name="_Toc474331404"/>
      <w:bookmarkStart w:id="318" w:name="_Toc166705836"/>
      <w:r w:rsidRPr="001113C1">
        <w:rPr>
          <w:rFonts w:ascii="Times New Roman" w:hAnsi="Times New Roman" w:cs="Times New Roman"/>
          <w:sz w:val="24"/>
          <w:szCs w:val="24"/>
        </w:rPr>
        <w:t>El análisis exhaustivo de las técnicas cualitativas aplicadas a la gestión de crédito en la IMF revela un panorama integral y detallado de las prácticas y políticas adoptadas por la empresa en este ámbito crítico. La gestión de créditos se identifica como un proceso clave que abarca desde la evaluación del riesgo crediticio de los clientes hasta la implementación de estrategias de cobranza en casos de morosidad. En este sentido, se destaca la importancia de contar con políticas claras y procedimientos eficientes para administrar de manera efectiva la concesión de créditos y el seguimiento de las cuentas por cobrar.</w:t>
      </w:r>
    </w:p>
    <w:p w14:paraId="52B96BA2" w14:textId="544DDA23" w:rsidR="001113C1" w:rsidRPr="001113C1" w:rsidRDefault="001113C1" w:rsidP="001113C1">
      <w:pPr>
        <w:widowControl/>
        <w:spacing w:after="160" w:line="360" w:lineRule="auto"/>
        <w:ind w:firstLine="720"/>
        <w:jc w:val="both"/>
        <w:rPr>
          <w:rFonts w:ascii="Times New Roman" w:hAnsi="Times New Roman" w:cs="Times New Roman"/>
          <w:sz w:val="24"/>
          <w:szCs w:val="24"/>
        </w:rPr>
      </w:pPr>
      <w:r w:rsidRPr="001113C1">
        <w:rPr>
          <w:rFonts w:ascii="Times New Roman" w:hAnsi="Times New Roman" w:cs="Times New Roman"/>
          <w:sz w:val="24"/>
          <w:szCs w:val="24"/>
        </w:rPr>
        <w:lastRenderedPageBreak/>
        <w:t>En el ámbito de las políticas de crédito, se observa un enfoque integral que evalúa tanto criterios cuantitativos como cualitativos para determinar la capacidad de pago de los clientes. La IMF implementa medidas rigurosas para verificar la veracidad de la información proporcionada por los clientes, incluyendo visitas de supervisores y un análisis minucioso de la documentación pertinente. La determinación de montos y plazos de préstamos se realiza considerando la capacidad financiera del deudor y la factibilidad de su plan de inversión, mientras que se adoptan estrategias para mitigar los riesgos crediticios, como la confirmación de referencias y la solicitud de garantías reales.</w:t>
      </w:r>
    </w:p>
    <w:p w14:paraId="27BE520D" w14:textId="7A9BF908" w:rsidR="001113C1" w:rsidRPr="001113C1" w:rsidRDefault="001113C1" w:rsidP="003D78B8">
      <w:pPr>
        <w:widowControl/>
        <w:spacing w:after="160" w:line="360" w:lineRule="auto"/>
        <w:ind w:firstLine="720"/>
        <w:jc w:val="both"/>
        <w:rPr>
          <w:rFonts w:ascii="Times New Roman" w:hAnsi="Times New Roman" w:cs="Times New Roman"/>
          <w:sz w:val="24"/>
          <w:szCs w:val="24"/>
        </w:rPr>
      </w:pPr>
      <w:r w:rsidRPr="001113C1">
        <w:rPr>
          <w:rFonts w:ascii="Times New Roman" w:hAnsi="Times New Roman" w:cs="Times New Roman"/>
          <w:sz w:val="24"/>
          <w:szCs w:val="24"/>
        </w:rPr>
        <w:t>En lo que respecta a las políticas de cobro, la IMF emplea herramientas tecnológicas, como el sistema FBS y aplicativos móviles, para monitorear la recuperación de la cartera de créditos. Se implementan estrategias de cobro diversas que van desde cartas de cobro hasta visitas con abogados y agencias externas especializadas en cobranzas. La atención personalizada a los clientes y la identificación temprana de situaciones de morosidad o riesgo de no pago son aspectos cruciales de la gestión de cobranza.</w:t>
      </w:r>
    </w:p>
    <w:p w14:paraId="0453200D" w14:textId="66A89FC7" w:rsidR="001113C1" w:rsidRPr="001113C1" w:rsidRDefault="001113C1" w:rsidP="001113C1">
      <w:pPr>
        <w:widowControl/>
        <w:spacing w:after="160" w:line="360" w:lineRule="auto"/>
        <w:ind w:firstLine="720"/>
        <w:jc w:val="both"/>
        <w:rPr>
          <w:rFonts w:ascii="Times New Roman" w:hAnsi="Times New Roman" w:cs="Times New Roman"/>
          <w:sz w:val="24"/>
          <w:szCs w:val="24"/>
        </w:rPr>
      </w:pPr>
      <w:r w:rsidRPr="001113C1">
        <w:rPr>
          <w:rFonts w:ascii="Times New Roman" w:hAnsi="Times New Roman" w:cs="Times New Roman"/>
          <w:sz w:val="24"/>
          <w:szCs w:val="24"/>
        </w:rPr>
        <w:t>No obstante, se identifican desafíos importantes tanto a nivel interno como externo. Internamente, las políticas restrictivas pueden limitar la capacidad de competir en el mercado, especialmente en sectores como el agropecuario. Externamente, las regulaciones pueden impactar los ingresos y resultados de la empresa, generando la necesidad de adaptarse a un entorno regulatorio desafiante.</w:t>
      </w:r>
    </w:p>
    <w:p w14:paraId="4FABC5BF" w14:textId="10E9E28B" w:rsidR="00A51DB6" w:rsidRPr="001113C1" w:rsidRDefault="001113C1" w:rsidP="001113C1">
      <w:pPr>
        <w:widowControl/>
        <w:spacing w:after="160" w:line="360" w:lineRule="auto"/>
        <w:ind w:firstLine="720"/>
        <w:jc w:val="both"/>
        <w:rPr>
          <w:rFonts w:ascii="Times New Roman" w:hAnsi="Times New Roman" w:cs="Times New Roman"/>
          <w:sz w:val="24"/>
          <w:szCs w:val="24"/>
        </w:rPr>
      </w:pPr>
      <w:r w:rsidRPr="001113C1">
        <w:rPr>
          <w:rFonts w:ascii="Times New Roman" w:hAnsi="Times New Roman" w:cs="Times New Roman"/>
          <w:sz w:val="24"/>
          <w:szCs w:val="24"/>
        </w:rPr>
        <w:t>El sólido marco de gestión de crédito de la IMF se basa en una evaluación integral de riesgos, políticas y estrategias de cobranza efectivas, aunque enfrenta desafíos en términos de políticas internas restrictivas y regulaciones externas que requieren un equilibrio entre la gestión de riesgos financieros y la adaptación al entorno normativo para garantizar su desempeño y sostenibilidad a largo plazo.</w:t>
      </w:r>
      <w:r w:rsidR="00A51DB6">
        <w:br w:type="page"/>
      </w:r>
    </w:p>
    <w:p w14:paraId="10A5095D" w14:textId="4A12D615" w:rsidR="00F560FD" w:rsidRPr="00984C6F" w:rsidRDefault="00640979" w:rsidP="00984C6F">
      <w:pPr>
        <w:pStyle w:val="Ttulo1"/>
      </w:pPr>
      <w:bookmarkStart w:id="319" w:name="_Toc175171457"/>
      <w:r w:rsidRPr="00984C6F">
        <w:lastRenderedPageBreak/>
        <w:t>CAPÍTULO V. CONCLUSIONES Y RECOMENDACIONES</w:t>
      </w:r>
      <w:bookmarkEnd w:id="316"/>
      <w:bookmarkEnd w:id="317"/>
      <w:bookmarkEnd w:id="318"/>
      <w:bookmarkEnd w:id="319"/>
    </w:p>
    <w:p w14:paraId="363485D8" w14:textId="77777777" w:rsidR="000E2A5D" w:rsidRPr="000E2A5D" w:rsidRDefault="000E2A5D" w:rsidP="00FB5BCC">
      <w:pPr>
        <w:pStyle w:val="Prrafodelista"/>
        <w:numPr>
          <w:ilvl w:val="0"/>
          <w:numId w:val="12"/>
        </w:numPr>
        <w:spacing w:after="120" w:line="360" w:lineRule="auto"/>
        <w:outlineLvl w:val="1"/>
        <w:rPr>
          <w:rFonts w:ascii="Times New Roman" w:eastAsia="Times New Roman" w:hAnsi="Times New Roman"/>
          <w:b/>
          <w:bCs/>
          <w:vanish/>
          <w:sz w:val="24"/>
          <w:szCs w:val="32"/>
        </w:rPr>
      </w:pPr>
      <w:bookmarkStart w:id="320" w:name="_Toc130288109"/>
      <w:bookmarkStart w:id="321" w:name="_Toc132615475"/>
      <w:bookmarkStart w:id="322" w:name="_Toc133044422"/>
      <w:bookmarkStart w:id="323" w:name="_Toc157802687"/>
      <w:bookmarkStart w:id="324" w:name="_Toc158059838"/>
      <w:bookmarkStart w:id="325" w:name="_Toc158062795"/>
      <w:bookmarkStart w:id="326" w:name="_Toc158745573"/>
      <w:bookmarkStart w:id="327" w:name="_Toc162118133"/>
      <w:bookmarkStart w:id="328" w:name="_Toc162118233"/>
      <w:bookmarkStart w:id="329" w:name="_Toc162120605"/>
      <w:bookmarkStart w:id="330" w:name="_Toc162121280"/>
      <w:bookmarkStart w:id="331" w:name="_Toc162130303"/>
      <w:bookmarkStart w:id="332" w:name="_Toc162130410"/>
      <w:bookmarkStart w:id="333" w:name="_Toc162131058"/>
      <w:bookmarkStart w:id="334" w:name="_Toc162131166"/>
      <w:bookmarkStart w:id="335" w:name="_Toc166705837"/>
      <w:bookmarkStart w:id="336" w:name="_Toc166705988"/>
      <w:bookmarkStart w:id="337" w:name="_Toc167746710"/>
      <w:bookmarkStart w:id="338" w:name="_Toc167746842"/>
      <w:bookmarkStart w:id="339" w:name="_Toc167746977"/>
      <w:bookmarkStart w:id="340" w:name="_Toc167747110"/>
      <w:bookmarkStart w:id="341" w:name="_Toc167747242"/>
      <w:bookmarkStart w:id="342" w:name="_Toc167747376"/>
      <w:bookmarkStart w:id="343" w:name="_Toc167747509"/>
      <w:bookmarkStart w:id="344" w:name="_Toc170063974"/>
      <w:bookmarkStart w:id="345" w:name="_Toc170064118"/>
      <w:bookmarkStart w:id="346" w:name="_Toc170064264"/>
      <w:bookmarkStart w:id="347" w:name="_Toc170064408"/>
      <w:bookmarkStart w:id="348" w:name="_Toc170246359"/>
      <w:bookmarkStart w:id="349" w:name="_Toc170246503"/>
      <w:bookmarkStart w:id="350" w:name="_Toc170246647"/>
      <w:bookmarkStart w:id="351" w:name="_Toc474331202"/>
      <w:bookmarkStart w:id="352" w:name="_Toc474331405"/>
      <w:bookmarkStart w:id="353" w:name="_Toc175171311"/>
      <w:bookmarkStart w:id="354" w:name="_Toc175171458"/>
      <w:bookmarkEnd w:id="320"/>
      <w:bookmarkEnd w:id="321"/>
      <w:bookmarkEnd w:id="322"/>
      <w:bookmarkEnd w:id="323"/>
      <w:bookmarkEnd w:id="324"/>
      <w:bookmarkEnd w:id="325"/>
      <w:bookmarkEnd w:id="326"/>
      <w:bookmarkEnd w:id="327"/>
      <w:bookmarkEnd w:id="328"/>
      <w:bookmarkEnd w:id="329"/>
      <w:bookmarkEnd w:id="330"/>
      <w:bookmarkEnd w:id="331"/>
      <w:bookmarkEnd w:id="332"/>
      <w:bookmarkEnd w:id="333"/>
      <w:bookmarkEnd w:id="334"/>
      <w:bookmarkEnd w:id="335"/>
      <w:bookmarkEnd w:id="336"/>
      <w:bookmarkEnd w:id="337"/>
      <w:bookmarkEnd w:id="338"/>
      <w:bookmarkEnd w:id="339"/>
      <w:bookmarkEnd w:id="340"/>
      <w:bookmarkEnd w:id="341"/>
      <w:bookmarkEnd w:id="342"/>
      <w:bookmarkEnd w:id="343"/>
      <w:bookmarkEnd w:id="344"/>
      <w:bookmarkEnd w:id="345"/>
      <w:bookmarkEnd w:id="346"/>
      <w:bookmarkEnd w:id="347"/>
      <w:bookmarkEnd w:id="348"/>
      <w:bookmarkEnd w:id="349"/>
      <w:bookmarkEnd w:id="350"/>
      <w:bookmarkEnd w:id="353"/>
      <w:bookmarkEnd w:id="354"/>
    </w:p>
    <w:p w14:paraId="1BB75F02" w14:textId="578C6D12" w:rsidR="00640979" w:rsidRDefault="00804083" w:rsidP="00123A08">
      <w:pPr>
        <w:pStyle w:val="Ttulo2"/>
        <w:numPr>
          <w:ilvl w:val="1"/>
          <w:numId w:val="10"/>
        </w:numPr>
        <w:spacing w:line="360" w:lineRule="auto"/>
        <w:ind w:left="0" w:firstLine="0"/>
      </w:pPr>
      <w:r>
        <w:t xml:space="preserve"> </w:t>
      </w:r>
      <w:bookmarkStart w:id="355" w:name="_Toc166705838"/>
      <w:bookmarkStart w:id="356" w:name="_Toc175171459"/>
      <w:r w:rsidR="00A871DB" w:rsidRPr="00640979">
        <w:t>CONCLUSIONES</w:t>
      </w:r>
      <w:bookmarkEnd w:id="351"/>
      <w:bookmarkEnd w:id="352"/>
      <w:bookmarkEnd w:id="355"/>
      <w:bookmarkEnd w:id="356"/>
    </w:p>
    <w:p w14:paraId="69138277" w14:textId="4A5E765B" w:rsidR="00123A08" w:rsidRDefault="00196FB7" w:rsidP="001F6960">
      <w:pPr>
        <w:pStyle w:val="TextoPrincipal"/>
        <w:numPr>
          <w:ilvl w:val="0"/>
          <w:numId w:val="32"/>
        </w:numPr>
        <w:spacing w:line="360" w:lineRule="auto"/>
        <w:ind w:left="0" w:firstLine="720"/>
      </w:pPr>
      <w:r>
        <w:tab/>
      </w:r>
      <w:r w:rsidR="001F6960">
        <w:t xml:space="preserve"> </w:t>
      </w:r>
      <w:r>
        <w:tab/>
      </w:r>
      <w:r w:rsidR="00196D64">
        <w:t>En esta investigación se determinaron l</w:t>
      </w:r>
      <w:r w:rsidR="00123A08">
        <w:t xml:space="preserve">os factores que han impactado de forma negativa en la gestión de crédito de la microfinanciera </w:t>
      </w:r>
      <w:r w:rsidR="00E5074B">
        <w:t>“XYZ”</w:t>
      </w:r>
      <w:r w:rsidR="00196D64">
        <w:t>, los resultados establecen que dichos factores</w:t>
      </w:r>
      <w:r w:rsidR="00123A08">
        <w:t xml:space="preserve"> incluyen una inadecuada evaluación de crédito, falta de educación financiera entre los clientes, políticas débiles de crédito y un seguimiento insuficiente de la cartera de créditos. Estos factores han contribuido a un aumento significativo en los niveles de morosidad, afectando negativamente la estabilidad financiera de la institución.</w:t>
      </w:r>
    </w:p>
    <w:p w14:paraId="06AA972E" w14:textId="0F0E8941" w:rsidR="00400A6C" w:rsidRPr="00400A6C" w:rsidRDefault="001F6960" w:rsidP="001F6960">
      <w:pPr>
        <w:pStyle w:val="Prrafodelista"/>
        <w:numPr>
          <w:ilvl w:val="0"/>
          <w:numId w:val="32"/>
        </w:numPr>
        <w:spacing w:line="360" w:lineRule="auto"/>
        <w:ind w:left="0" w:firstLine="720"/>
        <w:jc w:val="both"/>
        <w:rPr>
          <w:rFonts w:ascii="Times New Roman" w:hAnsi="Times New Roman" w:cs="Times New Roman"/>
          <w:sz w:val="24"/>
          <w:szCs w:val="24"/>
        </w:rPr>
      </w:pPr>
      <w:r>
        <w:rPr>
          <w:rFonts w:ascii="Times New Roman" w:hAnsi="Times New Roman" w:cs="Times New Roman"/>
          <w:sz w:val="24"/>
          <w:szCs w:val="24"/>
        </w:rPr>
        <w:t xml:space="preserve"> </w:t>
      </w:r>
      <w:r w:rsidR="00400A6C" w:rsidRPr="00400A6C">
        <w:rPr>
          <w:rFonts w:ascii="Times New Roman" w:hAnsi="Times New Roman" w:cs="Times New Roman"/>
          <w:sz w:val="24"/>
          <w:szCs w:val="24"/>
        </w:rPr>
        <w:t xml:space="preserve">Luego del análisis de los resultados, se logró corroborar que la situación financiera de la microfinanciera </w:t>
      </w:r>
      <w:r w:rsidR="00E5074B">
        <w:rPr>
          <w:rFonts w:ascii="Times New Roman" w:hAnsi="Times New Roman" w:cs="Times New Roman"/>
          <w:sz w:val="24"/>
          <w:szCs w:val="24"/>
        </w:rPr>
        <w:t>“XYZ”</w:t>
      </w:r>
      <w:r w:rsidR="00400A6C" w:rsidRPr="00400A6C">
        <w:rPr>
          <w:rFonts w:ascii="Times New Roman" w:hAnsi="Times New Roman" w:cs="Times New Roman"/>
          <w:sz w:val="24"/>
          <w:szCs w:val="24"/>
        </w:rPr>
        <w:t xml:space="preserve"> ha mostrado deterioro durante el período 2019-2023, evidenciado por una disminución en los indicadores de rentabilidad y solvencia. El alto nivel de morosidad, que en promedio para los últimos cinco años es de 28.1%, ha incrementado los costos operativos en tres millones de lempiras por año aproximadamente, y ha reducido la liquidez en un 1.4% por año, generándose así una mayor dependencia del endeudamiento externo para cumplir con sus obligaciones financieras. La alta morosidad ha presionado las finanzas de la institución, limitando su capacidad para generar ingresos y mantener una operación rentable.</w:t>
      </w:r>
    </w:p>
    <w:p w14:paraId="6C799DD9" w14:textId="0BDF3E48" w:rsidR="00C057DF" w:rsidRDefault="001F6960" w:rsidP="001F6960">
      <w:pPr>
        <w:pStyle w:val="Prrafodelista"/>
        <w:numPr>
          <w:ilvl w:val="0"/>
          <w:numId w:val="32"/>
        </w:numPr>
        <w:spacing w:line="360" w:lineRule="auto"/>
        <w:ind w:left="0" w:firstLine="720"/>
        <w:jc w:val="both"/>
        <w:rPr>
          <w:rFonts w:ascii="Times New Roman" w:hAnsi="Times New Roman" w:cs="Times New Roman"/>
          <w:sz w:val="24"/>
          <w:szCs w:val="24"/>
        </w:rPr>
      </w:pPr>
      <w:r>
        <w:rPr>
          <w:rFonts w:ascii="Times New Roman" w:hAnsi="Times New Roman" w:cs="Times New Roman"/>
          <w:sz w:val="24"/>
          <w:szCs w:val="24"/>
        </w:rPr>
        <w:t xml:space="preserve"> </w:t>
      </w:r>
      <w:r w:rsidR="00400A6C" w:rsidRPr="00400A6C">
        <w:rPr>
          <w:rFonts w:ascii="Times New Roman" w:hAnsi="Times New Roman" w:cs="Times New Roman"/>
          <w:sz w:val="24"/>
          <w:szCs w:val="24"/>
        </w:rPr>
        <w:t xml:space="preserve">Las medidas implementadas por la microfinanciera </w:t>
      </w:r>
      <w:r w:rsidR="00E5074B">
        <w:rPr>
          <w:rFonts w:ascii="Times New Roman" w:hAnsi="Times New Roman" w:cs="Times New Roman"/>
          <w:sz w:val="24"/>
          <w:szCs w:val="24"/>
        </w:rPr>
        <w:t>“XYZ”</w:t>
      </w:r>
      <w:r w:rsidR="00400A6C" w:rsidRPr="00400A6C">
        <w:rPr>
          <w:rFonts w:ascii="Times New Roman" w:hAnsi="Times New Roman" w:cs="Times New Roman"/>
          <w:sz w:val="24"/>
          <w:szCs w:val="24"/>
        </w:rPr>
        <w:t xml:space="preserve"> para mitigar la morosidad, como la reestructuración de deudas, el seguimiento de campo y la contratación de cobranzas externas, han sido insuficientes y poco efectivas. La falta de un enfoque sistemático y de recursos adecuados para estas medidas ha impedido una reducción significativa de la morosidad, por lo que, para poder disminuir estos tan elevados porcentajes de mora la institución debería solicitar el auxilio del ente regulador en cuanto al castigo de las cuentas que ya se consideran incobrables, es decir, un porcentaje superior al 2% que establece la normativa.</w:t>
      </w:r>
    </w:p>
    <w:p w14:paraId="3EEAD037" w14:textId="49228096" w:rsidR="00C057DF" w:rsidRPr="00C057DF" w:rsidRDefault="001F6960" w:rsidP="001F6960">
      <w:pPr>
        <w:pStyle w:val="Prrafodelista"/>
        <w:numPr>
          <w:ilvl w:val="0"/>
          <w:numId w:val="32"/>
        </w:numPr>
        <w:spacing w:line="360" w:lineRule="auto"/>
        <w:ind w:left="0" w:firstLine="720"/>
        <w:jc w:val="both"/>
        <w:rPr>
          <w:rFonts w:ascii="Times New Roman" w:hAnsi="Times New Roman" w:cs="Times New Roman"/>
          <w:sz w:val="24"/>
          <w:szCs w:val="24"/>
        </w:rPr>
      </w:pPr>
      <w:r>
        <w:rPr>
          <w:rFonts w:ascii="Times New Roman" w:hAnsi="Times New Roman" w:cs="Times New Roman"/>
          <w:sz w:val="24"/>
          <w:szCs w:val="24"/>
        </w:rPr>
        <w:t xml:space="preserve"> </w:t>
      </w:r>
      <w:r w:rsidR="00C057DF" w:rsidRPr="00C057DF">
        <w:rPr>
          <w:rFonts w:ascii="Times New Roman" w:hAnsi="Times New Roman" w:cs="Times New Roman"/>
          <w:sz w:val="24"/>
          <w:szCs w:val="24"/>
        </w:rPr>
        <w:t xml:space="preserve">Las variaciones en los niveles de morosidad en la cartera de crédito de la microfinanciera </w:t>
      </w:r>
      <w:r w:rsidR="00E5074B">
        <w:rPr>
          <w:rFonts w:ascii="Times New Roman" w:hAnsi="Times New Roman" w:cs="Times New Roman"/>
          <w:sz w:val="24"/>
          <w:szCs w:val="24"/>
        </w:rPr>
        <w:t>“XYZ”</w:t>
      </w:r>
      <w:r w:rsidR="00C057DF" w:rsidRPr="00C057DF">
        <w:rPr>
          <w:rFonts w:ascii="Times New Roman" w:hAnsi="Times New Roman" w:cs="Times New Roman"/>
          <w:sz w:val="24"/>
          <w:szCs w:val="24"/>
        </w:rPr>
        <w:t xml:space="preserve"> durante el período 2019-2023 han sido marcadamente negativas, impactadas por una serie de eventos externos severos como la pandemia de COVID-19 y las tormentas tropicales ETA e IOTA, mostrándose los picos más altos en 2020 y 2021. Estos factores externos, combinados con ciertas deficiencias internas en la gestión de crédito y la recuperación de deudas, han llevado a un deterioro significativo en la calidad de la cartera de crédito y la salud financiera de la institución. A pesar de las medidas de mitigación y estrategias de recuperación implementadas en los últimos </w:t>
      </w:r>
      <w:r w:rsidR="00C057DF" w:rsidRPr="00C057DF">
        <w:rPr>
          <w:rFonts w:ascii="Times New Roman" w:hAnsi="Times New Roman" w:cs="Times New Roman"/>
          <w:sz w:val="24"/>
          <w:szCs w:val="24"/>
        </w:rPr>
        <w:lastRenderedPageBreak/>
        <w:t xml:space="preserve">cinco años, la microfinanciera </w:t>
      </w:r>
      <w:r w:rsidR="00E5074B">
        <w:rPr>
          <w:rFonts w:ascii="Times New Roman" w:hAnsi="Times New Roman" w:cs="Times New Roman"/>
          <w:sz w:val="24"/>
          <w:szCs w:val="24"/>
        </w:rPr>
        <w:t>“XYZ”</w:t>
      </w:r>
      <w:r w:rsidR="00C057DF" w:rsidRPr="00C057DF">
        <w:rPr>
          <w:rFonts w:ascii="Times New Roman" w:hAnsi="Times New Roman" w:cs="Times New Roman"/>
          <w:sz w:val="24"/>
          <w:szCs w:val="24"/>
        </w:rPr>
        <w:t xml:space="preserve"> ha enfrentado dificultades persistentes para reducir los niveles de morosidad a niveles aceptables, indicando la necesidad de una revisión profunda de sus políticas de crédito y gestión de riesgo crediticio.</w:t>
      </w:r>
    </w:p>
    <w:p w14:paraId="75C2A6DE" w14:textId="77777777" w:rsidR="00280C28" w:rsidRDefault="00280C28" w:rsidP="00280C28">
      <w:pPr>
        <w:pStyle w:val="TextoPrincipal"/>
        <w:spacing w:line="360" w:lineRule="auto"/>
        <w:ind w:firstLine="0"/>
      </w:pPr>
    </w:p>
    <w:p w14:paraId="280E72D5" w14:textId="05821A72" w:rsidR="00640979" w:rsidRPr="00346C5C" w:rsidRDefault="00A871DB" w:rsidP="00492F6D">
      <w:pPr>
        <w:pStyle w:val="Ttulo2"/>
        <w:numPr>
          <w:ilvl w:val="1"/>
          <w:numId w:val="10"/>
        </w:numPr>
        <w:spacing w:line="360" w:lineRule="auto"/>
        <w:ind w:left="0" w:firstLine="0"/>
      </w:pPr>
      <w:bookmarkStart w:id="357" w:name="_Toc474331203"/>
      <w:bookmarkStart w:id="358" w:name="_Toc474331406"/>
      <w:bookmarkStart w:id="359" w:name="_Toc166705839"/>
      <w:bookmarkStart w:id="360" w:name="_Toc175171460"/>
      <w:r w:rsidRPr="00346C5C">
        <w:t>RECOMENDACIONES</w:t>
      </w:r>
      <w:bookmarkEnd w:id="357"/>
      <w:bookmarkEnd w:id="358"/>
      <w:bookmarkEnd w:id="359"/>
      <w:bookmarkEnd w:id="360"/>
    </w:p>
    <w:p w14:paraId="7EE09667" w14:textId="5FBA2A46" w:rsidR="006D7468" w:rsidRPr="00280C28" w:rsidRDefault="001F6960" w:rsidP="001F6960">
      <w:pPr>
        <w:pStyle w:val="Prrafodelista"/>
        <w:widowControl/>
        <w:numPr>
          <w:ilvl w:val="0"/>
          <w:numId w:val="33"/>
        </w:numPr>
        <w:spacing w:after="160" w:line="360" w:lineRule="auto"/>
        <w:ind w:left="0" w:firstLine="720"/>
        <w:jc w:val="both"/>
        <w:rPr>
          <w:rFonts w:ascii="Times New Roman" w:hAnsi="Times New Roman" w:cs="Times New Roman"/>
          <w:sz w:val="24"/>
          <w:szCs w:val="24"/>
        </w:rPr>
      </w:pPr>
      <w:r>
        <w:rPr>
          <w:rFonts w:ascii="Times New Roman" w:hAnsi="Times New Roman" w:cs="Times New Roman"/>
          <w:sz w:val="24"/>
          <w:szCs w:val="24"/>
        </w:rPr>
        <w:t xml:space="preserve"> </w:t>
      </w:r>
      <w:r w:rsidR="006D7468" w:rsidRPr="00280C28">
        <w:rPr>
          <w:rFonts w:ascii="Times New Roman" w:hAnsi="Times New Roman" w:cs="Times New Roman"/>
          <w:sz w:val="24"/>
          <w:szCs w:val="24"/>
        </w:rPr>
        <w:t>Realizar un análisis exhaustivo de los factores internos y externos que han contribuido negativamente a la gestión de crédito, como políticas de riesgo poco efectivas, falta de diversificación de la cartera, o condiciones económicas desfavorables. Con base en estos hallazgos, implementar medidas correctivas específicas para abordar cada factor identificado.</w:t>
      </w:r>
    </w:p>
    <w:p w14:paraId="1DCF2B60" w14:textId="03F4B406" w:rsidR="006D7468" w:rsidRPr="00280C28" w:rsidRDefault="001F6960" w:rsidP="001F6960">
      <w:pPr>
        <w:pStyle w:val="Prrafodelista"/>
        <w:widowControl/>
        <w:numPr>
          <w:ilvl w:val="0"/>
          <w:numId w:val="33"/>
        </w:numPr>
        <w:spacing w:after="160" w:line="360" w:lineRule="auto"/>
        <w:ind w:left="0" w:firstLine="720"/>
        <w:jc w:val="both"/>
        <w:rPr>
          <w:rFonts w:ascii="Times New Roman" w:hAnsi="Times New Roman" w:cs="Times New Roman"/>
          <w:sz w:val="24"/>
          <w:szCs w:val="24"/>
        </w:rPr>
      </w:pPr>
      <w:r>
        <w:rPr>
          <w:rFonts w:ascii="Times New Roman" w:hAnsi="Times New Roman" w:cs="Times New Roman"/>
          <w:sz w:val="24"/>
          <w:szCs w:val="24"/>
        </w:rPr>
        <w:t xml:space="preserve"> </w:t>
      </w:r>
      <w:r w:rsidR="006D7468" w:rsidRPr="00280C28">
        <w:rPr>
          <w:rFonts w:ascii="Times New Roman" w:hAnsi="Times New Roman" w:cs="Times New Roman"/>
          <w:sz w:val="24"/>
          <w:szCs w:val="24"/>
        </w:rPr>
        <w:t>Mejorar la gestión de activos y pasivos para fortalecer la solvencia financiera. Esto podría incluir la renegociación de deudas, optimización de los recursos disponibles, y diversificación de fuentes de financiamiento para reducir la dependencia de una sola fuente de ingresos.</w:t>
      </w:r>
    </w:p>
    <w:p w14:paraId="1EB25F70" w14:textId="5DAAEF91" w:rsidR="006D7468" w:rsidRDefault="001F6960" w:rsidP="001F6960">
      <w:pPr>
        <w:pStyle w:val="Prrafodelista"/>
        <w:widowControl/>
        <w:numPr>
          <w:ilvl w:val="0"/>
          <w:numId w:val="33"/>
        </w:numPr>
        <w:spacing w:after="160" w:line="360" w:lineRule="auto"/>
        <w:ind w:left="0" w:firstLine="720"/>
        <w:jc w:val="both"/>
        <w:rPr>
          <w:rFonts w:ascii="Times New Roman" w:hAnsi="Times New Roman" w:cs="Times New Roman"/>
          <w:sz w:val="24"/>
          <w:szCs w:val="24"/>
        </w:rPr>
      </w:pPr>
      <w:r>
        <w:rPr>
          <w:rFonts w:ascii="Times New Roman" w:hAnsi="Times New Roman" w:cs="Times New Roman"/>
          <w:sz w:val="24"/>
          <w:szCs w:val="24"/>
        </w:rPr>
        <w:t xml:space="preserve"> </w:t>
      </w:r>
      <w:r w:rsidR="006D7468" w:rsidRPr="00280C28">
        <w:rPr>
          <w:rFonts w:ascii="Times New Roman" w:hAnsi="Times New Roman" w:cs="Times New Roman"/>
          <w:sz w:val="24"/>
          <w:szCs w:val="24"/>
        </w:rPr>
        <w:t>Reforzar las políticas de evaluación de riesgos y de seguimiento de los clientes para identificar tempranamente posibles señales de riesgo de morosidad. Implementar programas de educación financiera para los clientes y ofrecer opciones de refinanciamiento o reestructuración de deudas para aquellos en riesgo de incumplimiento.</w:t>
      </w:r>
    </w:p>
    <w:p w14:paraId="4D2AF239" w14:textId="17B04D11" w:rsidR="00E42CA3" w:rsidRDefault="001F6960" w:rsidP="001F6960">
      <w:pPr>
        <w:pStyle w:val="Prrafodelista"/>
        <w:widowControl/>
        <w:numPr>
          <w:ilvl w:val="0"/>
          <w:numId w:val="33"/>
        </w:numPr>
        <w:spacing w:after="160" w:line="360" w:lineRule="auto"/>
        <w:ind w:left="0" w:firstLine="720"/>
        <w:jc w:val="both"/>
        <w:rPr>
          <w:rFonts w:ascii="Times New Roman" w:hAnsi="Times New Roman" w:cs="Times New Roman"/>
          <w:sz w:val="24"/>
          <w:szCs w:val="24"/>
        </w:rPr>
      </w:pPr>
      <w:r>
        <w:rPr>
          <w:rFonts w:ascii="Times New Roman" w:hAnsi="Times New Roman" w:cs="Times New Roman"/>
          <w:sz w:val="24"/>
          <w:szCs w:val="24"/>
        </w:rPr>
        <w:t xml:space="preserve"> </w:t>
      </w:r>
      <w:r w:rsidR="00E42CA3" w:rsidRPr="00E42CA3">
        <w:rPr>
          <w:rFonts w:ascii="Times New Roman" w:hAnsi="Times New Roman" w:cs="Times New Roman"/>
          <w:sz w:val="24"/>
          <w:szCs w:val="24"/>
        </w:rPr>
        <w:t xml:space="preserve">Para abordar las persistentes dificultades en la reducción de los niveles de morosidad, se recomienda que la microfinanciera </w:t>
      </w:r>
      <w:r w:rsidR="00E5074B">
        <w:rPr>
          <w:rFonts w:ascii="Times New Roman" w:hAnsi="Times New Roman" w:cs="Times New Roman"/>
          <w:sz w:val="24"/>
          <w:szCs w:val="24"/>
        </w:rPr>
        <w:t>“XYZ”</w:t>
      </w:r>
      <w:r w:rsidR="00E42CA3" w:rsidRPr="00E42CA3">
        <w:rPr>
          <w:rFonts w:ascii="Times New Roman" w:hAnsi="Times New Roman" w:cs="Times New Roman"/>
          <w:sz w:val="24"/>
          <w:szCs w:val="24"/>
        </w:rPr>
        <w:t xml:space="preserve"> realice una revisión exhaustiva de sus políticas de crédito y gestión de riesgo crediticio. Esta revisión debe incluir la implementación de criterios de evaluación más rigurosos para la aprobación de créditos, la adopción de tecnologías avanzadas para el monitoreo continuo de la cartera, y el fortalecimiento de las estrategias de recuperación de deudas mediante programas de reestructuración flexibles. Además, es crucial establecer mecanismos de mitigación de riesgos externos, como seguros de cartera, y mejorar la capacitación del personal en gestión de cobranzas. Estas acciones permitirán mejorar la calidad de la cartera de crédito y fortalecer la salud financiera de la institución, asegurando una mayor resiliencia frente a futuros eventos adversos.</w:t>
      </w:r>
    </w:p>
    <w:p w14:paraId="17FA8849" w14:textId="2AFCFA56" w:rsidR="00877C60" w:rsidRDefault="001F6960" w:rsidP="001F6960">
      <w:pPr>
        <w:pStyle w:val="Prrafodelista"/>
        <w:widowControl/>
        <w:numPr>
          <w:ilvl w:val="0"/>
          <w:numId w:val="33"/>
        </w:numPr>
        <w:spacing w:after="160" w:line="360" w:lineRule="auto"/>
        <w:ind w:left="0" w:firstLine="720"/>
        <w:jc w:val="both"/>
        <w:rPr>
          <w:rFonts w:ascii="Times New Roman" w:hAnsi="Times New Roman" w:cs="Times New Roman"/>
          <w:sz w:val="24"/>
          <w:szCs w:val="24"/>
        </w:rPr>
      </w:pPr>
      <w:r>
        <w:rPr>
          <w:rFonts w:ascii="Times New Roman" w:hAnsi="Times New Roman" w:cs="Times New Roman"/>
          <w:sz w:val="24"/>
          <w:szCs w:val="24"/>
        </w:rPr>
        <w:t xml:space="preserve"> </w:t>
      </w:r>
      <w:r w:rsidR="00F64FBC" w:rsidRPr="00F64FBC">
        <w:rPr>
          <w:rFonts w:ascii="Times New Roman" w:hAnsi="Times New Roman" w:cs="Times New Roman"/>
          <w:sz w:val="24"/>
          <w:szCs w:val="24"/>
        </w:rPr>
        <w:t>Para futuras investigaciones</w:t>
      </w:r>
      <w:r w:rsidR="00F64FBC">
        <w:rPr>
          <w:rFonts w:ascii="Times New Roman" w:hAnsi="Times New Roman" w:cs="Times New Roman"/>
          <w:sz w:val="24"/>
          <w:szCs w:val="24"/>
        </w:rPr>
        <w:t>,</w:t>
      </w:r>
      <w:r w:rsidR="00F64FBC" w:rsidRPr="00F64FBC">
        <w:rPr>
          <w:rFonts w:ascii="Times New Roman" w:hAnsi="Times New Roman" w:cs="Times New Roman"/>
          <w:sz w:val="24"/>
          <w:szCs w:val="24"/>
        </w:rPr>
        <w:t xml:space="preserve"> </w:t>
      </w:r>
      <w:r w:rsidR="00F64FBC">
        <w:rPr>
          <w:rFonts w:ascii="Times New Roman" w:hAnsi="Times New Roman" w:cs="Times New Roman"/>
          <w:sz w:val="24"/>
          <w:szCs w:val="24"/>
        </w:rPr>
        <w:t>un</w:t>
      </w:r>
      <w:r w:rsidR="00F64FBC" w:rsidRPr="00F64FBC">
        <w:rPr>
          <w:rFonts w:ascii="Times New Roman" w:hAnsi="Times New Roman" w:cs="Times New Roman"/>
          <w:sz w:val="24"/>
          <w:szCs w:val="24"/>
        </w:rPr>
        <w:t xml:space="preserve"> enfoque relevante podría ser el estudio comparativo de políticas de crédito entre distintas microfinancieras y su influencia en los niveles de morosidad, </w:t>
      </w:r>
      <w:r w:rsidR="00F64FBC" w:rsidRPr="00F64FBC">
        <w:rPr>
          <w:rFonts w:ascii="Times New Roman" w:hAnsi="Times New Roman" w:cs="Times New Roman"/>
          <w:sz w:val="24"/>
          <w:szCs w:val="24"/>
        </w:rPr>
        <w:lastRenderedPageBreak/>
        <w:t xml:space="preserve">proporcionando una perspectiva integral sobre las mejores prácticas y áreas de mejora en la gestión de riesgos crediticios en el sector </w:t>
      </w:r>
      <w:proofErr w:type="spellStart"/>
      <w:r w:rsidR="00F64FBC" w:rsidRPr="00F64FBC">
        <w:rPr>
          <w:rFonts w:ascii="Times New Roman" w:hAnsi="Times New Roman" w:cs="Times New Roman"/>
          <w:sz w:val="24"/>
          <w:szCs w:val="24"/>
        </w:rPr>
        <w:t>microfinanciero</w:t>
      </w:r>
      <w:proofErr w:type="spellEnd"/>
      <w:r w:rsidR="00F64FBC" w:rsidRPr="00F64FBC">
        <w:rPr>
          <w:rFonts w:ascii="Times New Roman" w:hAnsi="Times New Roman" w:cs="Times New Roman"/>
          <w:sz w:val="24"/>
          <w:szCs w:val="24"/>
        </w:rPr>
        <w:t>.</w:t>
      </w:r>
      <w:bookmarkStart w:id="361" w:name="_Toc166705840"/>
    </w:p>
    <w:p w14:paraId="77A06AC0" w14:textId="685D8FB1" w:rsidR="006D7468" w:rsidRPr="00877C60" w:rsidRDefault="001F6960" w:rsidP="001F6960">
      <w:pPr>
        <w:pStyle w:val="Prrafodelista"/>
        <w:widowControl/>
        <w:numPr>
          <w:ilvl w:val="0"/>
          <w:numId w:val="33"/>
        </w:numPr>
        <w:spacing w:after="160" w:line="360" w:lineRule="auto"/>
        <w:ind w:left="0" w:firstLine="720"/>
        <w:jc w:val="both"/>
        <w:rPr>
          <w:rFonts w:ascii="Times New Roman" w:hAnsi="Times New Roman" w:cs="Times New Roman"/>
          <w:sz w:val="24"/>
          <w:szCs w:val="24"/>
        </w:rPr>
      </w:pPr>
      <w:r>
        <w:rPr>
          <w:rFonts w:ascii="Times New Roman" w:hAnsi="Times New Roman" w:cs="Times New Roman"/>
          <w:sz w:val="24"/>
          <w:szCs w:val="24"/>
        </w:rPr>
        <w:t xml:space="preserve"> </w:t>
      </w:r>
      <w:r w:rsidR="00877C60" w:rsidRPr="00877C60">
        <w:rPr>
          <w:rFonts w:ascii="Times New Roman" w:hAnsi="Times New Roman" w:cs="Times New Roman"/>
          <w:sz w:val="24"/>
          <w:szCs w:val="24"/>
        </w:rPr>
        <w:t xml:space="preserve">Para el desarrollo e implementación </w:t>
      </w:r>
      <w:r w:rsidR="00533B00" w:rsidRPr="00533B00">
        <w:rPr>
          <w:rFonts w:ascii="Times New Roman" w:hAnsi="Times New Roman" w:cs="Times New Roman"/>
          <w:sz w:val="24"/>
          <w:szCs w:val="24"/>
        </w:rPr>
        <w:t xml:space="preserve">de un plan de acción para reducción de mora en la cartera crediticia en </w:t>
      </w:r>
      <w:r w:rsidR="00877C60" w:rsidRPr="00877C60">
        <w:rPr>
          <w:rFonts w:ascii="Times New Roman" w:hAnsi="Times New Roman" w:cs="Times New Roman"/>
          <w:sz w:val="24"/>
          <w:szCs w:val="24"/>
        </w:rPr>
        <w:t xml:space="preserve">la microfinanciera </w:t>
      </w:r>
      <w:r w:rsidR="00E5074B">
        <w:rPr>
          <w:rFonts w:ascii="Times New Roman" w:hAnsi="Times New Roman" w:cs="Times New Roman"/>
          <w:sz w:val="24"/>
          <w:szCs w:val="24"/>
        </w:rPr>
        <w:t>“XYZ”</w:t>
      </w:r>
      <w:r w:rsidR="00877C60" w:rsidRPr="00877C60">
        <w:rPr>
          <w:rFonts w:ascii="Times New Roman" w:hAnsi="Times New Roman" w:cs="Times New Roman"/>
          <w:sz w:val="24"/>
          <w:szCs w:val="24"/>
        </w:rPr>
        <w:t xml:space="preserve"> que cumpla con los reglamentos de los entes reguladores, se recomienda llevar a cabo una evaluación exhaustiva </w:t>
      </w:r>
      <w:r w:rsidR="00877C60">
        <w:rPr>
          <w:rFonts w:ascii="Times New Roman" w:hAnsi="Times New Roman" w:cs="Times New Roman"/>
          <w:sz w:val="24"/>
          <w:szCs w:val="24"/>
        </w:rPr>
        <w:t xml:space="preserve">para </w:t>
      </w:r>
      <w:r w:rsidR="00877C60" w:rsidRPr="00877C60">
        <w:rPr>
          <w:rFonts w:ascii="Times New Roman" w:hAnsi="Times New Roman" w:cs="Times New Roman"/>
          <w:sz w:val="24"/>
          <w:szCs w:val="24"/>
        </w:rPr>
        <w:t>establecer procesos robustos de auditoría y control interno para garantizar la adherencia continua a las normativas regulatorias. La implementación de capacitación constante para el personal en temas de regulación y gestión de riesgos también es esencial para asegurar la eficacia de la estrategia y mantener la estabilidad financiera y la confianza de los inversores en la institución.</w:t>
      </w:r>
      <w:r w:rsidR="006D7468">
        <w:br w:type="page"/>
      </w:r>
    </w:p>
    <w:p w14:paraId="1500EE89" w14:textId="6E817633" w:rsidR="000E2A5D" w:rsidRDefault="000E2A5D" w:rsidP="005F68CA">
      <w:pPr>
        <w:pStyle w:val="Ttulo1"/>
        <w:spacing w:before="0" w:after="120" w:line="360" w:lineRule="auto"/>
      </w:pPr>
      <w:bookmarkStart w:id="362" w:name="_Toc175171461"/>
      <w:r>
        <w:lastRenderedPageBreak/>
        <w:t>CAPÍTULO VI. APLICABILIDAD</w:t>
      </w:r>
      <w:bookmarkEnd w:id="361"/>
      <w:bookmarkEnd w:id="362"/>
    </w:p>
    <w:p w14:paraId="3261264C" w14:textId="1A6C0154" w:rsidR="00F825EC" w:rsidRDefault="00F825EC" w:rsidP="00F825EC">
      <w:pPr>
        <w:pStyle w:val="TextoPrincipal"/>
        <w:spacing w:line="360" w:lineRule="auto"/>
      </w:pPr>
      <w:r w:rsidRPr="00F825EC">
        <w:t xml:space="preserve">En este capítulo se aborda la aplicabilidad práctica de los hallazgos obtenidos a lo largo de la investigación sobre los niveles de morosidad en la cartera de crédito de la microfinanciera </w:t>
      </w:r>
      <w:r w:rsidR="00E5074B">
        <w:t>“XYZ”</w:t>
      </w:r>
      <w:r w:rsidRPr="00F825EC">
        <w:t xml:space="preserve"> durante el periodo 2019-2023. Aquí se examinan las estrategias y recomendaciones propuestas en capítulos anteriores y se evalúa cómo estas pueden ser implementadas de manera efectiva dentro de la organización.</w:t>
      </w:r>
    </w:p>
    <w:p w14:paraId="6F096FFE" w14:textId="77777777" w:rsidR="00F825EC" w:rsidRPr="00F825EC" w:rsidRDefault="00F825EC" w:rsidP="00F825EC">
      <w:pPr>
        <w:pStyle w:val="TextoPrincipal"/>
        <w:spacing w:line="360" w:lineRule="auto"/>
      </w:pPr>
    </w:p>
    <w:p w14:paraId="349D99B5" w14:textId="77777777" w:rsidR="000E2A5D" w:rsidRPr="000E2A5D" w:rsidRDefault="000E2A5D" w:rsidP="00804083">
      <w:pPr>
        <w:pStyle w:val="Prrafodelista"/>
        <w:numPr>
          <w:ilvl w:val="0"/>
          <w:numId w:val="10"/>
        </w:numPr>
        <w:spacing w:after="120" w:line="360" w:lineRule="auto"/>
        <w:outlineLvl w:val="1"/>
        <w:rPr>
          <w:rFonts w:ascii="Times New Roman" w:eastAsia="Times New Roman" w:hAnsi="Times New Roman"/>
          <w:b/>
          <w:bCs/>
          <w:vanish/>
          <w:sz w:val="24"/>
          <w:szCs w:val="32"/>
        </w:rPr>
      </w:pPr>
      <w:bookmarkStart w:id="363" w:name="_Toc170063978"/>
      <w:bookmarkStart w:id="364" w:name="_Toc170064122"/>
      <w:bookmarkStart w:id="365" w:name="_Toc170064268"/>
      <w:bookmarkStart w:id="366" w:name="_Toc170064412"/>
      <w:bookmarkStart w:id="367" w:name="_Toc170246363"/>
      <w:bookmarkStart w:id="368" w:name="_Toc170246507"/>
      <w:bookmarkStart w:id="369" w:name="_Toc170246651"/>
      <w:bookmarkStart w:id="370" w:name="_Toc175171315"/>
      <w:bookmarkStart w:id="371" w:name="_Toc175171462"/>
      <w:bookmarkEnd w:id="363"/>
      <w:bookmarkEnd w:id="364"/>
      <w:bookmarkEnd w:id="365"/>
      <w:bookmarkEnd w:id="366"/>
      <w:bookmarkEnd w:id="367"/>
      <w:bookmarkEnd w:id="368"/>
      <w:bookmarkEnd w:id="369"/>
      <w:bookmarkEnd w:id="370"/>
      <w:bookmarkEnd w:id="371"/>
    </w:p>
    <w:p w14:paraId="2DDEDAEB" w14:textId="35FE8E5E" w:rsidR="000E2A5D" w:rsidRPr="007A01EE" w:rsidRDefault="002E7DC3" w:rsidP="005F68CA">
      <w:pPr>
        <w:pStyle w:val="Ttulo2"/>
        <w:numPr>
          <w:ilvl w:val="1"/>
          <w:numId w:val="10"/>
        </w:numPr>
        <w:spacing w:line="360" w:lineRule="auto"/>
        <w:ind w:left="0" w:firstLine="0"/>
      </w:pPr>
      <w:bookmarkStart w:id="372" w:name="_Toc166705842"/>
      <w:r>
        <w:t xml:space="preserve"> </w:t>
      </w:r>
      <w:bookmarkStart w:id="373" w:name="_Toc175171463"/>
      <w:r w:rsidR="00A871DB">
        <w:t>NOMBRE DE LA PROPUESTA</w:t>
      </w:r>
      <w:bookmarkEnd w:id="372"/>
      <w:bookmarkEnd w:id="373"/>
    </w:p>
    <w:p w14:paraId="399087CE" w14:textId="7203CA70" w:rsidR="00CA2C90" w:rsidRDefault="007F6E59" w:rsidP="005F68CA">
      <w:pPr>
        <w:pStyle w:val="TextoPrincipal"/>
        <w:spacing w:line="360" w:lineRule="auto"/>
      </w:pPr>
      <w:r>
        <w:t>Plan de r</w:t>
      </w:r>
      <w:r w:rsidR="00AF4EF4" w:rsidRPr="00AF4EF4">
        <w:t>educción de</w:t>
      </w:r>
      <w:r w:rsidR="00E52BFD">
        <w:t xml:space="preserve"> la</w:t>
      </w:r>
      <w:r w:rsidR="00AF4EF4" w:rsidRPr="00AF4EF4">
        <w:t xml:space="preserve"> mora mayor a </w:t>
      </w:r>
      <w:r>
        <w:t>3</w:t>
      </w:r>
      <w:r w:rsidR="00486233">
        <w:t>0</w:t>
      </w:r>
      <w:r w:rsidR="00AF4EF4" w:rsidRPr="00AF4EF4">
        <w:t xml:space="preserve"> días en la cartera </w:t>
      </w:r>
      <w:r w:rsidR="006818C6">
        <w:t>crediticia</w:t>
      </w:r>
      <w:r w:rsidR="00AF4EF4" w:rsidRPr="00AF4EF4">
        <w:t xml:space="preserve"> de la </w:t>
      </w:r>
      <w:r w:rsidR="006818C6">
        <w:t>m</w:t>
      </w:r>
      <w:r w:rsidR="00AF4EF4" w:rsidRPr="00AF4EF4">
        <w:t xml:space="preserve">icrofinanciera </w:t>
      </w:r>
      <w:r w:rsidR="00E5074B">
        <w:t>“XYZ”</w:t>
      </w:r>
      <w:r w:rsidR="00AF4EF4" w:rsidRPr="00AF4EF4">
        <w:t>.</w:t>
      </w:r>
    </w:p>
    <w:p w14:paraId="7DE9DEDF" w14:textId="77777777" w:rsidR="00AF4EF4" w:rsidRDefault="00AF4EF4" w:rsidP="005F68CA">
      <w:pPr>
        <w:pStyle w:val="TextoPrincipal"/>
        <w:spacing w:line="360" w:lineRule="auto"/>
      </w:pPr>
    </w:p>
    <w:p w14:paraId="4C297E18" w14:textId="01A86CD1" w:rsidR="000E2A5D" w:rsidRPr="007A01EE" w:rsidRDefault="002E7DC3" w:rsidP="005F68CA">
      <w:pPr>
        <w:pStyle w:val="Ttulo2"/>
        <w:numPr>
          <w:ilvl w:val="1"/>
          <w:numId w:val="10"/>
        </w:numPr>
        <w:spacing w:line="360" w:lineRule="auto"/>
        <w:ind w:left="0" w:firstLine="0"/>
      </w:pPr>
      <w:bookmarkStart w:id="374" w:name="_Toc166705843"/>
      <w:r>
        <w:t xml:space="preserve"> </w:t>
      </w:r>
      <w:bookmarkStart w:id="375" w:name="_Toc175171464"/>
      <w:r w:rsidR="00A871DB">
        <w:t>JUSTIFICACIÓN DE LA PROPUESTA</w:t>
      </w:r>
      <w:bookmarkEnd w:id="374"/>
      <w:bookmarkEnd w:id="375"/>
    </w:p>
    <w:p w14:paraId="037DF86D" w14:textId="5D5BF9BC" w:rsidR="00694280" w:rsidRDefault="00D55751" w:rsidP="00694280">
      <w:pPr>
        <w:pStyle w:val="TextoPrincipal"/>
        <w:spacing w:line="360" w:lineRule="auto"/>
      </w:pPr>
      <w:r>
        <w:t>De acuerdo con los resultados obtenidos</w:t>
      </w:r>
      <w:r w:rsidR="00206FB8">
        <w:t xml:space="preserve"> en el capítulo IV</w:t>
      </w:r>
      <w:r>
        <w:t>, se logr</w:t>
      </w:r>
      <w:r w:rsidR="00206FB8">
        <w:t>ó</w:t>
      </w:r>
      <w:r>
        <w:t xml:space="preserve"> identificar que la IMF enfrenta serios problemas de morosidad, mismos que impactan negativamente en la salud financiera de la empresa. A pesar de observarse una mejora significativa en los indicadores financieros </w:t>
      </w:r>
      <w:r w:rsidR="00865CBA">
        <w:t>para el año 2023</w:t>
      </w:r>
      <w:r>
        <w:t>, es importante establecer una estrategia que permita</w:t>
      </w:r>
      <w:r w:rsidR="00865CBA">
        <w:t xml:space="preserve"> a la institución</w:t>
      </w:r>
      <w:r>
        <w:t xml:space="preserve"> mejorar</w:t>
      </w:r>
      <w:r w:rsidRPr="00D55751">
        <w:t xml:space="preserve"> la calidad de l</w:t>
      </w:r>
      <w:r w:rsidR="00206FB8">
        <w:t>a cartera</w:t>
      </w:r>
      <w:r w:rsidRPr="00D55751">
        <w:t xml:space="preserve"> </w:t>
      </w:r>
      <w:r w:rsidR="00206FB8">
        <w:t>crediticia</w:t>
      </w:r>
      <w:r w:rsidR="00865CBA">
        <w:t xml:space="preserve">, a través de la reducción de </w:t>
      </w:r>
      <w:r w:rsidRPr="00D55751">
        <w:t>los niveles de mor</w:t>
      </w:r>
      <w:r w:rsidR="00F00D91">
        <w:t>a</w:t>
      </w:r>
      <w:r w:rsidR="00B03326">
        <w:t xml:space="preserve"> mayor a </w:t>
      </w:r>
      <w:r w:rsidR="00206FB8">
        <w:t>30</w:t>
      </w:r>
      <w:r w:rsidR="00B03326">
        <w:t xml:space="preserve"> días, </w:t>
      </w:r>
      <w:r w:rsidR="00D4701E">
        <w:t xml:space="preserve">ya que dichos niveles de mora se encuentran en </w:t>
      </w:r>
      <w:r w:rsidR="00FF3C18">
        <w:t xml:space="preserve">un promedio del </w:t>
      </w:r>
      <w:r w:rsidR="00D4701E">
        <w:t>28</w:t>
      </w:r>
      <w:r w:rsidR="00B03326">
        <w:t>%</w:t>
      </w:r>
      <w:r w:rsidR="00D4701E">
        <w:t xml:space="preserve"> </w:t>
      </w:r>
      <w:r w:rsidR="00FF3C18">
        <w:t>para los cinco años analizados</w:t>
      </w:r>
      <w:r w:rsidR="00B03326">
        <w:t>, valor muy superior al 5% que se establece por parte del ente regulador</w:t>
      </w:r>
      <w:r w:rsidR="00D4701E">
        <w:t>.</w:t>
      </w:r>
    </w:p>
    <w:p w14:paraId="3C20C30B" w14:textId="376F6193" w:rsidR="008C6F85" w:rsidRDefault="008C6F85" w:rsidP="00694280">
      <w:pPr>
        <w:pStyle w:val="TextoPrincipal"/>
        <w:spacing w:line="360" w:lineRule="auto"/>
      </w:pPr>
      <w:r>
        <w:t xml:space="preserve">Además, se identificó que la empresa no cuenta con personal suficiente para la realización de la gestión de cobros, ya que la </w:t>
      </w:r>
      <w:r w:rsidR="00882ED1">
        <w:t>IMF</w:t>
      </w:r>
      <w:r>
        <w:t xml:space="preserve"> </w:t>
      </w:r>
      <w:r w:rsidR="003A1505">
        <w:t>dispone</w:t>
      </w:r>
      <w:r>
        <w:t xml:space="preserve"> </w:t>
      </w:r>
      <w:r w:rsidR="00795ACE">
        <w:t>de</w:t>
      </w:r>
      <w:r>
        <w:t xml:space="preserve"> 18 agencias a nivel nacional</w:t>
      </w:r>
      <w:r w:rsidR="00882ED1">
        <w:t xml:space="preserve">, </w:t>
      </w:r>
      <w:r>
        <w:t xml:space="preserve">y solamente con 12 gestores de cobranza, lo cual impide </w:t>
      </w:r>
      <w:r w:rsidR="00882ED1">
        <w:t>el seguimiento oportuno</w:t>
      </w:r>
      <w:r>
        <w:t xml:space="preserve"> de los créditos</w:t>
      </w:r>
      <w:r w:rsidR="00882ED1">
        <w:t xml:space="preserve"> atrasados</w:t>
      </w:r>
      <w:r w:rsidR="001F6CA1">
        <w:t xml:space="preserve"> para cada una de las agencias</w:t>
      </w:r>
      <w:r w:rsidR="00882ED1">
        <w:t xml:space="preserve">, y por ende </w:t>
      </w:r>
      <w:r w:rsidR="001F6CA1">
        <w:t xml:space="preserve">existe una menor </w:t>
      </w:r>
      <w:r w:rsidR="00882ED1">
        <w:t>cobertura</w:t>
      </w:r>
      <w:r w:rsidR="001F6CA1">
        <w:t xml:space="preserve"> de las zonas.</w:t>
      </w:r>
    </w:p>
    <w:p w14:paraId="12E44F7B" w14:textId="40153C54" w:rsidR="00D35B41" w:rsidRDefault="00D35B41" w:rsidP="0037457B">
      <w:pPr>
        <w:pStyle w:val="TextoPrincipal"/>
        <w:spacing w:line="360" w:lineRule="auto"/>
      </w:pPr>
      <w:r>
        <w:t>Por otra parte, l</w:t>
      </w:r>
      <w:r w:rsidR="0037457B">
        <w:t>a CNBS, como ente regulador, establece normativas</w:t>
      </w:r>
      <w:r>
        <w:t xml:space="preserve"> muy</w:t>
      </w:r>
      <w:r w:rsidR="0037457B">
        <w:t xml:space="preserve"> rigurosas para </w:t>
      </w:r>
      <w:r>
        <w:t xml:space="preserve">el sector microfinanzas, lo que desfavorece </w:t>
      </w:r>
      <w:r w:rsidR="003832B8">
        <w:t>completamente</w:t>
      </w:r>
      <w:r w:rsidR="00E904B8">
        <w:t xml:space="preserve"> en comparación de la banca ya que, se podría decir que los índices y/o estándares de su cartera de crédito son más flexibles.</w:t>
      </w:r>
    </w:p>
    <w:p w14:paraId="69BE2F28" w14:textId="77777777" w:rsidR="00D35B41" w:rsidRDefault="00D35B41" w:rsidP="0037457B">
      <w:pPr>
        <w:pStyle w:val="TextoPrincipal"/>
        <w:spacing w:line="360" w:lineRule="auto"/>
      </w:pPr>
    </w:p>
    <w:p w14:paraId="42D1CA95" w14:textId="77777777" w:rsidR="00D35B41" w:rsidRDefault="00D35B41" w:rsidP="0037457B">
      <w:pPr>
        <w:pStyle w:val="TextoPrincipal"/>
        <w:spacing w:line="360" w:lineRule="auto"/>
      </w:pPr>
    </w:p>
    <w:p w14:paraId="6205CB78" w14:textId="1B3A4AEA" w:rsidR="00BF19F6" w:rsidRDefault="00E904B8" w:rsidP="00E904B8">
      <w:pPr>
        <w:pStyle w:val="TextoPrincipal"/>
        <w:spacing w:line="360" w:lineRule="auto"/>
      </w:pPr>
      <w:r>
        <w:lastRenderedPageBreak/>
        <w:t xml:space="preserve">Esta </w:t>
      </w:r>
      <w:r w:rsidRPr="00E904B8">
        <w:t xml:space="preserve">propuesta </w:t>
      </w:r>
      <w:r w:rsidR="008654A8">
        <w:t xml:space="preserve">se formula </w:t>
      </w:r>
      <w:r w:rsidRPr="00E904B8">
        <w:t>debido a</w:t>
      </w:r>
      <w:r w:rsidR="008654A8">
        <w:t xml:space="preserve"> l</w:t>
      </w:r>
      <w:r w:rsidRPr="00E904B8">
        <w:t xml:space="preserve">a alta proporción de cartera en mora </w:t>
      </w:r>
      <w:r w:rsidR="008654A8">
        <w:t xml:space="preserve">que </w:t>
      </w:r>
      <w:r w:rsidRPr="00E904B8">
        <w:t xml:space="preserve">impacta negativamente la liquidez y rentabilidad de las instituciones financieras, comprometiendo su estabilidad y sostenibilidad a largo plazo. La microfinanciera </w:t>
      </w:r>
      <w:r w:rsidR="00E5074B">
        <w:t>“XYZ”</w:t>
      </w:r>
      <w:r w:rsidRPr="00E904B8">
        <w:t xml:space="preserve">, al igual que muchas otras en el sector, enfrenta el desafío de mantener una cartera saludable mientras cumple su misión de inclusión financiera. A través de un análisis exhaustivo de los factores que contribuyen a la mora prolongada y la implementación de estrategias efectivas de gestión de crédito, esta </w:t>
      </w:r>
      <w:r>
        <w:t>propuesta</w:t>
      </w:r>
      <w:r w:rsidR="0053768D">
        <w:t xml:space="preserve"> plantea</w:t>
      </w:r>
      <w:r w:rsidRPr="00E904B8">
        <w:t xml:space="preserve"> soluciones prácticas que no solo </w:t>
      </w:r>
      <w:r w:rsidR="0053768D">
        <w:t>ayudan a mejorar</w:t>
      </w:r>
      <w:r w:rsidRPr="00E904B8">
        <w:t xml:space="preserve"> los indicadores financieros de la entidad, sino que también </w:t>
      </w:r>
      <w:r w:rsidR="0053768D" w:rsidRPr="00E904B8">
        <w:t>fortalece</w:t>
      </w:r>
      <w:r w:rsidRPr="00E904B8">
        <w:t xml:space="preserve"> la confianza de los inversionista</w:t>
      </w:r>
      <w:r w:rsidR="0053768D">
        <w:t>s</w:t>
      </w:r>
      <w:r w:rsidRPr="00E904B8">
        <w:t xml:space="preserve">. </w:t>
      </w:r>
      <w:r w:rsidR="00DA79E3">
        <w:t>L</w:t>
      </w:r>
      <w:r w:rsidRPr="00E904B8">
        <w:t xml:space="preserve">a reducción del monto e indicador de mora mayor a </w:t>
      </w:r>
      <w:r w:rsidR="0095566D">
        <w:t>3</w:t>
      </w:r>
      <w:r w:rsidRPr="00E904B8">
        <w:t>0 días permitirá a</w:t>
      </w:r>
      <w:r w:rsidR="008654A8">
        <w:t xml:space="preserve"> la IMF</w:t>
      </w:r>
      <w:r w:rsidRPr="00E904B8">
        <w:t xml:space="preserve"> </w:t>
      </w:r>
      <w:r w:rsidR="00E5074B">
        <w:t>“XYZ”</w:t>
      </w:r>
      <w:r w:rsidRPr="00E904B8">
        <w:t xml:space="preserve"> optimizar sus operaciones, reducir riesgos y contribuir al desarrollo económico de las comunidades a las que sirve.</w:t>
      </w:r>
    </w:p>
    <w:p w14:paraId="4A0902B5" w14:textId="77777777" w:rsidR="00DA79E3" w:rsidRDefault="00DA79E3" w:rsidP="00DA79E3">
      <w:pPr>
        <w:pStyle w:val="TextoPrincipal"/>
        <w:spacing w:line="360" w:lineRule="auto"/>
        <w:ind w:firstLine="0"/>
      </w:pPr>
    </w:p>
    <w:p w14:paraId="471C4472" w14:textId="32041D98" w:rsidR="00865CBA" w:rsidRDefault="0021570C" w:rsidP="00914AA0">
      <w:pPr>
        <w:pStyle w:val="Ttulo2"/>
        <w:numPr>
          <w:ilvl w:val="1"/>
          <w:numId w:val="10"/>
        </w:numPr>
        <w:spacing w:line="360" w:lineRule="auto"/>
        <w:ind w:left="0" w:firstLine="0"/>
      </w:pPr>
      <w:bookmarkStart w:id="376" w:name="_Toc166705844"/>
      <w:r>
        <w:t xml:space="preserve"> </w:t>
      </w:r>
      <w:bookmarkStart w:id="377" w:name="_Toc175171465"/>
      <w:r w:rsidR="00A871DB">
        <w:t>ALCANCE DE LA PROPUESTA</w:t>
      </w:r>
      <w:bookmarkEnd w:id="376"/>
      <w:bookmarkEnd w:id="377"/>
    </w:p>
    <w:p w14:paraId="7C4EF82A" w14:textId="348400B7" w:rsidR="00053731" w:rsidRDefault="00053731" w:rsidP="00053731">
      <w:pPr>
        <w:pStyle w:val="Ttulo2"/>
        <w:ind w:firstLine="720"/>
      </w:pPr>
      <w:bookmarkStart w:id="378" w:name="_Toc175171466"/>
      <w:r>
        <w:t xml:space="preserve">6.3.1. </w:t>
      </w:r>
      <w:r w:rsidR="007E62CA" w:rsidRPr="00F825EC">
        <w:t>OBJETIVO GENERAL</w:t>
      </w:r>
      <w:bookmarkEnd w:id="378"/>
    </w:p>
    <w:p w14:paraId="3C5BA333" w14:textId="3402DD2F" w:rsidR="00053731" w:rsidRDefault="00FD0422" w:rsidP="00F97B32">
      <w:pPr>
        <w:pStyle w:val="TextoPrincipal"/>
        <w:spacing w:line="360" w:lineRule="auto"/>
      </w:pPr>
      <w:r w:rsidRPr="00FD0422">
        <w:t xml:space="preserve">Optimizar la rentabilidad y sostenibilidad financiera de la </w:t>
      </w:r>
      <w:r>
        <w:t>IMF</w:t>
      </w:r>
      <w:r w:rsidRPr="00FD0422">
        <w:t xml:space="preserve"> </w:t>
      </w:r>
      <w:r w:rsidR="00E5074B">
        <w:t>“XYZ”</w:t>
      </w:r>
      <w:r w:rsidRPr="00FD0422">
        <w:t xml:space="preserve"> </w:t>
      </w:r>
      <w:r>
        <w:t xml:space="preserve">a través de </w:t>
      </w:r>
      <w:r w:rsidRPr="00914AA0">
        <w:t xml:space="preserve">estrategias efectivas </w:t>
      </w:r>
      <w:r>
        <w:t>para</w:t>
      </w:r>
      <w:r w:rsidRPr="00FD0422">
        <w:t xml:space="preserve"> la reducción del monto e indicador de mora mayor a </w:t>
      </w:r>
      <w:r w:rsidR="00F6264A">
        <w:t>3</w:t>
      </w:r>
      <w:r w:rsidRPr="00FD0422">
        <w:t>0 días,</w:t>
      </w:r>
      <w:r w:rsidR="00914AA0" w:rsidRPr="00914AA0">
        <w:t xml:space="preserve"> mejorando</w:t>
      </w:r>
      <w:r>
        <w:t xml:space="preserve"> </w:t>
      </w:r>
      <w:r w:rsidR="00914AA0" w:rsidRPr="00914AA0">
        <w:t>su estabilidad financiera y capacidad operativa.</w:t>
      </w:r>
    </w:p>
    <w:p w14:paraId="37EA2EE0" w14:textId="77777777" w:rsidR="00E33296" w:rsidRDefault="00E33296" w:rsidP="002E7DC3">
      <w:pPr>
        <w:pStyle w:val="TextoPrincipal"/>
        <w:spacing w:line="360" w:lineRule="auto"/>
      </w:pPr>
    </w:p>
    <w:p w14:paraId="2290B212" w14:textId="53327902" w:rsidR="00053731" w:rsidRDefault="00053731" w:rsidP="00053731">
      <w:pPr>
        <w:pStyle w:val="Ttulo2"/>
        <w:ind w:firstLine="720"/>
      </w:pPr>
      <w:bookmarkStart w:id="379" w:name="_Toc175171467"/>
      <w:r>
        <w:t xml:space="preserve">6.3.2. </w:t>
      </w:r>
      <w:r w:rsidR="007E62CA" w:rsidRPr="00F825EC">
        <w:t>OBJETIVOS ESPECIFICOS</w:t>
      </w:r>
      <w:bookmarkEnd w:id="379"/>
    </w:p>
    <w:p w14:paraId="5C9DD867" w14:textId="386E60ED" w:rsidR="00F825EC" w:rsidRDefault="002A275D" w:rsidP="00DE152B">
      <w:pPr>
        <w:pStyle w:val="TextoPrincipal"/>
        <w:numPr>
          <w:ilvl w:val="0"/>
          <w:numId w:val="34"/>
        </w:numPr>
        <w:spacing w:line="360" w:lineRule="auto"/>
        <w:ind w:left="0" w:firstLine="720"/>
      </w:pPr>
      <w:r>
        <w:t xml:space="preserve"> </w:t>
      </w:r>
      <w:r w:rsidR="00D60182">
        <w:t>A</w:t>
      </w:r>
      <w:r w:rsidR="00DE152B" w:rsidRPr="00DE152B">
        <w:t>nali</w:t>
      </w:r>
      <w:r w:rsidR="00D60182">
        <w:t>zar</w:t>
      </w:r>
      <w:r w:rsidR="00DE152B" w:rsidRPr="00DE152B">
        <w:t xml:space="preserve"> y ajust</w:t>
      </w:r>
      <w:r w:rsidR="00D60182">
        <w:t>ar</w:t>
      </w:r>
      <w:r w:rsidR="00DE152B" w:rsidRPr="00DE152B">
        <w:t xml:space="preserve"> las políticas de crédito de la microfinanciera </w:t>
      </w:r>
      <w:r w:rsidR="00E5074B">
        <w:t>“XYZ”</w:t>
      </w:r>
      <w:r w:rsidR="00DE152B" w:rsidRPr="00DE152B">
        <w:t xml:space="preserve"> para garantizar una mayor rigurosidad en el proceso de selección de clientes y disminución del riesgo de incumplimiento.</w:t>
      </w:r>
    </w:p>
    <w:p w14:paraId="04389282" w14:textId="66BE26D0" w:rsidR="00DE152B" w:rsidRDefault="002A275D" w:rsidP="00DE152B">
      <w:pPr>
        <w:pStyle w:val="TextoPrincipal"/>
        <w:numPr>
          <w:ilvl w:val="0"/>
          <w:numId w:val="34"/>
        </w:numPr>
        <w:spacing w:line="360" w:lineRule="auto"/>
        <w:ind w:left="0" w:firstLine="720"/>
      </w:pPr>
      <w:r>
        <w:t xml:space="preserve"> </w:t>
      </w:r>
      <w:r w:rsidR="00DE152B" w:rsidRPr="00DE152B">
        <w:t xml:space="preserve">Reestructurar los procesos de cobranza y recuperación de créditos, incluyendo la implementación de métodos más efectivos y personalizados, para reducir el monto y el indicador de mora mayor a </w:t>
      </w:r>
      <w:r w:rsidR="00F6264A">
        <w:t>3</w:t>
      </w:r>
      <w:r w:rsidR="00DE152B" w:rsidRPr="00DE152B">
        <w:t>0 días.</w:t>
      </w:r>
    </w:p>
    <w:p w14:paraId="09F5E60C" w14:textId="14B27685" w:rsidR="002175E2" w:rsidRDefault="002F329A" w:rsidP="00B52336">
      <w:pPr>
        <w:pStyle w:val="TextoPrincipal"/>
        <w:numPr>
          <w:ilvl w:val="0"/>
          <w:numId w:val="34"/>
        </w:numPr>
        <w:spacing w:line="360" w:lineRule="auto"/>
        <w:ind w:left="0" w:firstLine="720"/>
      </w:pPr>
      <w:r>
        <w:t xml:space="preserve"> </w:t>
      </w:r>
      <w:r w:rsidR="00251978">
        <w:t xml:space="preserve">Contribuir en el fortalecimiento y actualización </w:t>
      </w:r>
      <w:r w:rsidR="003471D6">
        <w:t>de la matriz</w:t>
      </w:r>
      <w:r w:rsidR="00251978">
        <w:t xml:space="preserve"> de apetito de riesgos, donde se evalúen los distintos límites y alertas </w:t>
      </w:r>
      <w:r w:rsidR="003471D6">
        <w:t xml:space="preserve">tempranas específicamente </w:t>
      </w:r>
      <w:r w:rsidR="00251978">
        <w:t>de los indicadores</w:t>
      </w:r>
      <w:r w:rsidR="003471D6">
        <w:t xml:space="preserve"> de la cartera</w:t>
      </w:r>
      <w:r w:rsidR="00A10166">
        <w:t xml:space="preserve"> de la microfinanciera </w:t>
      </w:r>
      <w:r w:rsidR="00E5074B">
        <w:t>“XYZ”</w:t>
      </w:r>
      <w:r w:rsidR="00A10166">
        <w:t>.</w:t>
      </w:r>
    </w:p>
    <w:p w14:paraId="34C1BC50" w14:textId="77777777" w:rsidR="005F68CA" w:rsidRDefault="005F68CA" w:rsidP="002E7DC3">
      <w:pPr>
        <w:pStyle w:val="TextoPrincipal"/>
        <w:spacing w:line="360" w:lineRule="auto"/>
        <w:ind w:firstLine="0"/>
        <w:rPr>
          <w:rFonts w:eastAsia="Times New Roman" w:cstheme="minorBidi"/>
          <w:b/>
          <w:bCs/>
          <w:szCs w:val="32"/>
        </w:rPr>
      </w:pPr>
    </w:p>
    <w:p w14:paraId="78B4E3F4" w14:textId="77777777" w:rsidR="00B52336" w:rsidRDefault="00B52336" w:rsidP="002E7DC3">
      <w:pPr>
        <w:pStyle w:val="TextoPrincipal"/>
        <w:spacing w:line="360" w:lineRule="auto"/>
        <w:ind w:firstLine="0"/>
      </w:pPr>
    </w:p>
    <w:p w14:paraId="2645805F" w14:textId="234D3105" w:rsidR="00C007EC" w:rsidRDefault="00C007EC" w:rsidP="00C007EC">
      <w:pPr>
        <w:pStyle w:val="Ttulo2"/>
        <w:numPr>
          <w:ilvl w:val="1"/>
          <w:numId w:val="10"/>
        </w:numPr>
        <w:spacing w:line="360" w:lineRule="auto"/>
        <w:ind w:left="0" w:firstLine="0"/>
      </w:pPr>
      <w:bookmarkStart w:id="380" w:name="_Toc166705845"/>
      <w:r>
        <w:lastRenderedPageBreak/>
        <w:t xml:space="preserve"> </w:t>
      </w:r>
      <w:bookmarkStart w:id="381" w:name="_Toc175171468"/>
      <w:r w:rsidR="00A871DB">
        <w:t>DESCRIPCIÓN Y DESARROLLO</w:t>
      </w:r>
      <w:r w:rsidR="00F10633">
        <w:t xml:space="preserve"> DE LA PROPUESTA</w:t>
      </w:r>
      <w:bookmarkEnd w:id="380"/>
      <w:bookmarkEnd w:id="381"/>
    </w:p>
    <w:p w14:paraId="20994AD7" w14:textId="585969BA" w:rsidR="00C007EC" w:rsidRDefault="00C007EC" w:rsidP="005B334C">
      <w:pPr>
        <w:pStyle w:val="TextoPrincipal"/>
        <w:spacing w:line="360" w:lineRule="auto"/>
      </w:pPr>
      <w:r>
        <w:t xml:space="preserve">En este apartado se presenta de manera detallada la propuesta diseñada para reducir el monto y el indicador de mora mayor a </w:t>
      </w:r>
      <w:r w:rsidR="0095566D">
        <w:t>3</w:t>
      </w:r>
      <w:r>
        <w:t xml:space="preserve">0 días en la cartera de crédito de la microfinanciera </w:t>
      </w:r>
      <w:r w:rsidR="00E5074B">
        <w:t>“XYZ”</w:t>
      </w:r>
      <w:r>
        <w:t xml:space="preserve">. La propuesta se estructura a partir de un análisis exhaustivo de las causas y factores que contribuyen a la mora </w:t>
      </w:r>
      <w:r w:rsidR="005B334C">
        <w:t>“incobrable”</w:t>
      </w:r>
      <w:r>
        <w:t>, así como de la identificación de mejores prácticas y estrategias innovadoras en la gestión del riesgo crediticio.</w:t>
      </w:r>
    </w:p>
    <w:p w14:paraId="2E33295D" w14:textId="77777777" w:rsidR="005B334C" w:rsidRPr="00C007EC" w:rsidRDefault="005B334C" w:rsidP="005B334C">
      <w:pPr>
        <w:pStyle w:val="TextoPrincipal"/>
        <w:spacing w:line="360" w:lineRule="auto"/>
      </w:pPr>
    </w:p>
    <w:p w14:paraId="61805E4C" w14:textId="5C681DE8" w:rsidR="007343D8" w:rsidRDefault="005F68CA" w:rsidP="007343D8">
      <w:pPr>
        <w:pStyle w:val="Ttulo3"/>
        <w:spacing w:line="360" w:lineRule="auto"/>
        <w:ind w:left="0" w:firstLine="720"/>
      </w:pPr>
      <w:bookmarkStart w:id="382" w:name="_Toc175171469"/>
      <w:r>
        <w:t xml:space="preserve">6.4.1. </w:t>
      </w:r>
      <w:bookmarkStart w:id="383" w:name="_Toc166705846"/>
      <w:r w:rsidR="00A871DB" w:rsidRPr="00804083">
        <w:t>DESCRIPCIÓN</w:t>
      </w:r>
      <w:r w:rsidR="00F10633">
        <w:t xml:space="preserve"> CLARA DEL QU</w:t>
      </w:r>
      <w:r w:rsidR="007B0FE1">
        <w:t>É</w:t>
      </w:r>
      <w:r w:rsidR="00F10633">
        <w:t xml:space="preserve"> Y C</w:t>
      </w:r>
      <w:r w:rsidR="007B0FE1">
        <w:t>Ó</w:t>
      </w:r>
      <w:r w:rsidR="00F10633">
        <w:t>MO SE HARA</w:t>
      </w:r>
      <w:bookmarkEnd w:id="382"/>
      <w:bookmarkEnd w:id="383"/>
    </w:p>
    <w:p w14:paraId="1D5B0685" w14:textId="503EB173" w:rsidR="007343D8" w:rsidRPr="007343D8" w:rsidRDefault="007343D8" w:rsidP="007343D8">
      <w:pPr>
        <w:pStyle w:val="TextoPrincipal"/>
      </w:pPr>
      <w:r>
        <w:t xml:space="preserve">Tabla </w:t>
      </w:r>
      <w:r w:rsidR="007C6FC5">
        <w:t>2</w:t>
      </w:r>
      <w:r w:rsidR="00E17687">
        <w:t>2</w:t>
      </w:r>
      <w:r>
        <w:t>: D</w:t>
      </w:r>
      <w:r w:rsidRPr="007343D8">
        <w:t xml:space="preserve">escripción </w:t>
      </w:r>
      <w:r>
        <w:t>de la propuesta.</w:t>
      </w:r>
    </w:p>
    <w:tbl>
      <w:tblPr>
        <w:tblStyle w:val="Tablaconcuadrcula"/>
        <w:tblW w:w="0" w:type="auto"/>
        <w:jc w:val="center"/>
        <w:tblLook w:val="04A0" w:firstRow="1" w:lastRow="0" w:firstColumn="1" w:lastColumn="0" w:noHBand="0" w:noVBand="1"/>
      </w:tblPr>
      <w:tblGrid>
        <w:gridCol w:w="486"/>
        <w:gridCol w:w="4392"/>
        <w:gridCol w:w="4472"/>
      </w:tblGrid>
      <w:tr w:rsidR="007B0FE1" w14:paraId="5661EC01" w14:textId="77777777" w:rsidTr="0028247A">
        <w:trPr>
          <w:jc w:val="center"/>
        </w:trPr>
        <w:tc>
          <w:tcPr>
            <w:tcW w:w="486" w:type="dxa"/>
            <w:vAlign w:val="center"/>
          </w:tcPr>
          <w:p w14:paraId="75E65FD6" w14:textId="249E2571" w:rsidR="007B0FE1" w:rsidRPr="00CE2A6F" w:rsidRDefault="007B0FE1" w:rsidP="00CE2A6F">
            <w:pPr>
              <w:pStyle w:val="TextoPrincipal"/>
              <w:spacing w:line="360" w:lineRule="auto"/>
              <w:ind w:firstLine="0"/>
              <w:jc w:val="center"/>
              <w:rPr>
                <w:b/>
                <w:bCs/>
              </w:rPr>
            </w:pPr>
            <w:proofErr w:type="spellStart"/>
            <w:r w:rsidRPr="00CE2A6F">
              <w:rPr>
                <w:b/>
                <w:bCs/>
              </w:rPr>
              <w:t>N°</w:t>
            </w:r>
            <w:proofErr w:type="spellEnd"/>
          </w:p>
        </w:tc>
        <w:tc>
          <w:tcPr>
            <w:tcW w:w="4392" w:type="dxa"/>
            <w:vAlign w:val="center"/>
          </w:tcPr>
          <w:p w14:paraId="32DD50DE" w14:textId="592B1071" w:rsidR="007B0FE1" w:rsidRPr="00CE2A6F" w:rsidRDefault="007B0FE1" w:rsidP="00CE2A6F">
            <w:pPr>
              <w:pStyle w:val="TextoPrincipal"/>
              <w:spacing w:line="360" w:lineRule="auto"/>
              <w:ind w:firstLine="0"/>
              <w:jc w:val="center"/>
              <w:rPr>
                <w:b/>
                <w:bCs/>
              </w:rPr>
            </w:pPr>
            <w:r w:rsidRPr="00CE2A6F">
              <w:rPr>
                <w:b/>
                <w:bCs/>
              </w:rPr>
              <w:t>¿Qué se hará?</w:t>
            </w:r>
          </w:p>
        </w:tc>
        <w:tc>
          <w:tcPr>
            <w:tcW w:w="4472" w:type="dxa"/>
            <w:vAlign w:val="center"/>
          </w:tcPr>
          <w:p w14:paraId="6F742951" w14:textId="5CF0B763" w:rsidR="007B0FE1" w:rsidRPr="00CE2A6F" w:rsidRDefault="007B0FE1" w:rsidP="00CE2A6F">
            <w:pPr>
              <w:pStyle w:val="TextoPrincipal"/>
              <w:spacing w:line="360" w:lineRule="auto"/>
              <w:ind w:firstLine="0"/>
              <w:jc w:val="center"/>
              <w:rPr>
                <w:b/>
                <w:bCs/>
              </w:rPr>
            </w:pPr>
            <w:r w:rsidRPr="00CE2A6F">
              <w:rPr>
                <w:b/>
                <w:bCs/>
              </w:rPr>
              <w:t>¿Cómo se hará?</w:t>
            </w:r>
          </w:p>
        </w:tc>
      </w:tr>
      <w:tr w:rsidR="0095566D" w14:paraId="10EB2F2B" w14:textId="77777777" w:rsidTr="0028247A">
        <w:trPr>
          <w:jc w:val="center"/>
        </w:trPr>
        <w:tc>
          <w:tcPr>
            <w:tcW w:w="486" w:type="dxa"/>
          </w:tcPr>
          <w:p w14:paraId="05A7CBA4" w14:textId="5AB2355A" w:rsidR="0095566D" w:rsidRDefault="0095566D" w:rsidP="0095566D">
            <w:pPr>
              <w:pStyle w:val="TextoPrincipal"/>
              <w:spacing w:line="360" w:lineRule="auto"/>
              <w:ind w:firstLine="0"/>
              <w:jc w:val="center"/>
            </w:pPr>
            <w:r>
              <w:t>1</w:t>
            </w:r>
          </w:p>
        </w:tc>
        <w:tc>
          <w:tcPr>
            <w:tcW w:w="4392" w:type="dxa"/>
          </w:tcPr>
          <w:p w14:paraId="47EEEB2E" w14:textId="403DC3F7" w:rsidR="0095566D" w:rsidRDefault="0095566D" w:rsidP="0095566D">
            <w:pPr>
              <w:pStyle w:val="TextoPrincipal"/>
              <w:spacing w:line="360" w:lineRule="auto"/>
              <w:ind w:firstLine="0"/>
            </w:pPr>
            <w:r w:rsidRPr="007B0FE1">
              <w:t xml:space="preserve">Reducir el monto total de morosidad </w:t>
            </w:r>
            <w:r>
              <w:t xml:space="preserve">&gt;30 días </w:t>
            </w:r>
            <w:r w:rsidRPr="007B0FE1">
              <w:t xml:space="preserve">en la cartera de crédito de la microfinanciera </w:t>
            </w:r>
            <w:r w:rsidR="00E5074B">
              <w:t>“XYZ”</w:t>
            </w:r>
            <w:r w:rsidRPr="007B0FE1">
              <w:t>.</w:t>
            </w:r>
          </w:p>
        </w:tc>
        <w:tc>
          <w:tcPr>
            <w:tcW w:w="4472" w:type="dxa"/>
          </w:tcPr>
          <w:p w14:paraId="33C11263" w14:textId="45D096A1" w:rsidR="0095566D" w:rsidRDefault="0095566D" w:rsidP="0095566D">
            <w:pPr>
              <w:pStyle w:val="TextoPrincipal"/>
              <w:spacing w:line="360" w:lineRule="auto"/>
              <w:ind w:firstLine="0"/>
            </w:pPr>
            <w:r>
              <w:t>Mediante la solicitud ante la CNBS para la autorización de castigo de créditos con estatus de “incobrable”, por un monto superior a lo establecido en sus normativas.</w:t>
            </w:r>
          </w:p>
        </w:tc>
      </w:tr>
      <w:tr w:rsidR="0095566D" w14:paraId="7CB86EC8" w14:textId="77777777" w:rsidTr="0028247A">
        <w:trPr>
          <w:jc w:val="center"/>
        </w:trPr>
        <w:tc>
          <w:tcPr>
            <w:tcW w:w="486" w:type="dxa"/>
          </w:tcPr>
          <w:p w14:paraId="45FFAEAE" w14:textId="247F83E1" w:rsidR="00144583" w:rsidRDefault="00144583" w:rsidP="00144583">
            <w:pPr>
              <w:pStyle w:val="TextoPrincipal"/>
              <w:spacing w:line="360" w:lineRule="auto"/>
              <w:ind w:firstLine="0"/>
              <w:jc w:val="center"/>
            </w:pPr>
            <w:r>
              <w:t>2</w:t>
            </w:r>
          </w:p>
        </w:tc>
        <w:tc>
          <w:tcPr>
            <w:tcW w:w="4392" w:type="dxa"/>
          </w:tcPr>
          <w:p w14:paraId="7CDD102A" w14:textId="36490BE2" w:rsidR="0095566D" w:rsidRPr="007B0FE1" w:rsidRDefault="0095566D" w:rsidP="0095566D">
            <w:pPr>
              <w:pStyle w:val="TextoPrincipal"/>
              <w:spacing w:line="360" w:lineRule="auto"/>
              <w:ind w:firstLine="0"/>
            </w:pPr>
            <w:r w:rsidRPr="007B0FE1">
              <w:t>Implementar</w:t>
            </w:r>
            <w:r>
              <w:t xml:space="preserve"> </w:t>
            </w:r>
            <w:r w:rsidRPr="007B0FE1">
              <w:t>estrategias para reducir el monto de morosidad en la cartera de crédito</w:t>
            </w:r>
            <w:r>
              <w:t xml:space="preserve"> y evaluar su impacto.</w:t>
            </w:r>
          </w:p>
        </w:tc>
        <w:tc>
          <w:tcPr>
            <w:tcW w:w="4472" w:type="dxa"/>
          </w:tcPr>
          <w:p w14:paraId="47C21BFC" w14:textId="3EFDFA54" w:rsidR="0095566D" w:rsidRDefault="0095566D" w:rsidP="0095566D">
            <w:pPr>
              <w:pStyle w:val="TextoPrincipal"/>
              <w:spacing w:line="360" w:lineRule="auto"/>
              <w:ind w:firstLine="0"/>
            </w:pPr>
            <w:r>
              <w:t>Sugerir el desarrollo de</w:t>
            </w:r>
            <w:r w:rsidRPr="000C0959">
              <w:t xml:space="preserve"> planes de acción específicos basados en el análisis de la cartera de crédito y realizar seguimientos periódicos de su impacto.</w:t>
            </w:r>
          </w:p>
        </w:tc>
      </w:tr>
      <w:tr w:rsidR="0095566D" w14:paraId="6C506D1E" w14:textId="77777777" w:rsidTr="0028247A">
        <w:trPr>
          <w:jc w:val="center"/>
        </w:trPr>
        <w:tc>
          <w:tcPr>
            <w:tcW w:w="486" w:type="dxa"/>
          </w:tcPr>
          <w:p w14:paraId="757CFD25" w14:textId="6CC4AECE" w:rsidR="0095566D" w:rsidRDefault="00144583" w:rsidP="0095566D">
            <w:pPr>
              <w:pStyle w:val="TextoPrincipal"/>
              <w:spacing w:line="360" w:lineRule="auto"/>
              <w:ind w:firstLine="0"/>
              <w:jc w:val="center"/>
            </w:pPr>
            <w:r>
              <w:t>3</w:t>
            </w:r>
          </w:p>
        </w:tc>
        <w:tc>
          <w:tcPr>
            <w:tcW w:w="4392" w:type="dxa"/>
          </w:tcPr>
          <w:p w14:paraId="783C4908" w14:textId="4F142E64" w:rsidR="0095566D" w:rsidRDefault="00BC6D70" w:rsidP="0095566D">
            <w:pPr>
              <w:pStyle w:val="TextoPrincipal"/>
              <w:spacing w:line="360" w:lineRule="auto"/>
              <w:ind w:firstLine="0"/>
            </w:pPr>
            <w:r>
              <w:t>P</w:t>
            </w:r>
            <w:r w:rsidR="0095566D">
              <w:t xml:space="preserve">roponer una restructuración en </w:t>
            </w:r>
            <w:r w:rsidR="00D14200">
              <w:t>el organigrama</w:t>
            </w:r>
            <w:r>
              <w:t xml:space="preserve"> del </w:t>
            </w:r>
            <w:r w:rsidR="0095566D">
              <w:t>departamento de cobros.</w:t>
            </w:r>
          </w:p>
        </w:tc>
        <w:tc>
          <w:tcPr>
            <w:tcW w:w="4472" w:type="dxa"/>
          </w:tcPr>
          <w:p w14:paraId="3BCAC0BA" w14:textId="5A0A7BD4" w:rsidR="0095566D" w:rsidRDefault="00BC6D70" w:rsidP="0095566D">
            <w:pPr>
              <w:pStyle w:val="TextoPrincipal"/>
              <w:spacing w:line="360" w:lineRule="auto"/>
              <w:ind w:firstLine="0"/>
            </w:pPr>
            <w:r>
              <w:t>Mediante la reingeniería en el organigrama interno del departamento.</w:t>
            </w:r>
          </w:p>
        </w:tc>
      </w:tr>
      <w:tr w:rsidR="0095566D" w14:paraId="6610887D" w14:textId="77777777" w:rsidTr="0028247A">
        <w:trPr>
          <w:jc w:val="center"/>
        </w:trPr>
        <w:tc>
          <w:tcPr>
            <w:tcW w:w="486" w:type="dxa"/>
          </w:tcPr>
          <w:p w14:paraId="15D7C8E9" w14:textId="6A9ECAEE" w:rsidR="0095566D" w:rsidRDefault="00144583" w:rsidP="0095566D">
            <w:pPr>
              <w:pStyle w:val="TextoPrincipal"/>
              <w:spacing w:line="360" w:lineRule="auto"/>
              <w:ind w:firstLine="0"/>
              <w:jc w:val="center"/>
            </w:pPr>
            <w:r>
              <w:t>4</w:t>
            </w:r>
          </w:p>
        </w:tc>
        <w:tc>
          <w:tcPr>
            <w:tcW w:w="4392" w:type="dxa"/>
          </w:tcPr>
          <w:p w14:paraId="3A3F00ED" w14:textId="30CF545F" w:rsidR="0095566D" w:rsidRDefault="00A854C7" w:rsidP="0095566D">
            <w:pPr>
              <w:pStyle w:val="TextoPrincipal"/>
              <w:spacing w:line="360" w:lineRule="auto"/>
              <w:ind w:firstLine="0"/>
            </w:pPr>
            <w:r>
              <w:t>Establecer parámetros de medición para los indicadores de cartera.</w:t>
            </w:r>
          </w:p>
        </w:tc>
        <w:tc>
          <w:tcPr>
            <w:tcW w:w="4472" w:type="dxa"/>
          </w:tcPr>
          <w:p w14:paraId="1E1350D4" w14:textId="2D8A7B4B" w:rsidR="0095566D" w:rsidRDefault="00A854C7" w:rsidP="0095566D">
            <w:pPr>
              <w:pStyle w:val="TextoPrincipal"/>
              <w:spacing w:line="360" w:lineRule="auto"/>
              <w:ind w:firstLine="0"/>
            </w:pPr>
            <w:r>
              <w:t>Se realizará una matriz de alertas tempranas donde se puedan visualizar los límites a través de riesgos bajos, medios y altos.</w:t>
            </w:r>
          </w:p>
        </w:tc>
      </w:tr>
      <w:tr w:rsidR="00144583" w14:paraId="14AD1509" w14:textId="77777777" w:rsidTr="0028247A">
        <w:trPr>
          <w:jc w:val="center"/>
        </w:trPr>
        <w:tc>
          <w:tcPr>
            <w:tcW w:w="486" w:type="dxa"/>
          </w:tcPr>
          <w:p w14:paraId="3BAE3BAC" w14:textId="19AFBC9D" w:rsidR="00144583" w:rsidRDefault="00144583" w:rsidP="00144583">
            <w:pPr>
              <w:pStyle w:val="TextoPrincipal"/>
              <w:spacing w:line="360" w:lineRule="auto"/>
              <w:ind w:firstLine="0"/>
              <w:jc w:val="center"/>
            </w:pPr>
            <w:r>
              <w:t>5</w:t>
            </w:r>
          </w:p>
        </w:tc>
        <w:tc>
          <w:tcPr>
            <w:tcW w:w="4392" w:type="dxa"/>
          </w:tcPr>
          <w:p w14:paraId="2634183E" w14:textId="6AE786AC" w:rsidR="00144583" w:rsidRPr="007B0FE1" w:rsidRDefault="00144583" w:rsidP="00144583">
            <w:pPr>
              <w:pStyle w:val="TextoPrincipal"/>
              <w:spacing w:line="360" w:lineRule="auto"/>
              <w:ind w:firstLine="0"/>
            </w:pPr>
            <w:r w:rsidRPr="007B0FE1">
              <w:t>Mejora</w:t>
            </w:r>
            <w:r>
              <w:t>r</w:t>
            </w:r>
            <w:r w:rsidRPr="007B0FE1">
              <w:t xml:space="preserve"> la salud financiera</w:t>
            </w:r>
            <w:r>
              <w:t xml:space="preserve"> de </w:t>
            </w:r>
            <w:r w:rsidRPr="007B0FE1">
              <w:t xml:space="preserve">la Microfinanciera </w:t>
            </w:r>
            <w:r w:rsidR="00E5074B">
              <w:t>“XYZ”</w:t>
            </w:r>
            <w:r>
              <w:t>.</w:t>
            </w:r>
          </w:p>
        </w:tc>
        <w:tc>
          <w:tcPr>
            <w:tcW w:w="4472" w:type="dxa"/>
          </w:tcPr>
          <w:p w14:paraId="3792C56F" w14:textId="0BA024C8" w:rsidR="00144583" w:rsidRDefault="00144583" w:rsidP="00144583">
            <w:pPr>
              <w:pStyle w:val="TextoPrincipal"/>
              <w:spacing w:line="360" w:lineRule="auto"/>
              <w:ind w:firstLine="0"/>
            </w:pPr>
            <w:r>
              <w:t>Optimizando los indicadores de rentabilidad y liquidez, aplicando estrategias de venta de cartera en castigo.</w:t>
            </w:r>
          </w:p>
        </w:tc>
      </w:tr>
    </w:tbl>
    <w:p w14:paraId="484E0232" w14:textId="41A76DC3" w:rsidR="00CE2A6F" w:rsidRDefault="007343D8" w:rsidP="007343D8">
      <w:pPr>
        <w:pStyle w:val="TextoPrincipal"/>
        <w:spacing w:line="360" w:lineRule="auto"/>
      </w:pPr>
      <w:r>
        <w:t>Fuente: Elaboración propia.</w:t>
      </w:r>
    </w:p>
    <w:p w14:paraId="0D107CF4" w14:textId="5AD692DA" w:rsidR="000E2A5D" w:rsidRPr="00804083" w:rsidRDefault="00F10633" w:rsidP="00F10633">
      <w:pPr>
        <w:pStyle w:val="Ttulo3"/>
        <w:spacing w:line="360" w:lineRule="auto"/>
        <w:ind w:left="0" w:firstLine="720"/>
      </w:pPr>
      <w:bookmarkStart w:id="384" w:name="_Toc166705847"/>
      <w:bookmarkStart w:id="385" w:name="_Toc175171470"/>
      <w:r>
        <w:lastRenderedPageBreak/>
        <w:t xml:space="preserve">6.4.2. </w:t>
      </w:r>
      <w:r w:rsidR="00A871DB" w:rsidRPr="00804083">
        <w:t>DESARROLLO</w:t>
      </w:r>
      <w:r>
        <w:t xml:space="preserve"> DE TODOS LOS ELEMENTOS NECESARIOS</w:t>
      </w:r>
      <w:bookmarkEnd w:id="384"/>
      <w:bookmarkEnd w:id="385"/>
    </w:p>
    <w:p w14:paraId="7C361091" w14:textId="0F6EABAC" w:rsidR="008214BD" w:rsidRDefault="008214BD" w:rsidP="008214BD">
      <w:pPr>
        <w:pStyle w:val="Ttulo4"/>
        <w:spacing w:line="360" w:lineRule="auto"/>
        <w:ind w:left="0" w:firstLine="1440"/>
        <w:jc w:val="both"/>
      </w:pPr>
      <w:bookmarkStart w:id="386" w:name="_Toc175171471"/>
      <w:r>
        <w:t>6.4.2.1. REDUCIR EL MONTO TOTAL DE MOROSIDAD &gt;</w:t>
      </w:r>
      <w:r w:rsidR="00702AB5">
        <w:t>3</w:t>
      </w:r>
      <w:r>
        <w:t xml:space="preserve">0 DÍAS EN LA CARTERA DE CRÉDITO DE LA MICROFINANCIERA </w:t>
      </w:r>
      <w:r w:rsidR="00E5074B">
        <w:t>“XYZ”</w:t>
      </w:r>
      <w:r>
        <w:t>.</w:t>
      </w:r>
      <w:bookmarkEnd w:id="386"/>
    </w:p>
    <w:p w14:paraId="3275DD87" w14:textId="24312AEA" w:rsidR="007E29FA" w:rsidRDefault="005C1989" w:rsidP="007E29FA">
      <w:pPr>
        <w:pStyle w:val="TextoPrincipal"/>
        <w:spacing w:line="360" w:lineRule="auto"/>
      </w:pPr>
      <w:r>
        <w:t>La presentación de una</w:t>
      </w:r>
      <w:r w:rsidR="007E29FA" w:rsidRPr="007E29FA">
        <w:t xml:space="preserve"> solicitud por parte de </w:t>
      </w:r>
      <w:r>
        <w:t xml:space="preserve">la </w:t>
      </w:r>
      <w:r w:rsidR="007E29FA" w:rsidRPr="007E29FA">
        <w:t>IMF ante la Comisión Nacional de Bancos y Seguros (CNBS)</w:t>
      </w:r>
      <w:r w:rsidR="00060B58">
        <w:t>,</w:t>
      </w:r>
      <w:r w:rsidR="007E29FA" w:rsidRPr="007E29FA">
        <w:t xml:space="preserve"> </w:t>
      </w:r>
      <w:r w:rsidR="0063543C">
        <w:t>expondría una petición de</w:t>
      </w:r>
      <w:r w:rsidR="007E29FA" w:rsidRPr="007E29FA">
        <w:t xml:space="preserve"> </w:t>
      </w:r>
      <w:r w:rsidR="00B36051">
        <w:t xml:space="preserve">excepción de </w:t>
      </w:r>
      <w:r w:rsidR="007E29FA" w:rsidRPr="007E29FA">
        <w:t>castigo por L 108.</w:t>
      </w:r>
      <w:r w:rsidR="0029033E">
        <w:t>1</w:t>
      </w:r>
      <w:r w:rsidR="007E29FA" w:rsidRPr="007E29FA">
        <w:t xml:space="preserve"> MM</w:t>
      </w:r>
      <w:r w:rsidR="00C26C53">
        <w:t xml:space="preserve">, valor que excede el 2% del indicador </w:t>
      </w:r>
      <w:r w:rsidR="0063543C">
        <w:t>establecido</w:t>
      </w:r>
      <w:r w:rsidR="00C26C53">
        <w:t xml:space="preserve"> por el ente regulador p</w:t>
      </w:r>
      <w:r w:rsidR="00CF1180">
        <w:t>ara</w:t>
      </w:r>
      <w:r w:rsidR="007E29FA" w:rsidRPr="007E29FA">
        <w:t xml:space="preserve"> préstamos con estatus de incobrabilidad, </w:t>
      </w:r>
      <w:r w:rsidR="00060B58">
        <w:t>esto</w:t>
      </w:r>
      <w:r w:rsidR="00773DED">
        <w:t xml:space="preserve"> reduciría</w:t>
      </w:r>
      <w:r w:rsidR="007E29FA" w:rsidRPr="007E29FA">
        <w:t xml:space="preserve"> la mora en la cartera de crédito hasta en un 24</w:t>
      </w:r>
      <w:r w:rsidR="0034138C">
        <w:t>.1</w:t>
      </w:r>
      <w:r w:rsidR="007E29FA" w:rsidRPr="007E29FA">
        <w:t xml:space="preserve">%, lo </w:t>
      </w:r>
      <w:r w:rsidR="0063543C">
        <w:t>cual beneficiaría</w:t>
      </w:r>
      <w:r w:rsidR="007E29FA" w:rsidRPr="007E29FA">
        <w:t xml:space="preserve"> a la institución</w:t>
      </w:r>
      <w:r w:rsidR="0063543C">
        <w:t xml:space="preserve"> para</w:t>
      </w:r>
      <w:r w:rsidR="007E29FA" w:rsidRPr="007E29FA">
        <w:t xml:space="preserve"> </w:t>
      </w:r>
      <w:r w:rsidR="001B22DF">
        <w:t>minimizar</w:t>
      </w:r>
      <w:r w:rsidR="007E29FA" w:rsidRPr="007E29FA">
        <w:t xml:space="preserve"> significativamente sus reservas para créditos de dudosa recuperación y por ende sus pérdidas.</w:t>
      </w:r>
    </w:p>
    <w:p w14:paraId="11E4D1C5" w14:textId="06EA17E6" w:rsidR="005E6CAA" w:rsidRDefault="00060B58" w:rsidP="007E29FA">
      <w:pPr>
        <w:pStyle w:val="TextoPrincipal"/>
        <w:spacing w:line="360" w:lineRule="auto"/>
      </w:pPr>
      <w:r>
        <w:t>Es</w:t>
      </w:r>
      <w:r w:rsidR="005E6CAA">
        <w:t xml:space="preserve">ta solicitud deberá cumplir con las exigencias presentadas por la CNBS </w:t>
      </w:r>
      <w:r>
        <w:t xml:space="preserve">en su normativa de </w:t>
      </w:r>
      <w:r w:rsidRPr="00060B58">
        <w:t>Castigo Contable sobre el Saldo de los Créditos en Mora</w:t>
      </w:r>
      <w:r>
        <w:t xml:space="preserve">, </w:t>
      </w:r>
      <w:r w:rsidR="005E6CAA">
        <w:t>las cuales se exponen a continuación:</w:t>
      </w:r>
    </w:p>
    <w:p w14:paraId="783BE219" w14:textId="77777777" w:rsidR="005E6CAA" w:rsidRDefault="005E6CAA" w:rsidP="005C1989">
      <w:pPr>
        <w:pStyle w:val="TextoPrincipal"/>
        <w:spacing w:line="240" w:lineRule="auto"/>
        <w:ind w:left="720" w:firstLine="0"/>
        <w:rPr>
          <w:sz w:val="22"/>
          <w:szCs w:val="22"/>
        </w:rPr>
      </w:pPr>
      <w:r w:rsidRPr="005E6CAA">
        <w:rPr>
          <w:sz w:val="22"/>
          <w:szCs w:val="22"/>
        </w:rPr>
        <w:t>a) Aprobación de la Junta Directiva, Consejo de Administración u órgano que haga sus</w:t>
      </w:r>
      <w:r>
        <w:rPr>
          <w:sz w:val="22"/>
          <w:szCs w:val="22"/>
        </w:rPr>
        <w:t xml:space="preserve"> </w:t>
      </w:r>
      <w:r w:rsidRPr="005E6CAA">
        <w:rPr>
          <w:sz w:val="22"/>
          <w:szCs w:val="22"/>
        </w:rPr>
        <w:t>veces.</w:t>
      </w:r>
    </w:p>
    <w:p w14:paraId="6E85805B" w14:textId="77777777" w:rsidR="00FA3751" w:rsidRDefault="005E6CAA" w:rsidP="005C1989">
      <w:pPr>
        <w:pStyle w:val="TextoPrincipal"/>
        <w:spacing w:line="240" w:lineRule="auto"/>
        <w:ind w:left="720" w:firstLine="0"/>
        <w:rPr>
          <w:sz w:val="22"/>
          <w:szCs w:val="22"/>
        </w:rPr>
      </w:pPr>
      <w:r w:rsidRPr="005E6CAA">
        <w:rPr>
          <w:sz w:val="22"/>
          <w:szCs w:val="22"/>
        </w:rPr>
        <w:t>b) Comprobación de incobrabilidad.</w:t>
      </w:r>
    </w:p>
    <w:p w14:paraId="7392B830" w14:textId="434CA5E8" w:rsidR="005E6CAA" w:rsidRPr="005E6CAA" w:rsidRDefault="005E6CAA" w:rsidP="005C1989">
      <w:pPr>
        <w:pStyle w:val="TextoPrincipal"/>
        <w:spacing w:line="240" w:lineRule="auto"/>
        <w:ind w:left="720" w:firstLine="0"/>
        <w:rPr>
          <w:sz w:val="22"/>
          <w:szCs w:val="22"/>
        </w:rPr>
      </w:pPr>
      <w:r w:rsidRPr="005E6CAA">
        <w:rPr>
          <w:sz w:val="22"/>
          <w:szCs w:val="22"/>
        </w:rPr>
        <w:t>c) Constituir o tener constituido el cien por</w:t>
      </w:r>
      <w:r>
        <w:rPr>
          <w:sz w:val="22"/>
          <w:szCs w:val="22"/>
        </w:rPr>
        <w:t xml:space="preserve"> </w:t>
      </w:r>
      <w:r w:rsidRPr="005E6CAA">
        <w:rPr>
          <w:sz w:val="22"/>
          <w:szCs w:val="22"/>
        </w:rPr>
        <w:t xml:space="preserve">ciento (100%) de las estimaciones por deterioro para los créditos que serán castigados </w:t>
      </w:r>
      <w:r w:rsidRPr="007061A2">
        <w:rPr>
          <w:sz w:val="22"/>
          <w:szCs w:val="22"/>
        </w:rPr>
        <w:fldChar w:fldCharType="begin"/>
      </w:r>
      <w:r w:rsidRPr="007061A2">
        <w:rPr>
          <w:sz w:val="22"/>
          <w:szCs w:val="22"/>
        </w:rPr>
        <w:instrText xml:space="preserve"> ADDIN ZOTERO_ITEM CSL_CITATION {"citationID":"Fq7iJihG","properties":{"formattedCitation":"(CNBS, 2022, p. 23)","plainCitation":"(CNBS, 2022, p. 23)","noteIndex":0},"citationItems":[{"id":73,"uris":["http://zotero.org/users/13562074/items/T8CHM8XC"],"itemData":{"id":73,"type":"document","language":"es","title":"Circular CNBS No.003/2022","author":[{"family":"CNBS","given":""}],"issued":{"date-parts":[["2022",3,29]]}},"locator":"23","label":"page"}],"schema":"https://github.com/citation-style-language/schema/raw/master/csl-citation.json"} </w:instrText>
      </w:r>
      <w:r w:rsidRPr="007061A2">
        <w:rPr>
          <w:sz w:val="22"/>
          <w:szCs w:val="22"/>
        </w:rPr>
        <w:fldChar w:fldCharType="separate"/>
      </w:r>
      <w:r w:rsidRPr="007061A2">
        <w:rPr>
          <w:sz w:val="22"/>
          <w:szCs w:val="22"/>
        </w:rPr>
        <w:t>(CNBS, 2022, p. 23)</w:t>
      </w:r>
      <w:r w:rsidRPr="007061A2">
        <w:rPr>
          <w:sz w:val="22"/>
          <w:szCs w:val="22"/>
        </w:rPr>
        <w:fldChar w:fldCharType="end"/>
      </w:r>
      <w:r w:rsidRPr="007061A2">
        <w:rPr>
          <w:sz w:val="22"/>
          <w:szCs w:val="22"/>
        </w:rPr>
        <w:t>.</w:t>
      </w:r>
    </w:p>
    <w:p w14:paraId="71081D47" w14:textId="17C02A76" w:rsidR="007E29FA" w:rsidRDefault="007E29FA" w:rsidP="007E29FA">
      <w:pPr>
        <w:pStyle w:val="TextoPrincipal"/>
        <w:spacing w:line="360" w:lineRule="auto"/>
      </w:pPr>
      <w:r>
        <w:t xml:space="preserve">Para reducir el monto e indicador de mora mayor a </w:t>
      </w:r>
      <w:r w:rsidR="006B276F">
        <w:t>3</w:t>
      </w:r>
      <w:r>
        <w:t xml:space="preserve">0 días en la cartera de crédito de la Microfinanciera </w:t>
      </w:r>
      <w:r w:rsidR="00E5074B">
        <w:t>“XYZ”</w:t>
      </w:r>
      <w:r>
        <w:t>,</w:t>
      </w:r>
      <w:r w:rsidR="00D14AF5">
        <w:t xml:space="preserve"> se realizó </w:t>
      </w:r>
      <w:r w:rsidR="007061A2">
        <w:t xml:space="preserve">un </w:t>
      </w:r>
      <w:r>
        <w:t>análisis</w:t>
      </w:r>
      <w:r w:rsidR="00D14AF5">
        <w:t xml:space="preserve"> </w:t>
      </w:r>
      <w:r>
        <w:t xml:space="preserve">de la cartera </w:t>
      </w:r>
      <w:r w:rsidR="00D14AF5">
        <w:t>y d</w:t>
      </w:r>
      <w:r>
        <w:t>e los clientes con morosidad mayor a ese período de tiempo</w:t>
      </w:r>
      <w:r w:rsidR="00D14AF5">
        <w:t xml:space="preserve"> haciendo referencia a lo desarrollado en el capítulo IV</w:t>
      </w:r>
      <w:r>
        <w:t>. Esto implic</w:t>
      </w:r>
      <w:r w:rsidR="00C93649">
        <w:t>ó</w:t>
      </w:r>
      <w:r>
        <w:t xml:space="preserve"> identificar las causas principales de la morosidad, como problemas económicos de los clientes, deficiencias en la evaluación de riesgos crediticios o insuficiencias en los procesos de seguimiento y cobranza. Además, se </w:t>
      </w:r>
      <w:r w:rsidR="00C93649">
        <w:t>requirió</w:t>
      </w:r>
      <w:r>
        <w:t xml:space="preserve"> </w:t>
      </w:r>
      <w:r w:rsidR="00C93649">
        <w:t>d</w:t>
      </w:r>
      <w:r>
        <w:t>el diseño e implementación de estrategias específicas que abord</w:t>
      </w:r>
      <w:r w:rsidR="00C93649">
        <w:t>aron</w:t>
      </w:r>
      <w:r>
        <w:t xml:space="preserve"> estas causas de manera efectiva, como mejorar los criterios de otorgamiento de crédito, fortalecer los mecanismos de seguimiento y comunicación con los clientes morosos, ofrecer opciones de refinanciamiento o reestructuración de deudas, y optimizar los procedimientos de cobranza para agilizar la recuperación de pagos vencidos.</w:t>
      </w:r>
    </w:p>
    <w:p w14:paraId="7EB7C96C" w14:textId="1139D40D" w:rsidR="00702AB5" w:rsidRDefault="007E29FA" w:rsidP="007E29FA">
      <w:pPr>
        <w:pStyle w:val="TextoPrincipal"/>
        <w:spacing w:line="360" w:lineRule="auto"/>
      </w:pPr>
      <w:r>
        <w:t>Asimismo</w:t>
      </w:r>
      <w:r w:rsidR="007D247E">
        <w:t>, e</w:t>
      </w:r>
      <w:r>
        <w:t xml:space="preserve">sto implica </w:t>
      </w:r>
      <w:r w:rsidR="00783B55">
        <w:t>fortalecer</w:t>
      </w:r>
      <w:r>
        <w:t xml:space="preserve"> indicadores de gestión claros y medibles, como la tasa de morosidad, el tiempo promedio de recuperación de pagos vencidos y la eficiencia de los procesos de cobranza. Además, se debe capacitar al personal en técnicas efectivas de negociación y gestión de conflictos para mejorar la comunicación con los clientes morosos y facilitar la recuperación de los montos pendientes.</w:t>
      </w:r>
    </w:p>
    <w:p w14:paraId="6E671708" w14:textId="4428958A" w:rsidR="004851AF" w:rsidRDefault="004851AF" w:rsidP="004851AF">
      <w:pPr>
        <w:pStyle w:val="TextoPrincipal"/>
        <w:spacing w:line="360" w:lineRule="auto"/>
        <w:jc w:val="center"/>
      </w:pPr>
      <w:r>
        <w:rPr>
          <w:noProof/>
        </w:rPr>
        <w:lastRenderedPageBreak/>
        <w:drawing>
          <wp:inline distT="0" distB="0" distL="0" distR="0" wp14:anchorId="1C2FF075" wp14:editId="5DE3273E">
            <wp:extent cx="5075555" cy="2581275"/>
            <wp:effectExtent l="0" t="0" r="0" b="9525"/>
            <wp:docPr id="1625499696"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7" cstate="print">
                      <a:extLst>
                        <a:ext uri="{28A0092B-C50C-407E-A947-70E740481C1C}">
                          <a14:useLocalDpi xmlns:a14="http://schemas.microsoft.com/office/drawing/2010/main" val="0"/>
                        </a:ext>
                      </a:extLst>
                    </a:blip>
                    <a:srcRect/>
                    <a:stretch>
                      <a:fillRect/>
                    </a:stretch>
                  </pic:blipFill>
                  <pic:spPr bwMode="auto">
                    <a:xfrm>
                      <a:off x="0" y="0"/>
                      <a:ext cx="5076004" cy="2581503"/>
                    </a:xfrm>
                    <a:prstGeom prst="rect">
                      <a:avLst/>
                    </a:prstGeom>
                    <a:noFill/>
                  </pic:spPr>
                </pic:pic>
              </a:graphicData>
            </a:graphic>
          </wp:inline>
        </w:drawing>
      </w:r>
    </w:p>
    <w:p w14:paraId="1093041E" w14:textId="44FF1A1B" w:rsidR="007D07D2" w:rsidRDefault="00686487" w:rsidP="000C40F8">
      <w:pPr>
        <w:pStyle w:val="TextoPrincipal"/>
        <w:spacing w:after="0" w:line="240" w:lineRule="auto"/>
      </w:pPr>
      <w:r>
        <w:t>Figura 1</w:t>
      </w:r>
      <w:r w:rsidR="00E17687">
        <w:t>9</w:t>
      </w:r>
      <w:r>
        <w:t xml:space="preserve">. Diagrama de escenario 1 para reducción de mora. </w:t>
      </w:r>
    </w:p>
    <w:p w14:paraId="2A580184" w14:textId="79C18833" w:rsidR="00B87EB5" w:rsidRDefault="00686487" w:rsidP="000C40F8">
      <w:pPr>
        <w:pStyle w:val="TextoPrincipal"/>
        <w:spacing w:after="0" w:line="240" w:lineRule="auto"/>
      </w:pPr>
      <w:r w:rsidRPr="007D07D2">
        <w:t xml:space="preserve">Fuente: Elaboración </w:t>
      </w:r>
      <w:r>
        <w:t>propia.</w:t>
      </w:r>
    </w:p>
    <w:p w14:paraId="7CC09079" w14:textId="3A74FD25" w:rsidR="004851AF" w:rsidRDefault="004851AF" w:rsidP="004851AF">
      <w:pPr>
        <w:pStyle w:val="TextoPrincipal"/>
        <w:spacing w:line="360" w:lineRule="auto"/>
        <w:jc w:val="center"/>
      </w:pPr>
      <w:r>
        <w:rPr>
          <w:noProof/>
        </w:rPr>
        <w:drawing>
          <wp:inline distT="0" distB="0" distL="0" distR="0" wp14:anchorId="20B60ED1" wp14:editId="19A62464">
            <wp:extent cx="5075555" cy="2895600"/>
            <wp:effectExtent l="0" t="0" r="0" b="0"/>
            <wp:docPr id="1849645325"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8" cstate="print">
                      <a:extLst>
                        <a:ext uri="{28A0092B-C50C-407E-A947-70E740481C1C}">
                          <a14:useLocalDpi xmlns:a14="http://schemas.microsoft.com/office/drawing/2010/main" val="0"/>
                        </a:ext>
                      </a:extLst>
                    </a:blip>
                    <a:srcRect/>
                    <a:stretch>
                      <a:fillRect/>
                    </a:stretch>
                  </pic:blipFill>
                  <pic:spPr bwMode="auto">
                    <a:xfrm>
                      <a:off x="0" y="0"/>
                      <a:ext cx="5076013" cy="2895861"/>
                    </a:xfrm>
                    <a:prstGeom prst="rect">
                      <a:avLst/>
                    </a:prstGeom>
                    <a:noFill/>
                  </pic:spPr>
                </pic:pic>
              </a:graphicData>
            </a:graphic>
          </wp:inline>
        </w:drawing>
      </w:r>
    </w:p>
    <w:p w14:paraId="31328267" w14:textId="57373207" w:rsidR="007D07D2" w:rsidRDefault="00B711DF" w:rsidP="000C40F8">
      <w:pPr>
        <w:pStyle w:val="TextoPrincipal"/>
        <w:spacing w:after="0" w:line="240" w:lineRule="auto"/>
      </w:pPr>
      <w:r>
        <w:t xml:space="preserve">Figura </w:t>
      </w:r>
      <w:r w:rsidR="00E17687">
        <w:t>20</w:t>
      </w:r>
      <w:r>
        <w:t>. Diagrama de escenario 2 para reducción de mora.</w:t>
      </w:r>
    </w:p>
    <w:p w14:paraId="0D8D4938" w14:textId="71A0643E" w:rsidR="00B711DF" w:rsidRDefault="00B711DF" w:rsidP="000C40F8">
      <w:pPr>
        <w:pStyle w:val="TextoPrincipal"/>
        <w:spacing w:after="0" w:line="240" w:lineRule="auto"/>
      </w:pPr>
      <w:r w:rsidRPr="007D07D2">
        <w:t xml:space="preserve">Fuente: Elaboración </w:t>
      </w:r>
      <w:r>
        <w:t>propia.</w:t>
      </w:r>
    </w:p>
    <w:p w14:paraId="7454A6A6" w14:textId="77777777" w:rsidR="00B87EB5" w:rsidRDefault="00B87EB5" w:rsidP="00B711DF">
      <w:pPr>
        <w:pStyle w:val="TextoPrincipal"/>
        <w:spacing w:line="360" w:lineRule="auto"/>
      </w:pPr>
    </w:p>
    <w:p w14:paraId="2836F183" w14:textId="15CEBDE3" w:rsidR="00702AB5" w:rsidRDefault="00B87EB5" w:rsidP="00413740">
      <w:pPr>
        <w:pStyle w:val="TextoPrincipal"/>
        <w:spacing w:line="360" w:lineRule="auto"/>
      </w:pPr>
      <w:r w:rsidRPr="00B87EB5">
        <w:t xml:space="preserve">En el </w:t>
      </w:r>
      <w:r>
        <w:t>e</w:t>
      </w:r>
      <w:r w:rsidRPr="00B87EB5">
        <w:t>scenario 1, aplicando un 2% de penalización sobre créditos incobrables, se espera una reducción de la mora del 28% al 26% al cierre de 2024 con un c</w:t>
      </w:r>
      <w:r>
        <w:t>astigo</w:t>
      </w:r>
      <w:r w:rsidRPr="00B87EB5">
        <w:t xml:space="preserve"> de aproximadamente L 7.0 millones. En contraste, el </w:t>
      </w:r>
      <w:r>
        <w:t>e</w:t>
      </w:r>
      <w:r w:rsidRPr="00B87EB5">
        <w:t>scenario 2, que contempla un</w:t>
      </w:r>
      <w:r>
        <w:t xml:space="preserve"> castigo de créditos incobrables</w:t>
      </w:r>
      <w:r w:rsidRPr="00B87EB5">
        <w:t xml:space="preserve"> superior al 2% con autorización de la CNBS, proyecta una disminución significativa de la mora</w:t>
      </w:r>
      <w:r>
        <w:t>,</w:t>
      </w:r>
      <w:r w:rsidRPr="00B87EB5">
        <w:t xml:space="preserve"> </w:t>
      </w:r>
      <w:r>
        <w:t xml:space="preserve">pasando </w:t>
      </w:r>
      <w:r w:rsidRPr="00B87EB5">
        <w:t xml:space="preserve">del 28% al 3.9%, </w:t>
      </w:r>
      <w:r>
        <w:t xml:space="preserve">esto mediante el castigo </w:t>
      </w:r>
      <w:r w:rsidRPr="00B87EB5">
        <w:t>de aproximadamente L 108.1 millones.</w:t>
      </w:r>
    </w:p>
    <w:p w14:paraId="0B6C9BEF" w14:textId="088124C1" w:rsidR="00CF3E8D" w:rsidRDefault="00CF3E8D" w:rsidP="00413740">
      <w:pPr>
        <w:pStyle w:val="TextoPrincipal"/>
        <w:spacing w:line="360" w:lineRule="auto"/>
      </w:pPr>
      <w:r>
        <w:lastRenderedPageBreak/>
        <w:t xml:space="preserve">Dentro de las ventajas de la aplicación de esta propuesta en el escenario 2, encontramos que el indicador de morosidad disminuiría por debajo del 5% el cual es el límite establecido por la CNBS. Esto permitirá que la empresa pueda acceder a fondos de financiamiento con mayores beneficios en tasas de interés </w:t>
      </w:r>
      <w:r w:rsidR="00C96C0A">
        <w:t>y,</w:t>
      </w:r>
      <w:r>
        <w:t xml:space="preserve"> por ende, aumentar la cantidad de recursos financieros p</w:t>
      </w:r>
      <w:r w:rsidR="007022B4">
        <w:t>rovenientes de la</w:t>
      </w:r>
      <w:r>
        <w:t xml:space="preserve"> diversificación en su cartera</w:t>
      </w:r>
      <w:r w:rsidR="007022B4">
        <w:t xml:space="preserve"> de fondeadores</w:t>
      </w:r>
      <w:r w:rsidR="009E1550">
        <w:t>.</w:t>
      </w:r>
    </w:p>
    <w:p w14:paraId="26385686" w14:textId="77777777" w:rsidR="007E29FA" w:rsidRDefault="007E29FA" w:rsidP="007E29FA">
      <w:pPr>
        <w:pStyle w:val="TextoPrincipal"/>
        <w:spacing w:line="360" w:lineRule="auto"/>
      </w:pPr>
    </w:p>
    <w:p w14:paraId="41268795" w14:textId="55F8FF06" w:rsidR="008214BD" w:rsidRDefault="008214BD" w:rsidP="008214BD">
      <w:pPr>
        <w:pStyle w:val="Ttulo4"/>
        <w:spacing w:line="360" w:lineRule="auto"/>
        <w:ind w:left="0" w:firstLine="1440"/>
        <w:jc w:val="both"/>
      </w:pPr>
      <w:bookmarkStart w:id="387" w:name="_Toc175171472"/>
      <w:r>
        <w:t>6.4.2.</w:t>
      </w:r>
      <w:r w:rsidR="00144583">
        <w:t>2</w:t>
      </w:r>
      <w:r>
        <w:t>. IMPLEMENTAR ESTRATEGIAS PARA REDUCIR EL MONTO DE MOROSIDAD EN LA CARTERA DE CRÉDITO Y EVALUAR SU IMPACTO.</w:t>
      </w:r>
      <w:bookmarkEnd w:id="387"/>
    </w:p>
    <w:p w14:paraId="46E5F142" w14:textId="53FFA537" w:rsidR="007E29FA" w:rsidRDefault="007E29FA" w:rsidP="000D1A6E">
      <w:pPr>
        <w:pStyle w:val="TextoPrincipal"/>
        <w:spacing w:line="360" w:lineRule="auto"/>
      </w:pPr>
      <w:r>
        <w:t xml:space="preserve">Para implementar estrategias destinadas a reducir el monto de morosidad en la cartera de crédito de la Microfinanciera </w:t>
      </w:r>
      <w:r w:rsidR="00E5074B">
        <w:t>“XYZ”</w:t>
      </w:r>
      <w:r>
        <w:t xml:space="preserve"> y evaluar su impacto, se requiere un enfoque integral que abarque múltiples aspectos.</w:t>
      </w:r>
      <w:r w:rsidR="000D1A6E">
        <w:t xml:space="preserve"> S</w:t>
      </w:r>
      <w:r>
        <w:t>e deben desarrollar e implementar estrategias específicas dirigidas a abordar las causas fundamentales de la morosidad. Esto podría incluir la mejora de los procesos de evaluación crediticia para garantizar una selección más adecuada de los prestatarios, el diseño de programas de educación financiera para los clientes con dificultades de pago, la implementación de incentivos para el cumplimiento oportuno de los pagos, y la revisión de políticas de cobro y gestión de cartera.</w:t>
      </w:r>
    </w:p>
    <w:p w14:paraId="5AE404C9" w14:textId="00437545" w:rsidR="000D1A6E" w:rsidRDefault="000D1A6E" w:rsidP="000D1A6E">
      <w:pPr>
        <w:pStyle w:val="TextoPrincipal"/>
        <w:spacing w:line="360" w:lineRule="auto"/>
      </w:pPr>
      <w:r>
        <w:t>En este sentido a continuación, se presenta un desglose de estrategias que se recomienda implementar para un mejor desempeño y reducción de los indicadores de mora:</w:t>
      </w:r>
    </w:p>
    <w:p w14:paraId="0ED1F40A" w14:textId="4E6AAC54" w:rsidR="00154CF6" w:rsidRDefault="00154CF6" w:rsidP="00154CF6">
      <w:pPr>
        <w:pStyle w:val="TextoPrincipal"/>
        <w:spacing w:line="360" w:lineRule="auto"/>
      </w:pPr>
      <w:r>
        <w:t>1. Revisión y ajuste de políticas de crédito: Realizar una revisión periódica de las políticas de crédito para asegurarse de que sean adecuadas y efectivas en el contexto actual del mercado. Ajustar las políticas según el análisis de riesgo y el desempeño de la cartera de crédito. Esto puede incluir cambios en los términos y condiciones de los créditos, así como en los procedimientos de evaluación y aprobación.</w:t>
      </w:r>
    </w:p>
    <w:p w14:paraId="451E07E5" w14:textId="1533436D" w:rsidR="000D1A6E" w:rsidRDefault="00154CF6" w:rsidP="000D1A6E">
      <w:pPr>
        <w:pStyle w:val="TextoPrincipal"/>
        <w:spacing w:line="360" w:lineRule="auto"/>
      </w:pPr>
      <w:r>
        <w:t>2</w:t>
      </w:r>
      <w:r w:rsidR="000D1A6E">
        <w:t xml:space="preserve">. Mejora en la evaluación crediticia: Actualizar y mejorar los criterios de evaluación y aprobación de créditos incorporando herramientas de </w:t>
      </w:r>
      <w:r w:rsidR="00D51894">
        <w:t>calificación</w:t>
      </w:r>
      <w:r w:rsidR="000D1A6E">
        <w:t xml:space="preserve"> creditici</w:t>
      </w:r>
      <w:r w:rsidR="00D51894">
        <w:t>a</w:t>
      </w:r>
      <w:r w:rsidR="000D1A6E">
        <w:t xml:space="preserve"> avanzadas y análisis predictivo para evaluar la solvencia de los solicitantes de manera más precisa. Esta mejora en la evaluación inicial ayudará a reducir la concesión de créditos a individuos con alto riesgo de morosidad, disminuyendo así la probabilidad de impagos futuros.</w:t>
      </w:r>
    </w:p>
    <w:p w14:paraId="7301552E" w14:textId="58C83E93" w:rsidR="000D1A6E" w:rsidRDefault="00154CF6" w:rsidP="00154CF6">
      <w:pPr>
        <w:pStyle w:val="TextoPrincipal"/>
        <w:spacing w:line="360" w:lineRule="auto"/>
      </w:pPr>
      <w:r>
        <w:t>3</w:t>
      </w:r>
      <w:r w:rsidR="000D1A6E">
        <w:t xml:space="preserve">. Implementación de planes de reestructuración de deuda: Ofrecer opciones de </w:t>
      </w:r>
      <w:r w:rsidR="000D1A6E">
        <w:lastRenderedPageBreak/>
        <w:t>reestructuración de deuda para los deudores que enfrentan dificultades financieras. Esto puede incluir la extensión de plazos de pago, la reducción de las tasas de interés o la consolidación de deudas. Los planes de reestructuración deben diseñarse de manera que sean sostenibles tanto para el deudor como para la institución financiera, asegurando una recuperación gradual y constante del crédito.</w:t>
      </w:r>
    </w:p>
    <w:p w14:paraId="05890D72" w14:textId="66055DDE" w:rsidR="000D1A6E" w:rsidRDefault="00154CF6" w:rsidP="00154CF6">
      <w:pPr>
        <w:pStyle w:val="TextoPrincipal"/>
        <w:spacing w:line="360" w:lineRule="auto"/>
      </w:pPr>
      <w:r>
        <w:t>4</w:t>
      </w:r>
      <w:r w:rsidR="000D1A6E">
        <w:t xml:space="preserve">. </w:t>
      </w:r>
      <w:r>
        <w:t>Educación financiera para los deudores</w:t>
      </w:r>
      <w:r w:rsidR="000D1A6E">
        <w:t>:</w:t>
      </w:r>
      <w:r>
        <w:t xml:space="preserve"> </w:t>
      </w:r>
      <w:r w:rsidR="000D1A6E">
        <w:t>Desarrollar programas de educación financiera para ayudar a los deudores a gestionar mejor sus finanzas personales y cumplir con sus obligaciones crediticias. Estos programas pueden incluir talleres</w:t>
      </w:r>
      <w:r>
        <w:t xml:space="preserve"> y</w:t>
      </w:r>
      <w:r w:rsidR="000D1A6E">
        <w:t xml:space="preserve"> seminarios sobre presupuestos, ahorro, y planificación financiera. La educación financiera puede reducir la morosidad al empoderar a los deudores con el conocimiento necesario para tomar decisiones financieras informadas.</w:t>
      </w:r>
    </w:p>
    <w:p w14:paraId="333D18EF" w14:textId="68998FD5" w:rsidR="000D1A6E" w:rsidRDefault="002E46EC" w:rsidP="00154CF6">
      <w:pPr>
        <w:pStyle w:val="TextoPrincipal"/>
        <w:spacing w:line="360" w:lineRule="auto"/>
      </w:pPr>
      <w:r>
        <w:t>5</w:t>
      </w:r>
      <w:r w:rsidR="000D1A6E">
        <w:t xml:space="preserve">. </w:t>
      </w:r>
      <w:r>
        <w:t>Ejecución constante de a</w:t>
      </w:r>
      <w:r w:rsidR="00154CF6">
        <w:t>uditorías internas</w:t>
      </w:r>
      <w:r w:rsidR="000D1A6E">
        <w:t>:</w:t>
      </w:r>
      <w:r w:rsidR="00154CF6">
        <w:t xml:space="preserve"> </w:t>
      </w:r>
      <w:r w:rsidR="000D1A6E">
        <w:t xml:space="preserve">Realizar auditorías internas </w:t>
      </w:r>
      <w:r w:rsidR="00993681">
        <w:t>recurrentes</w:t>
      </w:r>
      <w:r w:rsidR="000D1A6E">
        <w:t xml:space="preserve"> de la cartera de crédito para asegurar el cumplimiento de las políticas y procedimientos establecidos. Las auditorías ayuda</w:t>
      </w:r>
      <w:r w:rsidR="00D62057">
        <w:t>rán</w:t>
      </w:r>
      <w:r w:rsidR="000D1A6E">
        <w:t xml:space="preserve"> a identificar posibles irregularidades y áreas de mejora, garantizando que las estrategias de gestión de morosidad se apliquen de manera efectiva.</w:t>
      </w:r>
    </w:p>
    <w:p w14:paraId="333EBA2D" w14:textId="3D072BA2" w:rsidR="0073551F" w:rsidRDefault="002E46EC" w:rsidP="0073551F">
      <w:pPr>
        <w:pStyle w:val="TextoPrincipal"/>
        <w:spacing w:line="360" w:lineRule="auto"/>
      </w:pPr>
      <w:r>
        <w:t>6</w:t>
      </w:r>
      <w:r w:rsidR="00154CF6">
        <w:t xml:space="preserve">. Estrategia de venta de la cartera en castigo: La venta de la cartera en castigo a entidades especializadas en recuperación de deudas es una estrategia eficaz para reducir la exposición al riesgo de morosidad y mejorar la liquidez de la institución financiera. Esta estrategia implica transferir los créditos </w:t>
      </w:r>
      <w:r w:rsidR="0073551F">
        <w:t>castigados</w:t>
      </w:r>
      <w:r w:rsidR="00154CF6">
        <w:t xml:space="preserve"> a empresas de cobranza con experiencia y capacidad para gestionar y recuperar deudas. Al hacerlo, la institución financiera puede concentrarse en su negocio principal y mejorar su balance general, mientras que la empresa compradora se encarga de la recuperación de los fondos adeudados.</w:t>
      </w:r>
    </w:p>
    <w:p w14:paraId="34C51547" w14:textId="20554276" w:rsidR="00FD0B1D" w:rsidRDefault="00154CF6" w:rsidP="002372CE">
      <w:pPr>
        <w:pStyle w:val="TextoPrincipal"/>
        <w:spacing w:line="360" w:lineRule="auto"/>
      </w:pPr>
      <w:r>
        <w:t xml:space="preserve">Para implementar esta estrategia, la institución financiera debe primero identificar y segmentar los créditos morosos que serán elegibles para la venta, evaluando su valor mediante un análisis detallado. Luego, se seleccionan empresas de recuperación con una sólida reputación </w:t>
      </w:r>
      <w:r w:rsidR="0073551F">
        <w:t>e</w:t>
      </w:r>
      <w:r>
        <w:t xml:space="preserve"> historial comprobado, negociando el precio de venta para asegurar un valor justo. Los beneficios incluyen la reducción inmediata de la morosidad en el balance, la mejora en la liquidez, y la posibilidad de enfocarse en la expansión y mejora de otros servicios financieros.</w:t>
      </w:r>
      <w:r w:rsidR="00FE3BD9">
        <w:t xml:space="preserve"> </w:t>
      </w:r>
      <w:r w:rsidR="0088229F">
        <w:t>(</w:t>
      </w:r>
      <w:r w:rsidR="00FE3BD9">
        <w:t xml:space="preserve">Se presenta </w:t>
      </w:r>
      <w:r w:rsidR="0088229F">
        <w:t>proyección</w:t>
      </w:r>
      <w:r w:rsidR="00FE3BD9">
        <w:t xml:space="preserve"> de mejoras en el balance en el apartado 6.4.2.5. de esta misma sección</w:t>
      </w:r>
      <w:r w:rsidR="0088229F">
        <w:t>)</w:t>
      </w:r>
      <w:r w:rsidR="00FE3BD9">
        <w:t>.</w:t>
      </w:r>
    </w:p>
    <w:p w14:paraId="0A772C5A" w14:textId="77777777" w:rsidR="002372CE" w:rsidRDefault="002372CE" w:rsidP="002372CE">
      <w:pPr>
        <w:pStyle w:val="TextoPrincipal"/>
        <w:spacing w:line="360" w:lineRule="auto"/>
      </w:pPr>
    </w:p>
    <w:p w14:paraId="7222F850" w14:textId="5723A041" w:rsidR="00702AB5" w:rsidRDefault="00702AB5" w:rsidP="00EC3AF7">
      <w:pPr>
        <w:pStyle w:val="Ttulo4"/>
        <w:spacing w:line="360" w:lineRule="auto"/>
        <w:ind w:left="0" w:firstLine="1440"/>
        <w:jc w:val="both"/>
      </w:pPr>
      <w:bookmarkStart w:id="388" w:name="_Toc175171473"/>
      <w:r>
        <w:lastRenderedPageBreak/>
        <w:t>6.4.2.</w:t>
      </w:r>
      <w:r w:rsidR="00144583">
        <w:t>3</w:t>
      </w:r>
      <w:r w:rsidR="001C4AFD">
        <w:t>.</w:t>
      </w:r>
      <w:r w:rsidR="001C4AFD" w:rsidRPr="001C4AFD">
        <w:t xml:space="preserve"> PROPONER UNA RESTRUCTURACIÓN EN EL ORGANIGRAMA DEL DEPARTAMENTO DE COBROS.</w:t>
      </w:r>
      <w:bookmarkEnd w:id="388"/>
    </w:p>
    <w:p w14:paraId="396ADB8C" w14:textId="503C6F99" w:rsidR="004C61BC" w:rsidRDefault="004C61BC" w:rsidP="004C61BC">
      <w:pPr>
        <w:pStyle w:val="TextoPrincipal"/>
        <w:spacing w:line="360" w:lineRule="auto"/>
      </w:pPr>
      <w:r>
        <w:t xml:space="preserve">Para optimizar los procesos de recuperación, es crucial reestructurar la organización del departamento de cobros. Esto comienza con la creación de unidades especializadas dentro del departamento, como un equipo de cobro preventivo, un equipo de cobro de cuentas recientes y un equipo de cobro de cuentas en mora avanzada. Cada unidad debe estar liderada por un </w:t>
      </w:r>
      <w:r w:rsidR="0049606F">
        <w:t>jefe</w:t>
      </w:r>
      <w:r>
        <w:t xml:space="preserve"> de área que reporte directamente al </w:t>
      </w:r>
      <w:r w:rsidR="0049606F">
        <w:t>gerente</w:t>
      </w:r>
      <w:r>
        <w:t xml:space="preserve"> del departamento de cobros. Esta estructura permitirá una gestión más focalizada y eficiente de las diversas etapas del proceso de recuperación de deudas, asegurando que cada segmento de la cartera reciba la atención adecuada según su nivel de riesgo y antigüedad.</w:t>
      </w:r>
    </w:p>
    <w:p w14:paraId="7D132FE2" w14:textId="241F0DC8" w:rsidR="008214BD" w:rsidRDefault="004C61BC" w:rsidP="004C61BC">
      <w:pPr>
        <w:pStyle w:val="TextoPrincipal"/>
        <w:spacing w:line="360" w:lineRule="auto"/>
      </w:pPr>
      <w:r>
        <w:t>Dentro de esta estructura organizativa, es esencial definir claramente los roles y responsabilidades de cada equipo. Por ejemplo, el equipo de cobro preventivo se encargará de implementar estrategias de prevención de mora, como recordatorios de pago</w:t>
      </w:r>
      <w:r w:rsidR="00A2372F">
        <w:t xml:space="preserve"> a través de llamadas telefónicas y de seguimiento de cobros in situ. </w:t>
      </w:r>
      <w:r>
        <w:t>El equipo de cobro de cuentas recientes se enfocará en contactar a deudores con atrasos iniciales, utilizando tácticas de negociación para evitar que sus deudas se conviertan en cuentas morosas avanzadas. Finalmente, el equipo de cobro de cuentas en mora avanzada se especializará en la gestión de deudas prolongadas, utilizando técnicas más intensivas de recuperación y, si es necesario, colaborando con empresas externas de cobranza. Además, proporcionar capacitación continua y herramientas tecnológicas avanzadas a estos equipos será fundamental para mejorar la efectividad y eficiencia de los procesos de recuperación.</w:t>
      </w:r>
    </w:p>
    <w:p w14:paraId="1390D10D" w14:textId="4E01AB03" w:rsidR="004C61BC" w:rsidRDefault="006B1C76" w:rsidP="004C61BC">
      <w:pPr>
        <w:pStyle w:val="TextoPrincipal"/>
        <w:spacing w:line="360" w:lineRule="auto"/>
      </w:pPr>
      <w:r w:rsidRPr="006B1C76">
        <w:t xml:space="preserve">Debido al crecimiento y alcance nacional de </w:t>
      </w:r>
      <w:r>
        <w:t>l</w:t>
      </w:r>
      <w:r w:rsidRPr="006B1C76">
        <w:t xml:space="preserve">a </w:t>
      </w:r>
      <w:r>
        <w:t>IMF,</w:t>
      </w:r>
      <w:r w:rsidRPr="006B1C76">
        <w:t xml:space="preserve"> se ha </w:t>
      </w:r>
      <w:r>
        <w:t>determinado</w:t>
      </w:r>
      <w:r w:rsidRPr="006B1C76">
        <w:t xml:space="preserve"> que el personal actual del departamento de cobros resulta insuficiente para cubrir las necesidades de gestión de cobranza en las 18 agencias distribuidas a lo largo del país. Esta situación se traduce en una carga de trabajo excesiva para los equipos existentes, lo que impacta negativamente en la eficiencia y efectividad de los procesos de recuperación de deudas. Es fundamental abordar esta carencia de recursos humanos mediante la contratación de personal adicional o la redistribución estratégica de tareas para garantizar una cobertura adecuada y una gestión óptima de la cartera de créditos morosos a nivel nacional.</w:t>
      </w:r>
    </w:p>
    <w:p w14:paraId="31CAD314" w14:textId="30E2D9A5" w:rsidR="006B1C76" w:rsidRDefault="006B1C76" w:rsidP="004C61BC">
      <w:pPr>
        <w:pStyle w:val="TextoPrincipal"/>
        <w:spacing w:line="360" w:lineRule="auto"/>
      </w:pPr>
      <w:r>
        <w:t>En base a lo anterior, a continuación, se presenta una propuesta de reestructuración en el departamento de cobros mostrando un antes y un después de su implementación.</w:t>
      </w:r>
    </w:p>
    <w:p w14:paraId="229CF087" w14:textId="2E6C0199" w:rsidR="006B1C76" w:rsidRDefault="00B248B8" w:rsidP="00B248B8">
      <w:pPr>
        <w:pStyle w:val="TextoPrincipal"/>
        <w:spacing w:line="360" w:lineRule="auto"/>
        <w:ind w:firstLine="0"/>
        <w:jc w:val="center"/>
      </w:pPr>
      <w:r>
        <w:rPr>
          <w:noProof/>
        </w:rPr>
        <w:lastRenderedPageBreak/>
        <w:drawing>
          <wp:inline distT="0" distB="0" distL="0" distR="0" wp14:anchorId="68384B73" wp14:editId="72E924D3">
            <wp:extent cx="5148000" cy="2991600"/>
            <wp:effectExtent l="0" t="0" r="0" b="0"/>
            <wp:docPr id="1440320072"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9" cstate="print">
                      <a:extLst>
                        <a:ext uri="{28A0092B-C50C-407E-A947-70E740481C1C}">
                          <a14:useLocalDpi xmlns:a14="http://schemas.microsoft.com/office/drawing/2010/main" val="0"/>
                        </a:ext>
                      </a:extLst>
                    </a:blip>
                    <a:srcRect/>
                    <a:stretch>
                      <a:fillRect/>
                    </a:stretch>
                  </pic:blipFill>
                  <pic:spPr bwMode="auto">
                    <a:xfrm>
                      <a:off x="0" y="0"/>
                      <a:ext cx="5148000" cy="2991600"/>
                    </a:xfrm>
                    <a:prstGeom prst="rect">
                      <a:avLst/>
                    </a:prstGeom>
                    <a:noFill/>
                  </pic:spPr>
                </pic:pic>
              </a:graphicData>
            </a:graphic>
          </wp:inline>
        </w:drawing>
      </w:r>
    </w:p>
    <w:p w14:paraId="79673685" w14:textId="065B9EFC" w:rsidR="00B248B8" w:rsidRDefault="00B248B8" w:rsidP="00B248B8">
      <w:pPr>
        <w:pStyle w:val="TextoPrincipal"/>
        <w:spacing w:after="0" w:line="240" w:lineRule="auto"/>
      </w:pPr>
      <w:r>
        <w:t xml:space="preserve">Figura </w:t>
      </w:r>
      <w:r w:rsidR="007343D8">
        <w:t>2</w:t>
      </w:r>
      <w:r w:rsidR="00E17687">
        <w:t>1</w:t>
      </w:r>
      <w:r>
        <w:t xml:space="preserve">. Organigrama actual del departamento de cobro de la IMF </w:t>
      </w:r>
      <w:r w:rsidR="00E5074B">
        <w:t>“XYZ”</w:t>
      </w:r>
      <w:r>
        <w:t xml:space="preserve">. </w:t>
      </w:r>
    </w:p>
    <w:p w14:paraId="51BF5891" w14:textId="2BC8F445" w:rsidR="00B944DF" w:rsidRDefault="00B248B8" w:rsidP="00B944DF">
      <w:pPr>
        <w:pStyle w:val="TextoPrincipal"/>
        <w:spacing w:after="0" w:line="240" w:lineRule="auto"/>
      </w:pPr>
      <w:r w:rsidRPr="007D07D2">
        <w:t xml:space="preserve">Fuente: Elaboración </w:t>
      </w:r>
      <w:r>
        <w:t>propia.</w:t>
      </w:r>
    </w:p>
    <w:p w14:paraId="2826EDD1" w14:textId="77777777" w:rsidR="00B944DF" w:rsidRDefault="00B944DF" w:rsidP="00B944DF">
      <w:pPr>
        <w:pStyle w:val="TextoPrincipal"/>
        <w:spacing w:after="0" w:line="240" w:lineRule="auto"/>
      </w:pPr>
    </w:p>
    <w:p w14:paraId="5728C8C3" w14:textId="6CD58BC2" w:rsidR="00B944DF" w:rsidRDefault="00B944DF" w:rsidP="00092237">
      <w:pPr>
        <w:pStyle w:val="TextoPrincipal"/>
        <w:spacing w:line="360" w:lineRule="auto"/>
        <w:ind w:firstLine="0"/>
        <w:jc w:val="center"/>
      </w:pPr>
      <w:r>
        <w:rPr>
          <w:noProof/>
        </w:rPr>
        <w:drawing>
          <wp:inline distT="0" distB="0" distL="0" distR="0" wp14:anchorId="647F13DA" wp14:editId="7E662B89">
            <wp:extent cx="5147945" cy="3667125"/>
            <wp:effectExtent l="0" t="0" r="0" b="9525"/>
            <wp:docPr id="751526224"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40" cstate="print">
                      <a:extLst>
                        <a:ext uri="{28A0092B-C50C-407E-A947-70E740481C1C}">
                          <a14:useLocalDpi xmlns:a14="http://schemas.microsoft.com/office/drawing/2010/main" val="0"/>
                        </a:ext>
                      </a:extLst>
                    </a:blip>
                    <a:srcRect/>
                    <a:stretch>
                      <a:fillRect/>
                    </a:stretch>
                  </pic:blipFill>
                  <pic:spPr bwMode="auto">
                    <a:xfrm>
                      <a:off x="0" y="0"/>
                      <a:ext cx="5148001" cy="3667165"/>
                    </a:xfrm>
                    <a:prstGeom prst="rect">
                      <a:avLst/>
                    </a:prstGeom>
                    <a:noFill/>
                  </pic:spPr>
                </pic:pic>
              </a:graphicData>
            </a:graphic>
          </wp:inline>
        </w:drawing>
      </w:r>
    </w:p>
    <w:p w14:paraId="0C7846EC" w14:textId="7FC9E804" w:rsidR="00092237" w:rsidRDefault="00092237" w:rsidP="00092237">
      <w:pPr>
        <w:pStyle w:val="TextoPrincipal"/>
        <w:spacing w:after="0" w:line="240" w:lineRule="auto"/>
      </w:pPr>
      <w:r>
        <w:t>Figura 2</w:t>
      </w:r>
      <w:r w:rsidR="00E17687">
        <w:t>2</w:t>
      </w:r>
      <w:r>
        <w:t xml:space="preserve">. Organigrama propuesto para el departamento de cobro de la IMF </w:t>
      </w:r>
      <w:r w:rsidR="00E5074B">
        <w:t>“XYZ”</w:t>
      </w:r>
      <w:r>
        <w:t xml:space="preserve">. </w:t>
      </w:r>
    </w:p>
    <w:p w14:paraId="7D4592EA" w14:textId="77777777" w:rsidR="00092237" w:rsidRDefault="00092237" w:rsidP="00092237">
      <w:pPr>
        <w:pStyle w:val="TextoPrincipal"/>
        <w:spacing w:after="0" w:line="240" w:lineRule="auto"/>
      </w:pPr>
      <w:r w:rsidRPr="007D07D2">
        <w:t xml:space="preserve">Fuente: Elaboración </w:t>
      </w:r>
      <w:r>
        <w:t>propia.</w:t>
      </w:r>
    </w:p>
    <w:p w14:paraId="1B056299" w14:textId="77777777" w:rsidR="004C61BC" w:rsidRDefault="004C61BC" w:rsidP="00BF2CCF">
      <w:pPr>
        <w:pStyle w:val="TextoPrincipal"/>
        <w:spacing w:line="360" w:lineRule="auto"/>
        <w:ind w:firstLine="0"/>
      </w:pPr>
    </w:p>
    <w:p w14:paraId="023602A6" w14:textId="4252D5D4" w:rsidR="00784D44" w:rsidRDefault="00702AB5" w:rsidP="00784D44">
      <w:pPr>
        <w:pStyle w:val="Ttulo4"/>
        <w:spacing w:line="360" w:lineRule="auto"/>
        <w:ind w:left="0" w:firstLine="1440"/>
        <w:jc w:val="both"/>
      </w:pPr>
      <w:bookmarkStart w:id="389" w:name="_Toc175171474"/>
      <w:r>
        <w:lastRenderedPageBreak/>
        <w:t>6.4.2.</w:t>
      </w:r>
      <w:r w:rsidR="00144583">
        <w:t>4</w:t>
      </w:r>
      <w:r>
        <w:t>.</w:t>
      </w:r>
      <w:r w:rsidR="007F1122">
        <w:t xml:space="preserve"> </w:t>
      </w:r>
      <w:r w:rsidR="00553636" w:rsidRPr="00553636">
        <w:t>ESTABLECER PARÁMETROS DE MEDICIÓN PARA LOS INDICADORES DE CARTERA</w:t>
      </w:r>
      <w:bookmarkEnd w:id="389"/>
    </w:p>
    <w:p w14:paraId="01BAD8E7" w14:textId="120E7004" w:rsidR="00A20085" w:rsidRDefault="00A20085" w:rsidP="00A20085">
      <w:pPr>
        <w:pStyle w:val="TextoPrincipal"/>
        <w:spacing w:line="360" w:lineRule="auto"/>
      </w:pPr>
      <w:r>
        <w:t>Establecer parámetros de medición para los indicadores de cartera es fundamental para lograr una gestión efectiva y reducir los niveles de morosidad. Este apartado se enfocará en definir métricas específicas que permitan evaluar de manera precisa y continua el desempeño de la cartera crediticia.</w:t>
      </w:r>
    </w:p>
    <w:p w14:paraId="5BFFE062" w14:textId="21D899DC" w:rsidR="00A20085" w:rsidRDefault="00A20085" w:rsidP="00A20085">
      <w:pPr>
        <w:pStyle w:val="TextoPrincipal"/>
        <w:spacing w:line="360" w:lineRule="auto"/>
      </w:pPr>
      <w:r w:rsidRPr="00A20085">
        <w:t xml:space="preserve">La implementación de estos parámetros de medición requiere un enfoque sistemático y el uso de herramientas tecnológicas que faciliten la recopilación, análisis e interpretación de datos en tiempo real. La microfinanciera </w:t>
      </w:r>
      <w:r w:rsidR="00E5074B">
        <w:t>“XYZ”</w:t>
      </w:r>
      <w:r w:rsidRPr="00A20085">
        <w:t xml:space="preserve"> debe establecer un sistema de monitoreo integral que no solo mida el rendimiento actual de su cartera crediticia, sino que también permita la comparación con </w:t>
      </w:r>
      <w:r>
        <w:t xml:space="preserve">otras instituciones </w:t>
      </w:r>
      <w:r w:rsidRPr="00A20085">
        <w:t>de la industria y estándares internos previamente definidos. Esto no solo ayudará a identificar rápidamente los préstamos en riesgo, sino que también permitirá ajustar las políticas de crédito y cobranza de manera proactiva, reduciendo así la incidencia de morosidad mayor a 30 días. De este modo, la empresa puede implementar un plan de acción efectivo que garantice una cartera saludable y una mejora sostenida en su rendimiento financiero.</w:t>
      </w:r>
    </w:p>
    <w:p w14:paraId="2C815D52" w14:textId="5C23B89D" w:rsidR="00A20085" w:rsidRDefault="00A20085" w:rsidP="00A20085">
      <w:pPr>
        <w:pStyle w:val="TextoPrincipal"/>
        <w:spacing w:line="360" w:lineRule="auto"/>
      </w:pPr>
      <w:r>
        <w:t>Al contar con indicadores claros y bien definidos, la microfinanciera podrá implementar estrategias específicas y enfocadas para reducir la morosidad mayor a 30 días, mejorando así su estabilidad financiera y su capacidad de otorgar créditos a sus clientes.</w:t>
      </w:r>
    </w:p>
    <w:p w14:paraId="100CC80E" w14:textId="15EE5426" w:rsidR="00D31123" w:rsidRDefault="00D31123" w:rsidP="00A20085">
      <w:pPr>
        <w:pStyle w:val="TextoPrincipal"/>
        <w:spacing w:line="360" w:lineRule="auto"/>
      </w:pPr>
      <w:r w:rsidRPr="00D31123">
        <w:t xml:space="preserve">La matriz de límites y alertas tempranas es una herramienta fundamental en el ámbito de la gestión de riesgos y la toma de decisiones estratégicas. Esta matriz proporciona un marco estructurado para evaluar y visualizar los posibles riesgos </w:t>
      </w:r>
      <w:r>
        <w:t xml:space="preserve">a los que se enfrenta la IMF </w:t>
      </w:r>
      <w:r w:rsidR="00E5074B">
        <w:t>“XYZ”</w:t>
      </w:r>
      <w:r w:rsidRPr="00D31123">
        <w:t xml:space="preserve">, al mismo tiempo que identifica las señales de alerta temprana que indican la necesidad de tomar medidas preventivas o correctivas. Al combinar la evaluación de riesgos con la detección anticipada de señales críticas, </w:t>
      </w:r>
      <w:r>
        <w:t>esta matriz</w:t>
      </w:r>
      <w:r w:rsidRPr="00D31123">
        <w:t xml:space="preserve"> permite a la</w:t>
      </w:r>
      <w:r>
        <w:t xml:space="preserve"> institución</w:t>
      </w:r>
      <w:r w:rsidRPr="00D31123">
        <w:t xml:space="preserve"> anticiparse a los desafíos</w:t>
      </w:r>
      <w:r w:rsidR="00901638">
        <w:t xml:space="preserve"> y</w:t>
      </w:r>
      <w:r w:rsidRPr="00D31123">
        <w:t xml:space="preserve"> minimizar impactos negativos</w:t>
      </w:r>
      <w:r>
        <w:t>.</w:t>
      </w:r>
    </w:p>
    <w:p w14:paraId="5AF4017B" w14:textId="248504F5" w:rsidR="00D31123" w:rsidRDefault="00D31123" w:rsidP="00A20085">
      <w:pPr>
        <w:pStyle w:val="TextoPrincipal"/>
        <w:spacing w:line="360" w:lineRule="auto"/>
      </w:pPr>
      <w:r>
        <w:t>A continuación, se presenta la matriz de límites y alertas tempranas que se propone para la implementación, seguimiento y monitoreo de los indicadores de cartera:</w:t>
      </w:r>
    </w:p>
    <w:p w14:paraId="75A91658" w14:textId="421BC62A" w:rsidR="009B6F79" w:rsidRDefault="009B6F79" w:rsidP="00D31123">
      <w:pPr>
        <w:pStyle w:val="TextoPrincipal"/>
        <w:spacing w:line="360" w:lineRule="auto"/>
        <w:ind w:firstLine="0"/>
      </w:pPr>
    </w:p>
    <w:p w14:paraId="27B4003C" w14:textId="571EBA68" w:rsidR="00D31123" w:rsidRDefault="00D31123" w:rsidP="00D31123">
      <w:pPr>
        <w:pStyle w:val="TextoPrincipal"/>
        <w:spacing w:line="360" w:lineRule="auto"/>
        <w:ind w:firstLine="0"/>
        <w:jc w:val="center"/>
      </w:pPr>
    </w:p>
    <w:p w14:paraId="6FBADD6A" w14:textId="73B263B8" w:rsidR="007343D8" w:rsidRDefault="00D31123" w:rsidP="007343D8">
      <w:pPr>
        <w:widowControl/>
        <w:spacing w:after="160" w:line="360" w:lineRule="auto"/>
        <w:ind w:firstLine="720"/>
        <w:rPr>
          <w:rFonts w:ascii="Times New Roman" w:hAnsi="Times New Roman" w:cs="Times New Roman"/>
          <w:sz w:val="24"/>
          <w:szCs w:val="24"/>
        </w:rPr>
      </w:pPr>
      <w:r>
        <w:br w:type="page"/>
      </w:r>
      <w:r w:rsidR="007343D8" w:rsidRPr="007343D8">
        <w:rPr>
          <w:rFonts w:ascii="Times New Roman" w:hAnsi="Times New Roman" w:cs="Times New Roman"/>
          <w:noProof/>
          <w:sz w:val="24"/>
          <w:szCs w:val="24"/>
        </w:rPr>
        <w:lastRenderedPageBreak/>
        <w:drawing>
          <wp:anchor distT="0" distB="0" distL="114300" distR="114300" simplePos="0" relativeHeight="251665408" behindDoc="1" locked="0" layoutInCell="1" allowOverlap="1" wp14:anchorId="0B4777AA" wp14:editId="3266647B">
            <wp:simplePos x="0" y="0"/>
            <wp:positionH relativeFrom="margin">
              <wp:posOffset>-495300</wp:posOffset>
            </wp:positionH>
            <wp:positionV relativeFrom="paragraph">
              <wp:posOffset>180975</wp:posOffset>
            </wp:positionV>
            <wp:extent cx="6953250" cy="7848600"/>
            <wp:effectExtent l="0" t="0" r="0" b="0"/>
            <wp:wrapNone/>
            <wp:docPr id="590767025"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6953250" cy="78486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7343D8" w:rsidRPr="007343D8">
        <w:rPr>
          <w:rFonts w:ascii="Times New Roman" w:hAnsi="Times New Roman" w:cs="Times New Roman"/>
          <w:sz w:val="24"/>
          <w:szCs w:val="24"/>
        </w:rPr>
        <w:t>Tabla 2</w:t>
      </w:r>
      <w:r w:rsidR="00E17687">
        <w:rPr>
          <w:rFonts w:ascii="Times New Roman" w:hAnsi="Times New Roman" w:cs="Times New Roman"/>
          <w:sz w:val="24"/>
          <w:szCs w:val="24"/>
        </w:rPr>
        <w:t>3</w:t>
      </w:r>
      <w:r w:rsidR="007343D8" w:rsidRPr="007343D8">
        <w:rPr>
          <w:rFonts w:ascii="Times New Roman" w:hAnsi="Times New Roman" w:cs="Times New Roman"/>
          <w:sz w:val="24"/>
          <w:szCs w:val="24"/>
        </w:rPr>
        <w:t>: Matriz de límites y alertas tempranas.</w:t>
      </w:r>
    </w:p>
    <w:p w14:paraId="50B3AF9F" w14:textId="6DD5E0F3" w:rsidR="007343D8" w:rsidRDefault="007343D8" w:rsidP="007343D8">
      <w:pPr>
        <w:widowControl/>
        <w:spacing w:after="160" w:line="360" w:lineRule="auto"/>
        <w:ind w:firstLine="720"/>
        <w:rPr>
          <w:rFonts w:ascii="Times New Roman" w:hAnsi="Times New Roman" w:cs="Times New Roman"/>
          <w:sz w:val="24"/>
          <w:szCs w:val="24"/>
        </w:rPr>
      </w:pPr>
    </w:p>
    <w:p w14:paraId="00521B46" w14:textId="77777777" w:rsidR="007343D8" w:rsidRDefault="007343D8" w:rsidP="007343D8">
      <w:pPr>
        <w:widowControl/>
        <w:spacing w:after="160" w:line="360" w:lineRule="auto"/>
        <w:ind w:firstLine="720"/>
        <w:rPr>
          <w:rFonts w:ascii="Times New Roman" w:hAnsi="Times New Roman" w:cs="Times New Roman"/>
          <w:sz w:val="24"/>
          <w:szCs w:val="24"/>
        </w:rPr>
      </w:pPr>
    </w:p>
    <w:p w14:paraId="6966DED4" w14:textId="77777777" w:rsidR="007343D8" w:rsidRDefault="007343D8" w:rsidP="007343D8">
      <w:pPr>
        <w:widowControl/>
        <w:spacing w:after="160" w:line="360" w:lineRule="auto"/>
        <w:ind w:firstLine="720"/>
        <w:rPr>
          <w:rFonts w:ascii="Times New Roman" w:hAnsi="Times New Roman" w:cs="Times New Roman"/>
          <w:sz w:val="24"/>
          <w:szCs w:val="24"/>
        </w:rPr>
      </w:pPr>
    </w:p>
    <w:p w14:paraId="7352AB42" w14:textId="77777777" w:rsidR="007343D8" w:rsidRDefault="007343D8" w:rsidP="007343D8">
      <w:pPr>
        <w:widowControl/>
        <w:spacing w:after="160" w:line="360" w:lineRule="auto"/>
        <w:ind w:firstLine="720"/>
        <w:rPr>
          <w:rFonts w:ascii="Times New Roman" w:hAnsi="Times New Roman" w:cs="Times New Roman"/>
          <w:sz w:val="24"/>
          <w:szCs w:val="24"/>
        </w:rPr>
      </w:pPr>
    </w:p>
    <w:p w14:paraId="7E5030E4" w14:textId="77777777" w:rsidR="007343D8" w:rsidRDefault="007343D8" w:rsidP="007343D8">
      <w:pPr>
        <w:widowControl/>
        <w:spacing w:after="160" w:line="360" w:lineRule="auto"/>
        <w:ind w:firstLine="720"/>
        <w:rPr>
          <w:rFonts w:ascii="Times New Roman" w:hAnsi="Times New Roman" w:cs="Times New Roman"/>
          <w:sz w:val="24"/>
          <w:szCs w:val="24"/>
        </w:rPr>
      </w:pPr>
    </w:p>
    <w:p w14:paraId="29B0CDD5" w14:textId="77777777" w:rsidR="007343D8" w:rsidRDefault="007343D8" w:rsidP="007343D8">
      <w:pPr>
        <w:widowControl/>
        <w:spacing w:after="160" w:line="360" w:lineRule="auto"/>
        <w:ind w:firstLine="720"/>
        <w:rPr>
          <w:rFonts w:ascii="Times New Roman" w:hAnsi="Times New Roman" w:cs="Times New Roman"/>
          <w:sz w:val="24"/>
          <w:szCs w:val="24"/>
        </w:rPr>
      </w:pPr>
    </w:p>
    <w:p w14:paraId="5492E998" w14:textId="77777777" w:rsidR="007343D8" w:rsidRDefault="007343D8" w:rsidP="007343D8">
      <w:pPr>
        <w:widowControl/>
        <w:spacing w:after="160" w:line="360" w:lineRule="auto"/>
        <w:ind w:firstLine="720"/>
        <w:rPr>
          <w:rFonts w:ascii="Times New Roman" w:hAnsi="Times New Roman" w:cs="Times New Roman"/>
          <w:sz w:val="24"/>
          <w:szCs w:val="24"/>
        </w:rPr>
      </w:pPr>
    </w:p>
    <w:p w14:paraId="76D12D45" w14:textId="77777777" w:rsidR="007343D8" w:rsidRDefault="007343D8" w:rsidP="007343D8">
      <w:pPr>
        <w:widowControl/>
        <w:spacing w:after="160" w:line="360" w:lineRule="auto"/>
        <w:ind w:firstLine="720"/>
        <w:rPr>
          <w:rFonts w:ascii="Times New Roman" w:hAnsi="Times New Roman" w:cs="Times New Roman"/>
          <w:sz w:val="24"/>
          <w:szCs w:val="24"/>
        </w:rPr>
      </w:pPr>
    </w:p>
    <w:p w14:paraId="35E28DF3" w14:textId="77777777" w:rsidR="007343D8" w:rsidRDefault="007343D8" w:rsidP="007343D8">
      <w:pPr>
        <w:widowControl/>
        <w:spacing w:after="160" w:line="360" w:lineRule="auto"/>
        <w:ind w:firstLine="720"/>
        <w:rPr>
          <w:rFonts w:ascii="Times New Roman" w:hAnsi="Times New Roman" w:cs="Times New Roman"/>
          <w:sz w:val="24"/>
          <w:szCs w:val="24"/>
        </w:rPr>
      </w:pPr>
    </w:p>
    <w:p w14:paraId="10E04FE0" w14:textId="77777777" w:rsidR="007343D8" w:rsidRDefault="007343D8" w:rsidP="007343D8">
      <w:pPr>
        <w:widowControl/>
        <w:spacing w:after="160" w:line="360" w:lineRule="auto"/>
        <w:ind w:firstLine="720"/>
        <w:rPr>
          <w:rFonts w:ascii="Times New Roman" w:hAnsi="Times New Roman" w:cs="Times New Roman"/>
          <w:sz w:val="24"/>
          <w:szCs w:val="24"/>
        </w:rPr>
      </w:pPr>
    </w:p>
    <w:p w14:paraId="24209C65" w14:textId="77777777" w:rsidR="007343D8" w:rsidRDefault="007343D8" w:rsidP="007343D8">
      <w:pPr>
        <w:widowControl/>
        <w:spacing w:after="160" w:line="360" w:lineRule="auto"/>
        <w:ind w:firstLine="720"/>
        <w:rPr>
          <w:rFonts w:ascii="Times New Roman" w:hAnsi="Times New Roman" w:cs="Times New Roman"/>
          <w:sz w:val="24"/>
          <w:szCs w:val="24"/>
        </w:rPr>
      </w:pPr>
    </w:p>
    <w:p w14:paraId="6F076BC2" w14:textId="77777777" w:rsidR="007343D8" w:rsidRDefault="007343D8" w:rsidP="007343D8">
      <w:pPr>
        <w:widowControl/>
        <w:spacing w:after="160" w:line="360" w:lineRule="auto"/>
        <w:ind w:firstLine="720"/>
        <w:rPr>
          <w:rFonts w:ascii="Times New Roman" w:hAnsi="Times New Roman" w:cs="Times New Roman"/>
          <w:sz w:val="24"/>
          <w:szCs w:val="24"/>
        </w:rPr>
      </w:pPr>
    </w:p>
    <w:p w14:paraId="330A5C1A" w14:textId="77777777" w:rsidR="007343D8" w:rsidRDefault="007343D8" w:rsidP="007343D8">
      <w:pPr>
        <w:widowControl/>
        <w:spacing w:after="160" w:line="360" w:lineRule="auto"/>
        <w:ind w:firstLine="720"/>
        <w:rPr>
          <w:rFonts w:ascii="Times New Roman" w:hAnsi="Times New Roman" w:cs="Times New Roman"/>
          <w:sz w:val="24"/>
          <w:szCs w:val="24"/>
        </w:rPr>
      </w:pPr>
    </w:p>
    <w:p w14:paraId="469023FB" w14:textId="77777777" w:rsidR="007343D8" w:rsidRDefault="007343D8" w:rsidP="007343D8">
      <w:pPr>
        <w:widowControl/>
        <w:spacing w:after="160" w:line="360" w:lineRule="auto"/>
        <w:ind w:firstLine="720"/>
        <w:rPr>
          <w:rFonts w:ascii="Times New Roman" w:hAnsi="Times New Roman" w:cs="Times New Roman"/>
          <w:sz w:val="24"/>
          <w:szCs w:val="24"/>
        </w:rPr>
      </w:pPr>
    </w:p>
    <w:p w14:paraId="6765D57B" w14:textId="77777777" w:rsidR="007343D8" w:rsidRDefault="007343D8" w:rsidP="007343D8">
      <w:pPr>
        <w:widowControl/>
        <w:spacing w:after="160" w:line="360" w:lineRule="auto"/>
        <w:ind w:firstLine="720"/>
        <w:rPr>
          <w:rFonts w:ascii="Times New Roman" w:hAnsi="Times New Roman" w:cs="Times New Roman"/>
          <w:sz w:val="24"/>
          <w:szCs w:val="24"/>
        </w:rPr>
      </w:pPr>
    </w:p>
    <w:p w14:paraId="644355C1" w14:textId="77777777" w:rsidR="007343D8" w:rsidRDefault="007343D8" w:rsidP="007343D8">
      <w:pPr>
        <w:widowControl/>
        <w:spacing w:after="160" w:line="360" w:lineRule="auto"/>
        <w:ind w:firstLine="720"/>
        <w:rPr>
          <w:rFonts w:ascii="Times New Roman" w:hAnsi="Times New Roman" w:cs="Times New Roman"/>
          <w:sz w:val="24"/>
          <w:szCs w:val="24"/>
        </w:rPr>
      </w:pPr>
    </w:p>
    <w:p w14:paraId="06828D15" w14:textId="77777777" w:rsidR="007343D8" w:rsidRDefault="007343D8" w:rsidP="007343D8">
      <w:pPr>
        <w:widowControl/>
        <w:spacing w:after="160" w:line="360" w:lineRule="auto"/>
        <w:ind w:firstLine="720"/>
        <w:rPr>
          <w:rFonts w:ascii="Times New Roman" w:hAnsi="Times New Roman" w:cs="Times New Roman"/>
          <w:sz w:val="24"/>
          <w:szCs w:val="24"/>
        </w:rPr>
      </w:pPr>
    </w:p>
    <w:p w14:paraId="7D5FF36E" w14:textId="77777777" w:rsidR="007343D8" w:rsidRDefault="007343D8" w:rsidP="007343D8">
      <w:pPr>
        <w:widowControl/>
        <w:spacing w:after="160" w:line="360" w:lineRule="auto"/>
        <w:ind w:firstLine="720"/>
        <w:rPr>
          <w:rFonts w:ascii="Times New Roman" w:hAnsi="Times New Roman" w:cs="Times New Roman"/>
          <w:sz w:val="24"/>
          <w:szCs w:val="24"/>
        </w:rPr>
      </w:pPr>
    </w:p>
    <w:p w14:paraId="50D2028F" w14:textId="77777777" w:rsidR="007343D8" w:rsidRDefault="007343D8" w:rsidP="007343D8">
      <w:pPr>
        <w:widowControl/>
        <w:spacing w:after="160" w:line="360" w:lineRule="auto"/>
        <w:ind w:firstLine="720"/>
        <w:rPr>
          <w:rFonts w:ascii="Times New Roman" w:hAnsi="Times New Roman" w:cs="Times New Roman"/>
          <w:sz w:val="24"/>
          <w:szCs w:val="24"/>
        </w:rPr>
      </w:pPr>
    </w:p>
    <w:p w14:paraId="09C3285D" w14:textId="77777777" w:rsidR="007343D8" w:rsidRDefault="007343D8" w:rsidP="007343D8">
      <w:pPr>
        <w:widowControl/>
        <w:spacing w:after="160" w:line="360" w:lineRule="auto"/>
        <w:ind w:firstLine="720"/>
        <w:rPr>
          <w:rFonts w:ascii="Times New Roman" w:hAnsi="Times New Roman" w:cs="Times New Roman"/>
          <w:sz w:val="24"/>
          <w:szCs w:val="24"/>
        </w:rPr>
      </w:pPr>
    </w:p>
    <w:p w14:paraId="7DE0E4B5" w14:textId="77777777" w:rsidR="007343D8" w:rsidRDefault="007343D8" w:rsidP="007343D8">
      <w:pPr>
        <w:widowControl/>
        <w:spacing w:after="160" w:line="360" w:lineRule="auto"/>
        <w:ind w:firstLine="720"/>
        <w:rPr>
          <w:rFonts w:ascii="Times New Roman" w:hAnsi="Times New Roman" w:cs="Times New Roman"/>
          <w:sz w:val="24"/>
          <w:szCs w:val="24"/>
        </w:rPr>
      </w:pPr>
    </w:p>
    <w:p w14:paraId="760C53E9" w14:textId="5BE8C615" w:rsidR="00D31123" w:rsidRPr="007343D8" w:rsidRDefault="007343D8" w:rsidP="00164039">
      <w:pPr>
        <w:widowControl/>
        <w:spacing w:after="160" w:line="360" w:lineRule="auto"/>
        <w:ind w:firstLine="720"/>
        <w:rPr>
          <w:rFonts w:ascii="Times New Roman" w:hAnsi="Times New Roman" w:cs="Times New Roman"/>
          <w:sz w:val="24"/>
          <w:szCs w:val="24"/>
        </w:rPr>
      </w:pPr>
      <w:r>
        <w:rPr>
          <w:rFonts w:ascii="Times New Roman" w:hAnsi="Times New Roman" w:cs="Times New Roman"/>
          <w:sz w:val="24"/>
          <w:szCs w:val="24"/>
        </w:rPr>
        <w:t>Fuente: Elaboración propia.</w:t>
      </w:r>
    </w:p>
    <w:p w14:paraId="1FFD6FAF" w14:textId="7387B35C" w:rsidR="00144583" w:rsidRDefault="00144583" w:rsidP="00094D56">
      <w:pPr>
        <w:pStyle w:val="Ttulo4"/>
        <w:spacing w:line="360" w:lineRule="auto"/>
        <w:ind w:left="0" w:firstLine="1440"/>
        <w:jc w:val="both"/>
      </w:pPr>
      <w:bookmarkStart w:id="390" w:name="_Toc175171475"/>
      <w:r>
        <w:lastRenderedPageBreak/>
        <w:t xml:space="preserve">6.4.2.5. MEJORAR LA SALUD FINANCIERA DE LA MICROFINANCIERA </w:t>
      </w:r>
      <w:r w:rsidR="00E5074B">
        <w:t>“XYZ”</w:t>
      </w:r>
      <w:bookmarkEnd w:id="390"/>
    </w:p>
    <w:p w14:paraId="55CE77ED" w14:textId="557A4B27" w:rsidR="004E38FD" w:rsidRDefault="00A20085" w:rsidP="004E38FD">
      <w:pPr>
        <w:pStyle w:val="TextoPrincipal"/>
        <w:spacing w:line="360" w:lineRule="auto"/>
      </w:pPr>
      <w:r>
        <w:t>Mejorar la salud financiera de la institución es un objetivo primordial.</w:t>
      </w:r>
      <w:r w:rsidR="004E38FD">
        <w:t xml:space="preserve"> </w:t>
      </w:r>
      <w:r w:rsidR="004E38FD" w:rsidRPr="00A20085">
        <w:t>Para lograr</w:t>
      </w:r>
      <w:r w:rsidR="004E38FD">
        <w:t>lo</w:t>
      </w:r>
      <w:r w:rsidR="004E38FD" w:rsidRPr="00A20085">
        <w:t xml:space="preserve"> es crucial adoptar un enfoque integral que abarque la revisión y optimización de todos los aspectos relacionados con la gestión de la cartera crediticia. Esto incluye la implementación de un riguroso sistema de análisis de riesgos, el fortalecimiento de las políticas de crédito y la capacitación continua del personal en técnicas de cobranza efectiva. Además, el uso de tecnología para la supervisión y análisis de datos permite una toma de decisiones más informada y oportuna. Al mejorar estos procesos, la microfinanciera no solo podrá reducir la morosidad mayor a 30 días, sino también aumentar su capacidad para generar ingresos y consolidar su posición en el mercado, contribuyendo así a su estabilidad y crecimiento a largo plazo.</w:t>
      </w:r>
    </w:p>
    <w:p w14:paraId="6CE03543" w14:textId="234F7EA9" w:rsidR="00654A2F" w:rsidRDefault="00A20085" w:rsidP="00A20085">
      <w:pPr>
        <w:pStyle w:val="TextoPrincipal"/>
        <w:spacing w:line="360" w:lineRule="auto"/>
      </w:pPr>
      <w:r>
        <w:t>Al reducir la mora mayor a 30 días, se disminuyen las pérdidas por incobrabilidad, y se logra una mejora en los estados financieros. Este proceso implica implementar estrategias robustas de control y seguimiento de la cartera, optimizar los procesos de cobranza y ajustar las políticas crediticias para garantizar que los préstamos otorgados sean recuperables</w:t>
      </w:r>
      <w:r w:rsidR="00E166C8">
        <w:t>.</w:t>
      </w:r>
    </w:p>
    <w:p w14:paraId="061A9361" w14:textId="143EC9C6" w:rsidR="00ED7BDA" w:rsidRDefault="00ED7BDA" w:rsidP="00A20085">
      <w:pPr>
        <w:pStyle w:val="TextoPrincipal"/>
        <w:spacing w:line="360" w:lineRule="auto"/>
      </w:pPr>
      <w:r>
        <w:t>A continuación, se muestra</w:t>
      </w:r>
      <w:r w:rsidR="00A1113E">
        <w:t xml:space="preserve">n los estados e indicadores financieros </w:t>
      </w:r>
      <w:r>
        <w:t>con las proyecciones estimadas las cuales se calculan bajo los escenarios 1 y 2 propuestos en la sección 6.4.2.3 de este capítulo.</w:t>
      </w:r>
    </w:p>
    <w:p w14:paraId="3DAE213B" w14:textId="77777777" w:rsidR="00ED7BDA" w:rsidRDefault="00ED7BDA" w:rsidP="00A20085">
      <w:pPr>
        <w:pStyle w:val="TextoPrincipal"/>
        <w:spacing w:line="360" w:lineRule="auto"/>
      </w:pPr>
    </w:p>
    <w:p w14:paraId="10F68044" w14:textId="77777777" w:rsidR="008C496D" w:rsidRDefault="008C496D">
      <w:pPr>
        <w:widowControl/>
        <w:spacing w:after="160" w:line="259" w:lineRule="auto"/>
      </w:pPr>
    </w:p>
    <w:p w14:paraId="27FBF6BA" w14:textId="77777777" w:rsidR="008C496D" w:rsidRDefault="008C496D">
      <w:pPr>
        <w:widowControl/>
        <w:spacing w:after="160" w:line="259" w:lineRule="auto"/>
      </w:pPr>
    </w:p>
    <w:p w14:paraId="75DBBF51" w14:textId="77777777" w:rsidR="008C496D" w:rsidRDefault="008C496D">
      <w:pPr>
        <w:widowControl/>
        <w:spacing w:after="160" w:line="259" w:lineRule="auto"/>
      </w:pPr>
    </w:p>
    <w:p w14:paraId="732D3571" w14:textId="77777777" w:rsidR="008C496D" w:rsidRDefault="008C496D">
      <w:pPr>
        <w:widowControl/>
        <w:spacing w:after="160" w:line="259" w:lineRule="auto"/>
      </w:pPr>
    </w:p>
    <w:p w14:paraId="3ED6AD88" w14:textId="77777777" w:rsidR="008C496D" w:rsidRDefault="008C496D">
      <w:pPr>
        <w:widowControl/>
        <w:spacing w:after="160" w:line="259" w:lineRule="auto"/>
      </w:pPr>
    </w:p>
    <w:p w14:paraId="4C8AA28D" w14:textId="77777777" w:rsidR="008C496D" w:rsidRDefault="008C496D">
      <w:pPr>
        <w:widowControl/>
        <w:spacing w:after="160" w:line="259" w:lineRule="auto"/>
      </w:pPr>
    </w:p>
    <w:p w14:paraId="50258F1E" w14:textId="77777777" w:rsidR="008C496D" w:rsidRDefault="008C496D">
      <w:pPr>
        <w:widowControl/>
        <w:spacing w:after="160" w:line="259" w:lineRule="auto"/>
      </w:pPr>
    </w:p>
    <w:p w14:paraId="5B5FF14C" w14:textId="77777777" w:rsidR="008C496D" w:rsidRDefault="008C496D">
      <w:pPr>
        <w:widowControl/>
        <w:spacing w:after="160" w:line="259" w:lineRule="auto"/>
      </w:pPr>
    </w:p>
    <w:p w14:paraId="719F8864" w14:textId="77777777" w:rsidR="008C496D" w:rsidRDefault="008C496D">
      <w:pPr>
        <w:widowControl/>
        <w:spacing w:after="160" w:line="259" w:lineRule="auto"/>
      </w:pPr>
    </w:p>
    <w:p w14:paraId="79311BFC" w14:textId="77777777" w:rsidR="008C496D" w:rsidRDefault="008C496D">
      <w:pPr>
        <w:widowControl/>
        <w:spacing w:after="160" w:line="259" w:lineRule="auto"/>
      </w:pPr>
    </w:p>
    <w:p w14:paraId="0F1E6EB6" w14:textId="66DE736E" w:rsidR="008C496D" w:rsidRPr="008C496D" w:rsidRDefault="008C496D" w:rsidP="008C496D">
      <w:pPr>
        <w:widowControl/>
        <w:spacing w:after="160" w:line="360" w:lineRule="auto"/>
        <w:ind w:firstLine="720"/>
        <w:jc w:val="both"/>
        <w:rPr>
          <w:rFonts w:ascii="Times New Roman" w:hAnsi="Times New Roman" w:cs="Times New Roman"/>
        </w:rPr>
      </w:pPr>
      <w:r w:rsidRPr="008C496D">
        <w:rPr>
          <w:rFonts w:ascii="Times New Roman" w:hAnsi="Times New Roman" w:cs="Times New Roman"/>
          <w:sz w:val="24"/>
          <w:szCs w:val="24"/>
        </w:rPr>
        <w:lastRenderedPageBreak/>
        <w:t>Tabla 2</w:t>
      </w:r>
      <w:r w:rsidR="00E17687">
        <w:rPr>
          <w:rFonts w:ascii="Times New Roman" w:hAnsi="Times New Roman" w:cs="Times New Roman"/>
          <w:sz w:val="24"/>
          <w:szCs w:val="24"/>
        </w:rPr>
        <w:t>4</w:t>
      </w:r>
      <w:r w:rsidRPr="008C496D">
        <w:rPr>
          <w:rFonts w:ascii="Times New Roman" w:hAnsi="Times New Roman" w:cs="Times New Roman"/>
          <w:sz w:val="24"/>
          <w:szCs w:val="24"/>
        </w:rPr>
        <w:t>: Estado de resultados proyectado a diciembre 2024.</w:t>
      </w:r>
    </w:p>
    <w:p w14:paraId="2608A53B" w14:textId="7D8AC7F2" w:rsidR="00ED7BDA" w:rsidRDefault="009D4265">
      <w:pPr>
        <w:widowControl/>
        <w:spacing w:after="160" w:line="259" w:lineRule="auto"/>
      </w:pPr>
      <w:r w:rsidRPr="009D4265">
        <w:rPr>
          <w:noProof/>
        </w:rPr>
        <w:drawing>
          <wp:inline distT="0" distB="0" distL="0" distR="0" wp14:anchorId="0501C034" wp14:editId="04F13E76">
            <wp:extent cx="5943600" cy="6791325"/>
            <wp:effectExtent l="0" t="0" r="0" b="9525"/>
            <wp:docPr id="832859319"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5943600" cy="6791325"/>
                    </a:xfrm>
                    <a:prstGeom prst="rect">
                      <a:avLst/>
                    </a:prstGeom>
                    <a:noFill/>
                    <a:ln>
                      <a:noFill/>
                    </a:ln>
                  </pic:spPr>
                </pic:pic>
              </a:graphicData>
            </a:graphic>
          </wp:inline>
        </w:drawing>
      </w:r>
    </w:p>
    <w:p w14:paraId="1480E8EC" w14:textId="204CC737" w:rsidR="008C496D" w:rsidRPr="008C496D" w:rsidRDefault="008C496D" w:rsidP="008C496D">
      <w:pPr>
        <w:widowControl/>
        <w:spacing w:after="160" w:line="360" w:lineRule="auto"/>
        <w:ind w:firstLine="720"/>
        <w:jc w:val="both"/>
        <w:rPr>
          <w:rFonts w:ascii="Times New Roman" w:hAnsi="Times New Roman" w:cs="Times New Roman"/>
          <w:sz w:val="24"/>
          <w:szCs w:val="24"/>
        </w:rPr>
      </w:pPr>
      <w:r w:rsidRPr="008C496D">
        <w:rPr>
          <w:rFonts w:ascii="Times New Roman" w:hAnsi="Times New Roman" w:cs="Times New Roman"/>
          <w:sz w:val="24"/>
          <w:szCs w:val="24"/>
        </w:rPr>
        <w:t>Fuente: Elaboración propia con datos proyectados.</w:t>
      </w:r>
    </w:p>
    <w:p w14:paraId="16E32A6E" w14:textId="77777777" w:rsidR="008C496D" w:rsidRDefault="008C496D">
      <w:pPr>
        <w:widowControl/>
        <w:spacing w:after="160" w:line="259" w:lineRule="auto"/>
      </w:pPr>
    </w:p>
    <w:p w14:paraId="35D6AA08" w14:textId="77777777" w:rsidR="008C496D" w:rsidRDefault="008C496D">
      <w:pPr>
        <w:widowControl/>
        <w:spacing w:after="160" w:line="259" w:lineRule="auto"/>
      </w:pPr>
    </w:p>
    <w:p w14:paraId="6E322660" w14:textId="00E6D933" w:rsidR="00ED7BDA" w:rsidRDefault="00ED7BDA" w:rsidP="00ED7BDA">
      <w:pPr>
        <w:widowControl/>
        <w:spacing w:after="160" w:line="360" w:lineRule="auto"/>
        <w:ind w:firstLine="720"/>
        <w:jc w:val="both"/>
        <w:rPr>
          <w:rFonts w:ascii="Times New Roman" w:hAnsi="Times New Roman" w:cs="Times New Roman"/>
          <w:sz w:val="24"/>
          <w:szCs w:val="24"/>
        </w:rPr>
      </w:pPr>
      <w:r>
        <w:rPr>
          <w:rFonts w:ascii="Times New Roman" w:hAnsi="Times New Roman" w:cs="Times New Roman"/>
          <w:sz w:val="24"/>
          <w:szCs w:val="24"/>
        </w:rPr>
        <w:lastRenderedPageBreak/>
        <w:t>Mediante el estado de resultados que se presenta, se puede observar que:</w:t>
      </w:r>
    </w:p>
    <w:p w14:paraId="7E782DBE" w14:textId="79111390" w:rsidR="00ED7BDA" w:rsidRDefault="00ED7BDA" w:rsidP="00ED7BDA">
      <w:pPr>
        <w:widowControl/>
        <w:spacing w:after="160"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Escenario 1: Se proyecta que para el cierre de año 2024 se tendrá una mejora en los ingresos debido a un crecimiento en la colocación de cartera crediticia, </w:t>
      </w:r>
      <w:r w:rsidR="0055593E">
        <w:rPr>
          <w:rFonts w:ascii="Times New Roman" w:hAnsi="Times New Roman" w:cs="Times New Roman"/>
          <w:sz w:val="24"/>
          <w:szCs w:val="24"/>
        </w:rPr>
        <w:t xml:space="preserve">por otra parte; </w:t>
      </w:r>
      <w:r>
        <w:rPr>
          <w:rFonts w:ascii="Times New Roman" w:hAnsi="Times New Roman" w:cs="Times New Roman"/>
          <w:sz w:val="24"/>
          <w:szCs w:val="24"/>
        </w:rPr>
        <w:t xml:space="preserve">las comisiones sobre la cartera </w:t>
      </w:r>
      <w:r w:rsidR="0055593E">
        <w:rPr>
          <w:rFonts w:ascii="Times New Roman" w:hAnsi="Times New Roman" w:cs="Times New Roman"/>
          <w:sz w:val="24"/>
          <w:szCs w:val="24"/>
        </w:rPr>
        <w:t>por gastos administrativos cobrados en efectivo también obtienen un leve aumento. En cuanto a los gastos financieros se incrementan debido a la necesidad de fondos para colocaciones de créditos. Los gastos operativos presentan una reducción del 4% considerando la implementación de algunas estrategias para aminorar los gastos. Finalmente, con estas condiciones se lograría obtener una utilidad de L 1,030,740.00 al cierre del año 2024.</w:t>
      </w:r>
    </w:p>
    <w:p w14:paraId="03C8FB1C" w14:textId="2C7F9C20" w:rsidR="00ED7BDA" w:rsidRDefault="00ED7BDA" w:rsidP="00ED7BDA">
      <w:pPr>
        <w:widowControl/>
        <w:spacing w:after="160"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Escenario 2: </w:t>
      </w:r>
      <w:r w:rsidR="0055593E">
        <w:rPr>
          <w:rFonts w:ascii="Times New Roman" w:hAnsi="Times New Roman" w:cs="Times New Roman"/>
          <w:sz w:val="24"/>
          <w:szCs w:val="24"/>
        </w:rPr>
        <w:t xml:space="preserve">A diferencia del escenario anterior, bajo la implementación de esta propuesta que conlleva un plan de acción para la reducción de mora, se logran obtener mayores </w:t>
      </w:r>
      <w:r w:rsidR="00017A26">
        <w:rPr>
          <w:rFonts w:ascii="Times New Roman" w:hAnsi="Times New Roman" w:cs="Times New Roman"/>
          <w:sz w:val="24"/>
          <w:szCs w:val="24"/>
        </w:rPr>
        <w:t xml:space="preserve">beneficios </w:t>
      </w:r>
      <w:r w:rsidR="0055593E">
        <w:rPr>
          <w:rFonts w:ascii="Times New Roman" w:hAnsi="Times New Roman" w:cs="Times New Roman"/>
          <w:sz w:val="24"/>
          <w:szCs w:val="24"/>
        </w:rPr>
        <w:t>financieros debido a que ya se contaría con una cartera subsanada y por tanto los saldos de los créditos vigentes estarían en un nivel de mora muy bajo. Los gastos financieros se reducirían ya que no se requiere de financiamiento externo para la colocación de nuevos créditos.</w:t>
      </w:r>
      <w:r w:rsidR="00A1113E">
        <w:rPr>
          <w:rFonts w:ascii="Times New Roman" w:hAnsi="Times New Roman" w:cs="Times New Roman"/>
          <w:sz w:val="24"/>
          <w:szCs w:val="24"/>
        </w:rPr>
        <w:t xml:space="preserve"> La venta de la cartera de crédito en castigo proveerá de recursos financieros para nuevas colocaciones.</w:t>
      </w:r>
    </w:p>
    <w:p w14:paraId="14110A06" w14:textId="00327F10" w:rsidR="00A1113E" w:rsidRDefault="00A1113E" w:rsidP="00ED7BDA">
      <w:pPr>
        <w:widowControl/>
        <w:spacing w:after="160" w:line="360" w:lineRule="auto"/>
        <w:ind w:firstLine="720"/>
        <w:jc w:val="both"/>
        <w:rPr>
          <w:rFonts w:ascii="Times New Roman" w:hAnsi="Times New Roman" w:cs="Times New Roman"/>
          <w:sz w:val="24"/>
          <w:szCs w:val="24"/>
        </w:rPr>
      </w:pPr>
      <w:r>
        <w:rPr>
          <w:rFonts w:ascii="Times New Roman" w:hAnsi="Times New Roman" w:cs="Times New Roman"/>
          <w:sz w:val="24"/>
          <w:szCs w:val="24"/>
        </w:rPr>
        <w:t>En cuanto a los gastos operativos, estos presentan un aumento debido a la nueva estructura del departamento de cobros que se propone, elevándose debido a sueldos y salarios, así como gastos generales y de administración.</w:t>
      </w:r>
    </w:p>
    <w:p w14:paraId="182294B7" w14:textId="77777777" w:rsidR="008C496D" w:rsidRDefault="008C496D" w:rsidP="00ED7BDA">
      <w:pPr>
        <w:widowControl/>
        <w:spacing w:after="160" w:line="360" w:lineRule="auto"/>
        <w:ind w:firstLine="720"/>
        <w:jc w:val="both"/>
        <w:rPr>
          <w:rFonts w:ascii="Times New Roman" w:hAnsi="Times New Roman" w:cs="Times New Roman"/>
          <w:sz w:val="24"/>
          <w:szCs w:val="24"/>
        </w:rPr>
      </w:pPr>
    </w:p>
    <w:p w14:paraId="5341E5C1" w14:textId="77777777" w:rsidR="008C496D" w:rsidRDefault="008C496D" w:rsidP="00ED7BDA">
      <w:pPr>
        <w:widowControl/>
        <w:spacing w:after="160" w:line="360" w:lineRule="auto"/>
        <w:ind w:firstLine="720"/>
        <w:jc w:val="both"/>
        <w:rPr>
          <w:rFonts w:ascii="Times New Roman" w:hAnsi="Times New Roman" w:cs="Times New Roman"/>
          <w:sz w:val="24"/>
          <w:szCs w:val="24"/>
        </w:rPr>
      </w:pPr>
    </w:p>
    <w:p w14:paraId="0CA074DD" w14:textId="77777777" w:rsidR="008C496D" w:rsidRDefault="008C496D" w:rsidP="00ED7BDA">
      <w:pPr>
        <w:widowControl/>
        <w:spacing w:after="160" w:line="360" w:lineRule="auto"/>
        <w:ind w:firstLine="720"/>
        <w:jc w:val="both"/>
        <w:rPr>
          <w:rFonts w:ascii="Times New Roman" w:hAnsi="Times New Roman" w:cs="Times New Roman"/>
          <w:sz w:val="24"/>
          <w:szCs w:val="24"/>
        </w:rPr>
      </w:pPr>
    </w:p>
    <w:p w14:paraId="31CA9EA7" w14:textId="77777777" w:rsidR="008C496D" w:rsidRDefault="008C496D" w:rsidP="00ED7BDA">
      <w:pPr>
        <w:widowControl/>
        <w:spacing w:after="160" w:line="360" w:lineRule="auto"/>
        <w:ind w:firstLine="720"/>
        <w:jc w:val="both"/>
        <w:rPr>
          <w:rFonts w:ascii="Times New Roman" w:hAnsi="Times New Roman" w:cs="Times New Roman"/>
          <w:sz w:val="24"/>
          <w:szCs w:val="24"/>
        </w:rPr>
      </w:pPr>
    </w:p>
    <w:p w14:paraId="27381967" w14:textId="77777777" w:rsidR="008C496D" w:rsidRDefault="008C496D" w:rsidP="00ED7BDA">
      <w:pPr>
        <w:widowControl/>
        <w:spacing w:after="160" w:line="360" w:lineRule="auto"/>
        <w:ind w:firstLine="720"/>
        <w:jc w:val="both"/>
        <w:rPr>
          <w:rFonts w:ascii="Times New Roman" w:hAnsi="Times New Roman" w:cs="Times New Roman"/>
          <w:sz w:val="24"/>
          <w:szCs w:val="24"/>
        </w:rPr>
      </w:pPr>
    </w:p>
    <w:p w14:paraId="0399FCD1" w14:textId="77777777" w:rsidR="008C496D" w:rsidRDefault="008C496D" w:rsidP="00ED7BDA">
      <w:pPr>
        <w:widowControl/>
        <w:spacing w:after="160" w:line="360" w:lineRule="auto"/>
        <w:ind w:firstLine="720"/>
        <w:jc w:val="both"/>
        <w:rPr>
          <w:rFonts w:ascii="Times New Roman" w:hAnsi="Times New Roman" w:cs="Times New Roman"/>
          <w:sz w:val="24"/>
          <w:szCs w:val="24"/>
        </w:rPr>
      </w:pPr>
    </w:p>
    <w:p w14:paraId="0988D111" w14:textId="77777777" w:rsidR="008C496D" w:rsidRDefault="008C496D" w:rsidP="00ED7BDA">
      <w:pPr>
        <w:widowControl/>
        <w:spacing w:after="160" w:line="360" w:lineRule="auto"/>
        <w:ind w:firstLine="720"/>
        <w:jc w:val="both"/>
        <w:rPr>
          <w:rFonts w:ascii="Times New Roman" w:hAnsi="Times New Roman" w:cs="Times New Roman"/>
          <w:sz w:val="24"/>
          <w:szCs w:val="24"/>
        </w:rPr>
      </w:pPr>
    </w:p>
    <w:p w14:paraId="236655F3" w14:textId="77777777" w:rsidR="008C496D" w:rsidRDefault="008C496D" w:rsidP="00ED7BDA">
      <w:pPr>
        <w:widowControl/>
        <w:spacing w:after="160" w:line="360" w:lineRule="auto"/>
        <w:ind w:firstLine="720"/>
        <w:jc w:val="both"/>
        <w:rPr>
          <w:rFonts w:ascii="Times New Roman" w:hAnsi="Times New Roman" w:cs="Times New Roman"/>
          <w:sz w:val="24"/>
          <w:szCs w:val="24"/>
        </w:rPr>
      </w:pPr>
    </w:p>
    <w:p w14:paraId="0DB03284" w14:textId="77777777" w:rsidR="008C496D" w:rsidRDefault="008C496D" w:rsidP="00ED7BDA">
      <w:pPr>
        <w:widowControl/>
        <w:spacing w:after="160" w:line="360" w:lineRule="auto"/>
        <w:ind w:firstLine="720"/>
        <w:jc w:val="both"/>
        <w:rPr>
          <w:rFonts w:ascii="Times New Roman" w:hAnsi="Times New Roman" w:cs="Times New Roman"/>
          <w:sz w:val="24"/>
          <w:szCs w:val="24"/>
        </w:rPr>
      </w:pPr>
    </w:p>
    <w:p w14:paraId="6AC65A9F" w14:textId="1FB26B99" w:rsidR="008C496D" w:rsidRPr="00ED7BDA" w:rsidRDefault="008C496D" w:rsidP="00ED7BDA">
      <w:pPr>
        <w:widowControl/>
        <w:spacing w:after="160" w:line="360" w:lineRule="auto"/>
        <w:ind w:firstLine="720"/>
        <w:jc w:val="both"/>
        <w:rPr>
          <w:rFonts w:ascii="Times New Roman" w:hAnsi="Times New Roman" w:cs="Times New Roman"/>
          <w:sz w:val="24"/>
          <w:szCs w:val="24"/>
        </w:rPr>
      </w:pPr>
      <w:r w:rsidRPr="008C496D">
        <w:rPr>
          <w:rFonts w:ascii="Times New Roman" w:hAnsi="Times New Roman" w:cs="Times New Roman"/>
          <w:sz w:val="24"/>
          <w:szCs w:val="24"/>
        </w:rPr>
        <w:lastRenderedPageBreak/>
        <w:t>Tabla 2</w:t>
      </w:r>
      <w:r w:rsidR="00E17687">
        <w:rPr>
          <w:rFonts w:ascii="Times New Roman" w:hAnsi="Times New Roman" w:cs="Times New Roman"/>
          <w:sz w:val="24"/>
          <w:szCs w:val="24"/>
        </w:rPr>
        <w:t>5</w:t>
      </w:r>
      <w:r w:rsidRPr="008C496D">
        <w:rPr>
          <w:rFonts w:ascii="Times New Roman" w:hAnsi="Times New Roman" w:cs="Times New Roman"/>
          <w:sz w:val="24"/>
          <w:szCs w:val="24"/>
        </w:rPr>
        <w:t xml:space="preserve">: </w:t>
      </w:r>
      <w:r>
        <w:rPr>
          <w:rFonts w:ascii="Times New Roman" w:hAnsi="Times New Roman" w:cs="Times New Roman"/>
          <w:sz w:val="24"/>
          <w:szCs w:val="24"/>
        </w:rPr>
        <w:t xml:space="preserve">Balance general </w:t>
      </w:r>
      <w:r w:rsidRPr="008C496D">
        <w:rPr>
          <w:rFonts w:ascii="Times New Roman" w:hAnsi="Times New Roman" w:cs="Times New Roman"/>
          <w:sz w:val="24"/>
          <w:szCs w:val="24"/>
        </w:rPr>
        <w:t>proyectado a diciembre 2024.</w:t>
      </w:r>
    </w:p>
    <w:p w14:paraId="5049867F" w14:textId="77777777" w:rsidR="00A1113E" w:rsidRDefault="00ED7BDA">
      <w:pPr>
        <w:widowControl/>
        <w:spacing w:after="160" w:line="259" w:lineRule="auto"/>
      </w:pPr>
      <w:r w:rsidRPr="00ED7BDA">
        <w:rPr>
          <w:noProof/>
        </w:rPr>
        <w:drawing>
          <wp:inline distT="0" distB="0" distL="0" distR="0" wp14:anchorId="0BB6CDCC" wp14:editId="7C507E17">
            <wp:extent cx="5943600" cy="6781800"/>
            <wp:effectExtent l="0" t="0" r="0" b="0"/>
            <wp:docPr id="1931051825"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rotWithShape="1">
                    <a:blip r:embed="rId43">
                      <a:extLst>
                        <a:ext uri="{28A0092B-C50C-407E-A947-70E740481C1C}">
                          <a14:useLocalDpi xmlns:a14="http://schemas.microsoft.com/office/drawing/2010/main" val="0"/>
                        </a:ext>
                      </a:extLst>
                    </a:blip>
                    <a:srcRect t="2304"/>
                    <a:stretch/>
                  </pic:blipFill>
                  <pic:spPr bwMode="auto">
                    <a:xfrm>
                      <a:off x="0" y="0"/>
                      <a:ext cx="5943600" cy="6781800"/>
                    </a:xfrm>
                    <a:prstGeom prst="rect">
                      <a:avLst/>
                    </a:prstGeom>
                    <a:noFill/>
                    <a:ln>
                      <a:noFill/>
                    </a:ln>
                    <a:extLst>
                      <a:ext uri="{53640926-AAD7-44D8-BBD7-CCE9431645EC}">
                        <a14:shadowObscured xmlns:a14="http://schemas.microsoft.com/office/drawing/2010/main"/>
                      </a:ext>
                    </a:extLst>
                  </pic:spPr>
                </pic:pic>
              </a:graphicData>
            </a:graphic>
          </wp:inline>
        </w:drawing>
      </w:r>
    </w:p>
    <w:p w14:paraId="7205197A" w14:textId="77777777" w:rsidR="008C496D" w:rsidRPr="008C496D" w:rsidRDefault="008C496D" w:rsidP="008C496D">
      <w:pPr>
        <w:widowControl/>
        <w:spacing w:after="160" w:line="360" w:lineRule="auto"/>
        <w:ind w:firstLine="720"/>
        <w:jc w:val="both"/>
        <w:rPr>
          <w:rFonts w:ascii="Times New Roman" w:hAnsi="Times New Roman" w:cs="Times New Roman"/>
          <w:sz w:val="24"/>
          <w:szCs w:val="24"/>
        </w:rPr>
      </w:pPr>
      <w:r w:rsidRPr="008C496D">
        <w:rPr>
          <w:rFonts w:ascii="Times New Roman" w:hAnsi="Times New Roman" w:cs="Times New Roman"/>
          <w:sz w:val="24"/>
          <w:szCs w:val="24"/>
        </w:rPr>
        <w:t>Fuente: Elaboración propia con datos proyectados.</w:t>
      </w:r>
    </w:p>
    <w:p w14:paraId="197A98B6" w14:textId="7A1DCC7C" w:rsidR="00A1113E" w:rsidRDefault="00A1113E" w:rsidP="00A1113E">
      <w:pPr>
        <w:widowControl/>
        <w:spacing w:after="160" w:line="360" w:lineRule="auto"/>
        <w:ind w:firstLine="720"/>
        <w:jc w:val="both"/>
        <w:rPr>
          <w:rFonts w:ascii="Times New Roman" w:hAnsi="Times New Roman" w:cs="Times New Roman"/>
          <w:sz w:val="24"/>
          <w:szCs w:val="24"/>
        </w:rPr>
      </w:pPr>
      <w:r>
        <w:rPr>
          <w:rFonts w:ascii="Times New Roman" w:hAnsi="Times New Roman" w:cs="Times New Roman"/>
          <w:sz w:val="24"/>
          <w:szCs w:val="24"/>
        </w:rPr>
        <w:t>Al igual que el estado de resultados, el balance general también presenta proyecciones de las cuales se ha</w:t>
      </w:r>
      <w:r w:rsidR="00E917FB">
        <w:rPr>
          <w:rFonts w:ascii="Times New Roman" w:hAnsi="Times New Roman" w:cs="Times New Roman"/>
          <w:sz w:val="24"/>
          <w:szCs w:val="24"/>
        </w:rPr>
        <w:t>ce</w:t>
      </w:r>
      <w:r>
        <w:rPr>
          <w:rFonts w:ascii="Times New Roman" w:hAnsi="Times New Roman" w:cs="Times New Roman"/>
          <w:sz w:val="24"/>
          <w:szCs w:val="24"/>
        </w:rPr>
        <w:t xml:space="preserve"> un análisis a continuación:</w:t>
      </w:r>
    </w:p>
    <w:p w14:paraId="2555B66B" w14:textId="5E48E8CE" w:rsidR="00A1113E" w:rsidRDefault="00A1113E" w:rsidP="00A1113E">
      <w:pPr>
        <w:widowControl/>
        <w:spacing w:after="160" w:line="360" w:lineRule="auto"/>
        <w:ind w:firstLine="720"/>
        <w:jc w:val="both"/>
        <w:rPr>
          <w:rFonts w:ascii="Times New Roman" w:hAnsi="Times New Roman" w:cs="Times New Roman"/>
          <w:sz w:val="24"/>
          <w:szCs w:val="24"/>
        </w:rPr>
      </w:pPr>
      <w:r>
        <w:rPr>
          <w:rFonts w:ascii="Times New Roman" w:hAnsi="Times New Roman" w:cs="Times New Roman"/>
          <w:sz w:val="24"/>
          <w:szCs w:val="24"/>
        </w:rPr>
        <w:lastRenderedPageBreak/>
        <w:t xml:space="preserve">Escenario 1: Si bien es cierto que al no implementar ninguna estrategia la IMF </w:t>
      </w:r>
      <w:r w:rsidR="00E5074B">
        <w:rPr>
          <w:rFonts w:ascii="Times New Roman" w:hAnsi="Times New Roman" w:cs="Times New Roman"/>
          <w:sz w:val="24"/>
          <w:szCs w:val="24"/>
        </w:rPr>
        <w:t>“XYZ”</w:t>
      </w:r>
      <w:r>
        <w:rPr>
          <w:rFonts w:ascii="Times New Roman" w:hAnsi="Times New Roman" w:cs="Times New Roman"/>
          <w:sz w:val="24"/>
          <w:szCs w:val="24"/>
        </w:rPr>
        <w:t xml:space="preserve"> mejora la disponibilidad de efectivo, este valor no es tan significativo sobre sus activos. Esta proyección nos muestra que tanto las cuentas como los intereses por cobrar también aumentan en un 8%, pero recordando lo analizado con el estado anterior; concluimos que esto se debe </w:t>
      </w:r>
      <w:r w:rsidR="00295A8F">
        <w:rPr>
          <w:rFonts w:ascii="Times New Roman" w:hAnsi="Times New Roman" w:cs="Times New Roman"/>
          <w:sz w:val="24"/>
          <w:szCs w:val="24"/>
        </w:rPr>
        <w:t>a la inyección de</w:t>
      </w:r>
      <w:r>
        <w:rPr>
          <w:rFonts w:ascii="Times New Roman" w:hAnsi="Times New Roman" w:cs="Times New Roman"/>
          <w:sz w:val="24"/>
          <w:szCs w:val="24"/>
        </w:rPr>
        <w:t xml:space="preserve"> los fondos externos que se requieren y por tanto elevan </w:t>
      </w:r>
      <w:r w:rsidR="00295A8F">
        <w:rPr>
          <w:rFonts w:ascii="Times New Roman" w:hAnsi="Times New Roman" w:cs="Times New Roman"/>
          <w:sz w:val="24"/>
          <w:szCs w:val="24"/>
        </w:rPr>
        <w:t>sus niveles de pasivo en calidad de préstamos por pagar. Finalmente, se refleja una mínima disminución en los déficits acumulados debido a la utilidad que se obtendría en el período 2024.</w:t>
      </w:r>
    </w:p>
    <w:p w14:paraId="742D4515" w14:textId="13C14BF3" w:rsidR="00654A2F" w:rsidRDefault="00A1113E" w:rsidP="00696BEF">
      <w:pPr>
        <w:widowControl/>
        <w:spacing w:after="160" w:line="360" w:lineRule="auto"/>
        <w:ind w:firstLine="720"/>
        <w:jc w:val="both"/>
        <w:rPr>
          <w:rFonts w:ascii="Times New Roman" w:hAnsi="Times New Roman" w:cs="Times New Roman"/>
          <w:sz w:val="24"/>
          <w:szCs w:val="24"/>
        </w:rPr>
      </w:pPr>
      <w:r>
        <w:rPr>
          <w:rFonts w:ascii="Times New Roman" w:hAnsi="Times New Roman" w:cs="Times New Roman"/>
          <w:sz w:val="24"/>
          <w:szCs w:val="24"/>
        </w:rPr>
        <w:t>Escenario 2:</w:t>
      </w:r>
      <w:r w:rsidR="00295A8F">
        <w:rPr>
          <w:rFonts w:ascii="Times New Roman" w:hAnsi="Times New Roman" w:cs="Times New Roman"/>
          <w:sz w:val="24"/>
          <w:szCs w:val="24"/>
        </w:rPr>
        <w:t xml:space="preserve"> Este otro escenario nos muestra un panorama con mejores condiciones financieras luego del castigo en la cartera de créditos incobrables superior al 2% permitido por la CNBS. En este sentido, a diferencia del escenario anterior existen mejoras significativas en las disponibilidades de la empresa debido a que se reducen las salidas de efectivo en concepto de pagos por financiamiento. Por la misma razón, los pasivos decrecen y toda esta mezcla se factores impacta en la utilidad final del período 2024 donde se observa una amplia mejora</w:t>
      </w:r>
      <w:r w:rsidR="002A4957">
        <w:rPr>
          <w:rFonts w:ascii="Times New Roman" w:hAnsi="Times New Roman" w:cs="Times New Roman"/>
          <w:sz w:val="24"/>
          <w:szCs w:val="24"/>
        </w:rPr>
        <w:t xml:space="preserve"> al igual que</w:t>
      </w:r>
      <w:r w:rsidR="00295A8F">
        <w:rPr>
          <w:rFonts w:ascii="Times New Roman" w:hAnsi="Times New Roman" w:cs="Times New Roman"/>
          <w:sz w:val="24"/>
          <w:szCs w:val="24"/>
        </w:rPr>
        <w:t xml:space="preserve"> en sus cuentas de patrimonio</w:t>
      </w:r>
      <w:r w:rsidR="00D41187">
        <w:rPr>
          <w:rFonts w:ascii="Times New Roman" w:hAnsi="Times New Roman" w:cs="Times New Roman"/>
          <w:sz w:val="24"/>
          <w:szCs w:val="24"/>
        </w:rPr>
        <w:t xml:space="preserve"> neto</w:t>
      </w:r>
      <w:r w:rsidR="00295A8F">
        <w:rPr>
          <w:rFonts w:ascii="Times New Roman" w:hAnsi="Times New Roman" w:cs="Times New Roman"/>
          <w:sz w:val="24"/>
          <w:szCs w:val="24"/>
        </w:rPr>
        <w:t>.</w:t>
      </w:r>
    </w:p>
    <w:p w14:paraId="189D24EE" w14:textId="269BCE5B" w:rsidR="00654A2F" w:rsidRDefault="00654A2F" w:rsidP="00696BEF">
      <w:pPr>
        <w:pStyle w:val="TextoPrincipal"/>
        <w:spacing w:line="360" w:lineRule="auto"/>
        <w:ind w:firstLine="0"/>
        <w:jc w:val="center"/>
      </w:pPr>
      <w:r w:rsidRPr="00654A2F">
        <w:rPr>
          <w:noProof/>
        </w:rPr>
        <w:drawing>
          <wp:inline distT="0" distB="0" distL="0" distR="0" wp14:anchorId="47A017F6" wp14:editId="25E2F624">
            <wp:extent cx="5943600" cy="3614420"/>
            <wp:effectExtent l="0" t="0" r="0" b="5080"/>
            <wp:docPr id="190084130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5943600" cy="3614420"/>
                    </a:xfrm>
                    <a:prstGeom prst="rect">
                      <a:avLst/>
                    </a:prstGeom>
                    <a:noFill/>
                    <a:ln>
                      <a:noFill/>
                    </a:ln>
                  </pic:spPr>
                </pic:pic>
              </a:graphicData>
            </a:graphic>
          </wp:inline>
        </w:drawing>
      </w:r>
    </w:p>
    <w:p w14:paraId="79240DB1" w14:textId="35B5E630" w:rsidR="007A742B" w:rsidRDefault="007A742B" w:rsidP="007A742B">
      <w:pPr>
        <w:widowControl/>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Figura 2</w:t>
      </w:r>
      <w:r w:rsidR="00E17687">
        <w:rPr>
          <w:rFonts w:ascii="Times New Roman" w:hAnsi="Times New Roman" w:cs="Times New Roman"/>
          <w:sz w:val="24"/>
          <w:szCs w:val="24"/>
        </w:rPr>
        <w:t>3</w:t>
      </w:r>
      <w:r>
        <w:rPr>
          <w:rFonts w:ascii="Times New Roman" w:hAnsi="Times New Roman" w:cs="Times New Roman"/>
          <w:sz w:val="24"/>
          <w:szCs w:val="24"/>
        </w:rPr>
        <w:t>: Semáforo de proyección de indicadores financieros.</w:t>
      </w:r>
    </w:p>
    <w:p w14:paraId="4388B5E5" w14:textId="48AF4E3D" w:rsidR="007A742B" w:rsidRPr="008C496D" w:rsidRDefault="007A742B" w:rsidP="008C496D">
      <w:pPr>
        <w:widowControl/>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Fuente: Elaboración propia.</w:t>
      </w:r>
    </w:p>
    <w:p w14:paraId="34F40A2A" w14:textId="048027EF" w:rsidR="00696BEF" w:rsidRDefault="00696BEF" w:rsidP="007A742B">
      <w:pPr>
        <w:pStyle w:val="TextoPrincipal"/>
        <w:spacing w:line="360" w:lineRule="auto"/>
      </w:pPr>
      <w:r>
        <w:lastRenderedPageBreak/>
        <w:t>Luego de un exhaustivo análisis se logra presentar la proyección de mejoras en los indicadores financieros bajo los escenarios vistos a lo largo de esta propuesta. A continuación, se detallan cada uno de ellos:</w:t>
      </w:r>
    </w:p>
    <w:p w14:paraId="5B78D83E" w14:textId="695D6456" w:rsidR="00696BEF" w:rsidRDefault="00696BEF" w:rsidP="00696BEF">
      <w:pPr>
        <w:pStyle w:val="TextoPrincipal"/>
        <w:spacing w:line="360" w:lineRule="auto"/>
      </w:pPr>
      <w:r>
        <w:t xml:space="preserve">Escenario 1: Sin que la IMF </w:t>
      </w:r>
      <w:r w:rsidR="00E5074B">
        <w:t>“XYZ”</w:t>
      </w:r>
      <w:r>
        <w:t xml:space="preserve"> implemente el plan de acción de reducción de mora, sus indicadores financieros tendrían una leve mejora, pero no suficiente para alcanzar los niveles requeridos por el ente regulador.</w:t>
      </w:r>
    </w:p>
    <w:p w14:paraId="0FA7B17D" w14:textId="05FF96C2" w:rsidR="00696BEF" w:rsidRDefault="00696BEF" w:rsidP="00696BEF">
      <w:pPr>
        <w:pStyle w:val="TextoPrincipal"/>
        <w:spacing w:line="360" w:lineRule="auto"/>
      </w:pPr>
      <w:r>
        <w:t>Escenario 2: A diferencia de lo anterior, la implementación de un plan de acción para la reducción de mora es sumamente necesario ya que según lo proyectado todos los indicadores financieros mejorarían significativamente alcanzado los niveles requeridos por la CNBS, y aquellos que no se logran alcanzar, se acercan a dichos parámetros.</w:t>
      </w:r>
    </w:p>
    <w:p w14:paraId="107239C8" w14:textId="2F9FC238" w:rsidR="00023E27" w:rsidRDefault="00023E27" w:rsidP="00696BEF">
      <w:pPr>
        <w:pStyle w:val="TextoPrincipal"/>
        <w:spacing w:line="360" w:lineRule="auto"/>
      </w:pPr>
      <w:r>
        <w:t>El indicador de incobrabilidad se eleva a un alto porcentaje debido al castigo que se aplicaría a la cartera de créditos, no obstante; este factor no afecta en incumplimiento de la institución hacia la CNBS debido a que el mismo fuere autorizado ante la solicitud presentada.</w:t>
      </w:r>
    </w:p>
    <w:p w14:paraId="78D5B7FB" w14:textId="77777777" w:rsidR="00B4076A" w:rsidRDefault="00B4076A" w:rsidP="00696BEF">
      <w:pPr>
        <w:pStyle w:val="TextoPrincipal"/>
        <w:spacing w:line="360" w:lineRule="auto"/>
      </w:pPr>
    </w:p>
    <w:p w14:paraId="4C497751" w14:textId="13594DDC" w:rsidR="00B4076A" w:rsidRDefault="00B4076A" w:rsidP="00B4076A">
      <w:pPr>
        <w:pStyle w:val="TextoPrincipal"/>
        <w:spacing w:line="360" w:lineRule="auto"/>
      </w:pPr>
      <w:r>
        <w:t xml:space="preserve">La implementación del plan de acción propuesto para reducir la morosidad en la institución microfinanciera </w:t>
      </w:r>
      <w:r w:rsidR="00E5074B">
        <w:t>“XYZ”</w:t>
      </w:r>
      <w:r>
        <w:t xml:space="preserve"> ha demostrado ser altamente efectiv</w:t>
      </w:r>
      <w:r w:rsidR="006503AB">
        <w:t>o</w:t>
      </w:r>
      <w:r>
        <w:t xml:space="preserve"> y beneficios</w:t>
      </w:r>
      <w:r w:rsidR="006503AB">
        <w:t>o</w:t>
      </w:r>
      <w:r>
        <w:t xml:space="preserve"> para la organización en varios aspectos clave. Al establecer metas específicas para reducir el monto total de morosidad en la cartera de crédito, </w:t>
      </w:r>
      <w:r w:rsidR="007C1674">
        <w:t>esta propuesta</w:t>
      </w:r>
      <w:r>
        <w:t xml:space="preserve"> busca </w:t>
      </w:r>
      <w:r w:rsidR="007C1674">
        <w:t xml:space="preserve">alcanzar </w:t>
      </w:r>
      <w:r>
        <w:t>resultados medibles que demuestren un progreso real en la gestión de riesgos financieros.</w:t>
      </w:r>
    </w:p>
    <w:p w14:paraId="069723F9" w14:textId="585A5EA1" w:rsidR="00B4076A" w:rsidRDefault="00B4076A" w:rsidP="00B4076A">
      <w:pPr>
        <w:pStyle w:val="TextoPrincipal"/>
        <w:spacing w:line="360" w:lineRule="auto"/>
      </w:pPr>
      <w:r>
        <w:t xml:space="preserve">La </w:t>
      </w:r>
      <w:r w:rsidR="007C1674">
        <w:t>puesta en marcha de</w:t>
      </w:r>
      <w:r>
        <w:t xml:space="preserve"> estrategias para reducir la morosidad va acompañada de una evaluación constante de su impacto. Esto permite realizar ajustes y mejoras continuas en las estrategias según sea necesario, lo que aumenta la efectividad del plan a lo largo del tiempo. La propuesta de restructuración en el organigrama del departamento de cobros sugiere una mayor eficiencia y enfoque en la gestión de cobranzas, lo que puede llevar a una reducción más efectiva de la morosidad y una atención más personalizada a los clientes en situación de mora.</w:t>
      </w:r>
    </w:p>
    <w:p w14:paraId="493D9E40" w14:textId="17AAF8AD" w:rsidR="00B4076A" w:rsidRDefault="00B4076A" w:rsidP="00B4076A">
      <w:pPr>
        <w:pStyle w:val="TextoPrincipal"/>
        <w:spacing w:line="360" w:lineRule="auto"/>
      </w:pPr>
      <w:r>
        <w:t>Al establecer parámetros de medición para los indicadores de cartera, el plan garantiza una monitorización clara y precisa del progreso en la reducción de la morosidad. Esto facilita la identificación temprana de áreas de mejora y la toma de decisiones informadas.</w:t>
      </w:r>
    </w:p>
    <w:p w14:paraId="1C104855" w14:textId="52AFDE60" w:rsidR="00F472BE" w:rsidRPr="00487CBA" w:rsidRDefault="00B4076A" w:rsidP="00487CBA">
      <w:pPr>
        <w:pStyle w:val="TextoPrincipal"/>
        <w:spacing w:line="360" w:lineRule="auto"/>
        <w:sectPr w:rsidR="00F472BE" w:rsidRPr="00487CBA" w:rsidSect="00342E08">
          <w:pgSz w:w="12240" w:h="15840" w:code="1"/>
          <w:pgMar w:top="1440" w:right="1440" w:bottom="1440" w:left="1440" w:header="709" w:footer="709" w:gutter="0"/>
          <w:cols w:space="708"/>
          <w:docGrid w:linePitch="360"/>
        </w:sectPr>
      </w:pPr>
      <w:r>
        <w:t xml:space="preserve">La implementación exitosa de este plan de acción no solo busca reducir la morosidad, sino </w:t>
      </w:r>
      <w:r>
        <w:lastRenderedPageBreak/>
        <w:t xml:space="preserve">también mejorar la salud financiera general de la </w:t>
      </w:r>
      <w:r w:rsidR="007C1674">
        <w:t>IMF</w:t>
      </w:r>
      <w:r>
        <w:t xml:space="preserve"> </w:t>
      </w:r>
      <w:r w:rsidR="00E5074B">
        <w:t>“XYZ”</w:t>
      </w:r>
      <w:r>
        <w:t>. Esto implica una gestión más eficiente de riesgos, una mayor liquidez y confianza por parte de los inversores</w:t>
      </w:r>
      <w:bookmarkStart w:id="391" w:name="_Toc166705848"/>
      <w:r w:rsidR="007C1674">
        <w:t>.</w:t>
      </w:r>
    </w:p>
    <w:p w14:paraId="53C64EEF" w14:textId="54333680" w:rsidR="000E2A5D" w:rsidRDefault="00A871DB" w:rsidP="009D4265">
      <w:pPr>
        <w:pStyle w:val="Ttulo2"/>
        <w:numPr>
          <w:ilvl w:val="1"/>
          <w:numId w:val="10"/>
        </w:numPr>
      </w:pPr>
      <w:bookmarkStart w:id="392" w:name="_Toc175171476"/>
      <w:r w:rsidRPr="00A900CC">
        <w:lastRenderedPageBreak/>
        <w:t>MEDIDAS DE CONTROL</w:t>
      </w:r>
      <w:bookmarkEnd w:id="391"/>
      <w:bookmarkEnd w:id="392"/>
    </w:p>
    <w:p w14:paraId="66A14725" w14:textId="48A3693F" w:rsidR="009D4265" w:rsidRPr="009D4265" w:rsidRDefault="009D4265" w:rsidP="009D4265">
      <w:pPr>
        <w:pStyle w:val="TextoPrincipal"/>
      </w:pPr>
      <w:r>
        <w:t>Tabla 2</w:t>
      </w:r>
      <w:r w:rsidR="00A429C8">
        <w:t>6</w:t>
      </w:r>
      <w:r>
        <w:t>: Medidas de control.</w:t>
      </w:r>
    </w:p>
    <w:tbl>
      <w:tblPr>
        <w:tblStyle w:val="Tablaconcuadrcula"/>
        <w:tblW w:w="13036" w:type="dxa"/>
        <w:tblLook w:val="04A0" w:firstRow="1" w:lastRow="0" w:firstColumn="1" w:lastColumn="0" w:noHBand="0" w:noVBand="1"/>
      </w:tblPr>
      <w:tblGrid>
        <w:gridCol w:w="2122"/>
        <w:gridCol w:w="2126"/>
        <w:gridCol w:w="1984"/>
        <w:gridCol w:w="2127"/>
        <w:gridCol w:w="2268"/>
        <w:gridCol w:w="2409"/>
      </w:tblGrid>
      <w:tr w:rsidR="00F55453" w14:paraId="07117B7C" w14:textId="77777777" w:rsidTr="0012424C">
        <w:tc>
          <w:tcPr>
            <w:tcW w:w="2122" w:type="dxa"/>
          </w:tcPr>
          <w:p w14:paraId="3EF5F714" w14:textId="14550BAB" w:rsidR="00E1398E" w:rsidRPr="00E1398E" w:rsidRDefault="00E1398E" w:rsidP="00E1398E">
            <w:pPr>
              <w:pStyle w:val="TextoPrincipal"/>
              <w:spacing w:line="360" w:lineRule="auto"/>
              <w:ind w:firstLine="0"/>
              <w:jc w:val="center"/>
              <w:rPr>
                <w:b/>
                <w:bCs/>
              </w:rPr>
            </w:pPr>
            <w:r w:rsidRPr="00E1398E">
              <w:rPr>
                <w:b/>
                <w:bCs/>
              </w:rPr>
              <w:t>Actividad</w:t>
            </w:r>
          </w:p>
        </w:tc>
        <w:tc>
          <w:tcPr>
            <w:tcW w:w="2126" w:type="dxa"/>
          </w:tcPr>
          <w:p w14:paraId="7D148005" w14:textId="3503AB2C" w:rsidR="00E1398E" w:rsidRPr="00E1398E" w:rsidRDefault="00E1398E" w:rsidP="00E1398E">
            <w:pPr>
              <w:pStyle w:val="TextoPrincipal"/>
              <w:spacing w:line="360" w:lineRule="auto"/>
              <w:ind w:firstLine="0"/>
              <w:jc w:val="center"/>
              <w:rPr>
                <w:b/>
                <w:bCs/>
              </w:rPr>
            </w:pPr>
            <w:r w:rsidRPr="00E1398E">
              <w:rPr>
                <w:b/>
                <w:bCs/>
              </w:rPr>
              <w:t>Frecuencia</w:t>
            </w:r>
          </w:p>
        </w:tc>
        <w:tc>
          <w:tcPr>
            <w:tcW w:w="1984" w:type="dxa"/>
          </w:tcPr>
          <w:p w14:paraId="16804425" w14:textId="68514D99" w:rsidR="00E1398E" w:rsidRPr="00E1398E" w:rsidRDefault="00E1398E" w:rsidP="00E1398E">
            <w:pPr>
              <w:pStyle w:val="TextoPrincipal"/>
              <w:spacing w:line="360" w:lineRule="auto"/>
              <w:ind w:firstLine="0"/>
              <w:jc w:val="center"/>
              <w:rPr>
                <w:b/>
                <w:bCs/>
              </w:rPr>
            </w:pPr>
            <w:r w:rsidRPr="00E1398E">
              <w:rPr>
                <w:b/>
                <w:bCs/>
              </w:rPr>
              <w:t>Medio por utilizar</w:t>
            </w:r>
          </w:p>
        </w:tc>
        <w:tc>
          <w:tcPr>
            <w:tcW w:w="2127" w:type="dxa"/>
          </w:tcPr>
          <w:p w14:paraId="51C2EA86" w14:textId="288EA68D" w:rsidR="00E1398E" w:rsidRPr="00E1398E" w:rsidRDefault="00E1398E" w:rsidP="00E1398E">
            <w:pPr>
              <w:pStyle w:val="TextoPrincipal"/>
              <w:spacing w:line="360" w:lineRule="auto"/>
              <w:ind w:firstLine="0"/>
              <w:jc w:val="center"/>
              <w:rPr>
                <w:b/>
                <w:bCs/>
              </w:rPr>
            </w:pPr>
            <w:r w:rsidRPr="00E1398E">
              <w:rPr>
                <w:b/>
                <w:bCs/>
              </w:rPr>
              <w:t>Lugar de ejecución</w:t>
            </w:r>
          </w:p>
        </w:tc>
        <w:tc>
          <w:tcPr>
            <w:tcW w:w="2268" w:type="dxa"/>
          </w:tcPr>
          <w:p w14:paraId="3DAC0187" w14:textId="63FD67FF" w:rsidR="00E1398E" w:rsidRPr="00E1398E" w:rsidRDefault="00E1398E" w:rsidP="00E1398E">
            <w:pPr>
              <w:pStyle w:val="TextoPrincipal"/>
              <w:spacing w:line="360" w:lineRule="auto"/>
              <w:ind w:firstLine="0"/>
              <w:jc w:val="center"/>
              <w:rPr>
                <w:b/>
                <w:bCs/>
              </w:rPr>
            </w:pPr>
            <w:r w:rsidRPr="00E1398E">
              <w:rPr>
                <w:b/>
                <w:bCs/>
              </w:rPr>
              <w:t>Objetivo</w:t>
            </w:r>
          </w:p>
        </w:tc>
        <w:tc>
          <w:tcPr>
            <w:tcW w:w="2409" w:type="dxa"/>
          </w:tcPr>
          <w:p w14:paraId="0AC372A3" w14:textId="79BFBC32" w:rsidR="00E1398E" w:rsidRPr="00E1398E" w:rsidRDefault="00E1398E" w:rsidP="00E1398E">
            <w:pPr>
              <w:pStyle w:val="TextoPrincipal"/>
              <w:spacing w:line="360" w:lineRule="auto"/>
              <w:ind w:firstLine="0"/>
              <w:jc w:val="center"/>
              <w:rPr>
                <w:b/>
                <w:bCs/>
              </w:rPr>
            </w:pPr>
            <w:r w:rsidRPr="00E1398E">
              <w:rPr>
                <w:b/>
                <w:bCs/>
              </w:rPr>
              <w:t>Observación</w:t>
            </w:r>
          </w:p>
        </w:tc>
      </w:tr>
      <w:tr w:rsidR="00F55453" w14:paraId="0441ED69" w14:textId="77777777" w:rsidTr="0012424C">
        <w:tc>
          <w:tcPr>
            <w:tcW w:w="2122" w:type="dxa"/>
          </w:tcPr>
          <w:p w14:paraId="44BAF43A" w14:textId="63637EC6" w:rsidR="00E1398E" w:rsidRDefault="0058549F" w:rsidP="00E1398E">
            <w:pPr>
              <w:pStyle w:val="TextoPrincipal"/>
              <w:spacing w:line="360" w:lineRule="auto"/>
              <w:ind w:firstLine="0"/>
            </w:pPr>
            <w:r>
              <w:t>Presentar solicitud de</w:t>
            </w:r>
            <w:r w:rsidRPr="007E29FA">
              <w:t xml:space="preserve"> </w:t>
            </w:r>
            <w:r>
              <w:t xml:space="preserve">excepción de </w:t>
            </w:r>
            <w:r w:rsidRPr="007E29FA">
              <w:t xml:space="preserve">castigo </w:t>
            </w:r>
            <w:r>
              <w:t xml:space="preserve">sobre créditos en mora &gt;30 días </w:t>
            </w:r>
            <w:r w:rsidRPr="007E29FA">
              <w:t>ante la Comisión Nacional de Bancos y Seguros (CNBS)</w:t>
            </w:r>
            <w:r>
              <w:t>.</w:t>
            </w:r>
          </w:p>
        </w:tc>
        <w:tc>
          <w:tcPr>
            <w:tcW w:w="2126" w:type="dxa"/>
          </w:tcPr>
          <w:p w14:paraId="5338270B" w14:textId="0E3AD3DF" w:rsidR="00E1398E" w:rsidRDefault="00E1398E" w:rsidP="00E1398E">
            <w:pPr>
              <w:pStyle w:val="TextoPrincipal"/>
              <w:spacing w:line="360" w:lineRule="auto"/>
              <w:ind w:firstLine="0"/>
            </w:pPr>
            <w:r>
              <w:t>Una sola vez</w:t>
            </w:r>
            <w:r w:rsidR="00C51830">
              <w:t>.</w:t>
            </w:r>
          </w:p>
        </w:tc>
        <w:tc>
          <w:tcPr>
            <w:tcW w:w="1984" w:type="dxa"/>
          </w:tcPr>
          <w:p w14:paraId="2C3E9FE6" w14:textId="0566DE06" w:rsidR="00E1398E" w:rsidRDefault="00E1398E" w:rsidP="00E1398E">
            <w:pPr>
              <w:pStyle w:val="TextoPrincipal"/>
              <w:spacing w:line="360" w:lineRule="auto"/>
              <w:ind w:firstLine="0"/>
            </w:pPr>
            <w:r>
              <w:t>Solicitud escrita</w:t>
            </w:r>
            <w:r w:rsidR="001C60DE">
              <w:t xml:space="preserve"> e informe de la cartera.</w:t>
            </w:r>
          </w:p>
        </w:tc>
        <w:tc>
          <w:tcPr>
            <w:tcW w:w="2127" w:type="dxa"/>
          </w:tcPr>
          <w:p w14:paraId="7988F84B" w14:textId="59B5A4CE" w:rsidR="00E1398E" w:rsidRDefault="00E1398E" w:rsidP="00E1398E">
            <w:pPr>
              <w:pStyle w:val="TextoPrincipal"/>
              <w:spacing w:line="360" w:lineRule="auto"/>
              <w:ind w:firstLine="0"/>
            </w:pPr>
            <w:r>
              <w:t>Oficina</w:t>
            </w:r>
            <w:r w:rsidR="00C51830">
              <w:t xml:space="preserve"> principal</w:t>
            </w:r>
            <w:r>
              <w:t xml:space="preserve"> de la empresa</w:t>
            </w:r>
            <w:r w:rsidR="0012424C">
              <w:t xml:space="preserve"> y posterior presentación ante la CNBS</w:t>
            </w:r>
            <w:r w:rsidR="00C51830">
              <w:t>.</w:t>
            </w:r>
          </w:p>
        </w:tc>
        <w:tc>
          <w:tcPr>
            <w:tcW w:w="2268" w:type="dxa"/>
          </w:tcPr>
          <w:p w14:paraId="16AA48DD" w14:textId="63DC390E" w:rsidR="00E1398E" w:rsidRDefault="00E1398E" w:rsidP="00E1398E">
            <w:pPr>
              <w:pStyle w:val="TextoPrincipal"/>
              <w:spacing w:line="360" w:lineRule="auto"/>
              <w:ind w:firstLine="0"/>
            </w:pPr>
            <w:r w:rsidRPr="007B0FE1">
              <w:t xml:space="preserve">Reducir el monto total de morosidad </w:t>
            </w:r>
            <w:r>
              <w:t xml:space="preserve">&gt;30 días </w:t>
            </w:r>
            <w:r w:rsidRPr="007B0FE1">
              <w:t xml:space="preserve">en la cartera de crédito de la microfinanciera </w:t>
            </w:r>
            <w:r w:rsidR="00E5074B">
              <w:t>“XYZ”</w:t>
            </w:r>
            <w:r w:rsidRPr="007B0FE1">
              <w:t>.</w:t>
            </w:r>
          </w:p>
        </w:tc>
        <w:tc>
          <w:tcPr>
            <w:tcW w:w="2409" w:type="dxa"/>
          </w:tcPr>
          <w:p w14:paraId="1DBA0441" w14:textId="496619E6" w:rsidR="00E1398E" w:rsidRDefault="00F472BE" w:rsidP="00E1398E">
            <w:pPr>
              <w:pStyle w:val="TextoPrincipal"/>
              <w:spacing w:line="360" w:lineRule="auto"/>
              <w:ind w:firstLine="0"/>
            </w:pPr>
            <w:r>
              <w:t xml:space="preserve">Esta actividad debe de ser desarrollada por personal interno de la empresa y deberá cumplir con los lineamientos descritos en la normativa de </w:t>
            </w:r>
            <w:r w:rsidRPr="00060B58">
              <w:t>Castigo Contable sobre el Saldo de los Créditos en Mora</w:t>
            </w:r>
            <w:r>
              <w:t xml:space="preserve"> de la CNBS.</w:t>
            </w:r>
          </w:p>
        </w:tc>
      </w:tr>
      <w:tr w:rsidR="00F55453" w14:paraId="4F560BC2" w14:textId="77777777" w:rsidTr="0012424C">
        <w:tc>
          <w:tcPr>
            <w:tcW w:w="2122" w:type="dxa"/>
          </w:tcPr>
          <w:p w14:paraId="703D86AB" w14:textId="67F1435E" w:rsidR="00E1398E" w:rsidRDefault="00C51830" w:rsidP="00E1398E">
            <w:pPr>
              <w:pStyle w:val="TextoPrincipal"/>
              <w:spacing w:line="360" w:lineRule="auto"/>
              <w:ind w:firstLine="0"/>
            </w:pPr>
            <w:r w:rsidRPr="00C51830">
              <w:t xml:space="preserve">Reuniones de seguimiento </w:t>
            </w:r>
            <w:r>
              <w:t>sobre planes de acción.</w:t>
            </w:r>
            <w:r w:rsidRPr="00C51830">
              <w:tab/>
            </w:r>
          </w:p>
        </w:tc>
        <w:tc>
          <w:tcPr>
            <w:tcW w:w="2126" w:type="dxa"/>
          </w:tcPr>
          <w:p w14:paraId="036450CD" w14:textId="2DB26842" w:rsidR="00E1398E" w:rsidRDefault="00C51830" w:rsidP="00E1398E">
            <w:pPr>
              <w:pStyle w:val="TextoPrincipal"/>
              <w:spacing w:line="360" w:lineRule="auto"/>
              <w:ind w:firstLine="0"/>
            </w:pPr>
            <w:r>
              <w:t>Mensual.</w:t>
            </w:r>
          </w:p>
        </w:tc>
        <w:tc>
          <w:tcPr>
            <w:tcW w:w="1984" w:type="dxa"/>
          </w:tcPr>
          <w:p w14:paraId="3A7C738F" w14:textId="3056702A" w:rsidR="00E1398E" w:rsidRDefault="00C51830" w:rsidP="00E1398E">
            <w:pPr>
              <w:pStyle w:val="TextoPrincipal"/>
              <w:spacing w:line="360" w:lineRule="auto"/>
              <w:ind w:firstLine="0"/>
            </w:pPr>
            <w:r>
              <w:t>Reuniones presenciales y/o virtuales.</w:t>
            </w:r>
          </w:p>
        </w:tc>
        <w:tc>
          <w:tcPr>
            <w:tcW w:w="2127" w:type="dxa"/>
          </w:tcPr>
          <w:p w14:paraId="5369F96F" w14:textId="655CDB92" w:rsidR="00E1398E" w:rsidRDefault="00C51830" w:rsidP="00E1398E">
            <w:pPr>
              <w:pStyle w:val="TextoPrincipal"/>
              <w:spacing w:line="360" w:lineRule="auto"/>
              <w:ind w:firstLine="0"/>
            </w:pPr>
            <w:r>
              <w:t>Oficina principal y agencias a nivel nacional.</w:t>
            </w:r>
          </w:p>
        </w:tc>
        <w:tc>
          <w:tcPr>
            <w:tcW w:w="2268" w:type="dxa"/>
          </w:tcPr>
          <w:p w14:paraId="2392F1EA" w14:textId="1D451FCE" w:rsidR="00E1398E" w:rsidRDefault="00C51830" w:rsidP="00E1398E">
            <w:pPr>
              <w:pStyle w:val="TextoPrincipal"/>
              <w:spacing w:line="360" w:lineRule="auto"/>
              <w:ind w:firstLine="0"/>
            </w:pPr>
            <w:r w:rsidRPr="00C51830">
              <w:t>Monitorear el progreso del plan</w:t>
            </w:r>
            <w:r>
              <w:t xml:space="preserve"> de acción</w:t>
            </w:r>
            <w:r w:rsidRPr="00C51830">
              <w:t xml:space="preserve"> y ajustar estrategias</w:t>
            </w:r>
            <w:r w:rsidRPr="00C51830">
              <w:tab/>
            </w:r>
            <w:r w:rsidR="000D75DC">
              <w:t xml:space="preserve"> para </w:t>
            </w:r>
            <w:r w:rsidR="000D75DC" w:rsidRPr="007B0FE1">
              <w:t xml:space="preserve">para reducir el monto de morosidad en la </w:t>
            </w:r>
            <w:r w:rsidR="000D75DC" w:rsidRPr="007B0FE1">
              <w:lastRenderedPageBreak/>
              <w:t>cartera de crédito</w:t>
            </w:r>
            <w:r w:rsidR="000D75DC">
              <w:t>.</w:t>
            </w:r>
          </w:p>
        </w:tc>
        <w:tc>
          <w:tcPr>
            <w:tcW w:w="2409" w:type="dxa"/>
          </w:tcPr>
          <w:p w14:paraId="575768A3" w14:textId="648BDF32" w:rsidR="00E1398E" w:rsidRDefault="00C51830" w:rsidP="00E1398E">
            <w:pPr>
              <w:pStyle w:val="TextoPrincipal"/>
              <w:spacing w:line="360" w:lineRule="auto"/>
              <w:ind w:firstLine="0"/>
            </w:pPr>
            <w:r w:rsidRPr="00C51830">
              <w:lastRenderedPageBreak/>
              <w:t>Documentar las decisiones y ajustes realizados</w:t>
            </w:r>
            <w:r w:rsidR="000B17A2">
              <w:t xml:space="preserve"> por medio de actas o ayudas memoria.</w:t>
            </w:r>
          </w:p>
        </w:tc>
      </w:tr>
      <w:tr w:rsidR="00F55453" w14:paraId="48F302F0" w14:textId="77777777" w:rsidTr="0012424C">
        <w:tc>
          <w:tcPr>
            <w:tcW w:w="2122" w:type="dxa"/>
          </w:tcPr>
          <w:p w14:paraId="330DE373" w14:textId="30C96FC2" w:rsidR="00E1398E" w:rsidRDefault="004A677C" w:rsidP="00E1398E">
            <w:pPr>
              <w:pStyle w:val="TextoPrincipal"/>
              <w:spacing w:line="360" w:lineRule="auto"/>
              <w:ind w:firstLine="0"/>
            </w:pPr>
            <w:r>
              <w:t xml:space="preserve">Planificación, seguimiento y evaluación de la implementación de reestructuración en el departamento de cobros de la IMF </w:t>
            </w:r>
            <w:r w:rsidR="00E5074B">
              <w:t>“XYZ”</w:t>
            </w:r>
            <w:r>
              <w:t>.</w:t>
            </w:r>
          </w:p>
        </w:tc>
        <w:tc>
          <w:tcPr>
            <w:tcW w:w="2126" w:type="dxa"/>
          </w:tcPr>
          <w:p w14:paraId="36DB81AD" w14:textId="1D556C61" w:rsidR="00E1398E" w:rsidRDefault="004A677C" w:rsidP="00E1398E">
            <w:pPr>
              <w:pStyle w:val="TextoPrincipal"/>
              <w:spacing w:line="360" w:lineRule="auto"/>
              <w:ind w:firstLine="0"/>
            </w:pPr>
            <w:r>
              <w:t>Mensual.</w:t>
            </w:r>
          </w:p>
        </w:tc>
        <w:tc>
          <w:tcPr>
            <w:tcW w:w="1984" w:type="dxa"/>
          </w:tcPr>
          <w:p w14:paraId="1E0AADF4" w14:textId="23DF6318" w:rsidR="00E1398E" w:rsidRDefault="004A677C" w:rsidP="00E1398E">
            <w:pPr>
              <w:pStyle w:val="TextoPrincipal"/>
              <w:spacing w:line="360" w:lineRule="auto"/>
              <w:ind w:firstLine="0"/>
            </w:pPr>
            <w:r>
              <w:t>Informes presentados en cada reunión.</w:t>
            </w:r>
          </w:p>
        </w:tc>
        <w:tc>
          <w:tcPr>
            <w:tcW w:w="2127" w:type="dxa"/>
          </w:tcPr>
          <w:p w14:paraId="1AC036E5" w14:textId="18DFAF78" w:rsidR="00E1398E" w:rsidRDefault="004A677C" w:rsidP="00E1398E">
            <w:pPr>
              <w:pStyle w:val="TextoPrincipal"/>
              <w:spacing w:line="360" w:lineRule="auto"/>
              <w:ind w:firstLine="0"/>
            </w:pPr>
            <w:r>
              <w:t>Oficina principal y agencias a nivel nacional según sea necesario.</w:t>
            </w:r>
          </w:p>
        </w:tc>
        <w:tc>
          <w:tcPr>
            <w:tcW w:w="2268" w:type="dxa"/>
          </w:tcPr>
          <w:p w14:paraId="5B06AD15" w14:textId="6C199700" w:rsidR="00E1398E" w:rsidRDefault="004A677C" w:rsidP="00E1398E">
            <w:pPr>
              <w:pStyle w:val="TextoPrincipal"/>
              <w:spacing w:line="360" w:lineRule="auto"/>
              <w:ind w:firstLine="0"/>
            </w:pPr>
            <w:r w:rsidRPr="004A677C">
              <w:t>Definir pasos, tiempos y responsables de la implementación</w:t>
            </w:r>
            <w:r>
              <w:t xml:space="preserve"> de la reestructuración, m</w:t>
            </w:r>
            <w:r w:rsidRPr="004A677C">
              <w:t>onitor</w:t>
            </w:r>
            <w:r>
              <w:t xml:space="preserve">ear </w:t>
            </w:r>
            <w:r w:rsidRPr="004A677C">
              <w:t>el progreso</w:t>
            </w:r>
            <w:r>
              <w:t xml:space="preserve"> de los cambios por ejecutar </w:t>
            </w:r>
            <w:r w:rsidRPr="004A677C">
              <w:t>y realizar ajustes necesarios</w:t>
            </w:r>
            <w:r>
              <w:t>.</w:t>
            </w:r>
          </w:p>
        </w:tc>
        <w:tc>
          <w:tcPr>
            <w:tcW w:w="2409" w:type="dxa"/>
          </w:tcPr>
          <w:p w14:paraId="2A2AD9D1" w14:textId="2030AAD8" w:rsidR="00E1398E" w:rsidRDefault="004A677C" w:rsidP="00E1398E">
            <w:pPr>
              <w:pStyle w:val="TextoPrincipal"/>
              <w:spacing w:line="360" w:lineRule="auto"/>
              <w:ind w:firstLine="0"/>
            </w:pPr>
            <w:r w:rsidRPr="004A677C">
              <w:t>Considerar fases de implementación si es necesario</w:t>
            </w:r>
            <w:r>
              <w:t xml:space="preserve"> y establecer indicadores clave de rendimiento (KPI).</w:t>
            </w:r>
          </w:p>
        </w:tc>
      </w:tr>
      <w:tr w:rsidR="00F55453" w14:paraId="19E25042" w14:textId="77777777" w:rsidTr="0012424C">
        <w:tc>
          <w:tcPr>
            <w:tcW w:w="2122" w:type="dxa"/>
          </w:tcPr>
          <w:p w14:paraId="2DC48D20" w14:textId="55E270A0" w:rsidR="00E1398E" w:rsidRPr="001D706A" w:rsidRDefault="00A70FA0" w:rsidP="00E1398E">
            <w:pPr>
              <w:pStyle w:val="TextoPrincipal"/>
              <w:spacing w:line="360" w:lineRule="auto"/>
              <w:ind w:firstLine="0"/>
              <w:rPr>
                <w:highlight w:val="yellow"/>
              </w:rPr>
            </w:pPr>
            <w:r w:rsidRPr="00A70FA0">
              <w:t>Revis</w:t>
            </w:r>
            <w:r>
              <w:t xml:space="preserve">ar </w:t>
            </w:r>
            <w:r w:rsidRPr="00A70FA0">
              <w:t>métricas clave de la cartera</w:t>
            </w:r>
            <w:r>
              <w:t xml:space="preserve"> y </w:t>
            </w:r>
            <w:r w:rsidRPr="00A70FA0">
              <w:t>parámetros de medición</w:t>
            </w:r>
            <w:r>
              <w:t>.</w:t>
            </w:r>
          </w:p>
        </w:tc>
        <w:tc>
          <w:tcPr>
            <w:tcW w:w="2126" w:type="dxa"/>
          </w:tcPr>
          <w:p w14:paraId="6866D997" w14:textId="2DD74022" w:rsidR="00E1398E" w:rsidRPr="00A70FA0" w:rsidRDefault="000D75DC" w:rsidP="00E1398E">
            <w:pPr>
              <w:pStyle w:val="TextoPrincipal"/>
              <w:spacing w:line="360" w:lineRule="auto"/>
              <w:ind w:firstLine="0"/>
            </w:pPr>
            <w:r w:rsidRPr="00A70FA0">
              <w:t>Mensual.</w:t>
            </w:r>
          </w:p>
        </w:tc>
        <w:tc>
          <w:tcPr>
            <w:tcW w:w="1984" w:type="dxa"/>
          </w:tcPr>
          <w:p w14:paraId="4CB6754F" w14:textId="2E6E342A" w:rsidR="00E1398E" w:rsidRPr="001D706A" w:rsidRDefault="00A70FA0" w:rsidP="00E1398E">
            <w:pPr>
              <w:pStyle w:val="TextoPrincipal"/>
              <w:spacing w:line="360" w:lineRule="auto"/>
              <w:ind w:firstLine="0"/>
              <w:rPr>
                <w:highlight w:val="yellow"/>
              </w:rPr>
            </w:pPr>
            <w:proofErr w:type="spellStart"/>
            <w:r w:rsidRPr="00A70FA0">
              <w:t>Dashboard</w:t>
            </w:r>
            <w:proofErr w:type="spellEnd"/>
            <w:r w:rsidRPr="00A70FA0">
              <w:t xml:space="preserve"> digital</w:t>
            </w:r>
            <w:r>
              <w:t>, hojas de cálculo, otros.</w:t>
            </w:r>
          </w:p>
        </w:tc>
        <w:tc>
          <w:tcPr>
            <w:tcW w:w="2127" w:type="dxa"/>
          </w:tcPr>
          <w:p w14:paraId="0EBF306B" w14:textId="65D06675" w:rsidR="00E1398E" w:rsidRPr="001D706A" w:rsidRDefault="000D75DC" w:rsidP="00E1398E">
            <w:pPr>
              <w:pStyle w:val="TextoPrincipal"/>
              <w:spacing w:line="360" w:lineRule="auto"/>
              <w:ind w:firstLine="0"/>
              <w:rPr>
                <w:highlight w:val="yellow"/>
              </w:rPr>
            </w:pPr>
            <w:r w:rsidRPr="00A70FA0">
              <w:t>Oficina principal.</w:t>
            </w:r>
          </w:p>
        </w:tc>
        <w:tc>
          <w:tcPr>
            <w:tcW w:w="2268" w:type="dxa"/>
          </w:tcPr>
          <w:p w14:paraId="57B12EBE" w14:textId="2229FCDF" w:rsidR="00E1398E" w:rsidRPr="001D706A" w:rsidRDefault="00A70FA0" w:rsidP="00E1398E">
            <w:pPr>
              <w:pStyle w:val="TextoPrincipal"/>
              <w:spacing w:line="360" w:lineRule="auto"/>
              <w:ind w:firstLine="0"/>
              <w:rPr>
                <w:highlight w:val="yellow"/>
              </w:rPr>
            </w:pPr>
            <w:r>
              <w:t>Establecer</w:t>
            </w:r>
            <w:r w:rsidRPr="00A70FA0">
              <w:t xml:space="preserve"> </w:t>
            </w:r>
            <w:r>
              <w:t xml:space="preserve">límites en los indicadores </w:t>
            </w:r>
            <w:r w:rsidR="00D666EF">
              <w:t>de cartera</w:t>
            </w:r>
            <w:r>
              <w:t xml:space="preserve"> mediante una matriz de </w:t>
            </w:r>
            <w:r w:rsidR="00D666EF">
              <w:t xml:space="preserve">límites y </w:t>
            </w:r>
            <w:r>
              <w:t>alertas tempranas para permanecer en constante evaluación del desempeño.</w:t>
            </w:r>
          </w:p>
        </w:tc>
        <w:tc>
          <w:tcPr>
            <w:tcW w:w="2409" w:type="dxa"/>
          </w:tcPr>
          <w:p w14:paraId="435B1FDE" w14:textId="0532D5A8" w:rsidR="00E1398E" w:rsidRPr="001D706A" w:rsidRDefault="00A70FA0" w:rsidP="00E1398E">
            <w:pPr>
              <w:pStyle w:val="TextoPrincipal"/>
              <w:spacing w:line="360" w:lineRule="auto"/>
              <w:ind w:firstLine="0"/>
              <w:rPr>
                <w:highlight w:val="yellow"/>
              </w:rPr>
            </w:pPr>
            <w:r w:rsidRPr="00A70FA0">
              <w:t>Los parámetros deben ser revisados y ajustados regularmente</w:t>
            </w:r>
            <w:r>
              <w:t>.</w:t>
            </w:r>
          </w:p>
        </w:tc>
      </w:tr>
      <w:tr w:rsidR="00F55453" w14:paraId="1748CD3D" w14:textId="77777777" w:rsidTr="0012424C">
        <w:tc>
          <w:tcPr>
            <w:tcW w:w="2122" w:type="dxa"/>
          </w:tcPr>
          <w:p w14:paraId="1A2DA7D4" w14:textId="661F8BDC" w:rsidR="00E1398E" w:rsidRDefault="001C4088" w:rsidP="00E1398E">
            <w:pPr>
              <w:pStyle w:val="TextoPrincipal"/>
              <w:spacing w:line="360" w:lineRule="auto"/>
              <w:ind w:firstLine="0"/>
            </w:pPr>
            <w:r>
              <w:t xml:space="preserve">Analizar el valor comercial de la </w:t>
            </w:r>
            <w:r>
              <w:lastRenderedPageBreak/>
              <w:t>cartera de crédito castigada, evaluar</w:t>
            </w:r>
            <w:r w:rsidR="00F55453">
              <w:t xml:space="preserve"> las ventajas y desventajas posterior a la selección de compradores</w:t>
            </w:r>
            <w:r>
              <w:t xml:space="preserve"> y negociar con </w:t>
            </w:r>
            <w:r w:rsidR="00F55453">
              <w:t>ellos</w:t>
            </w:r>
            <w:r>
              <w:t xml:space="preserve"> </w:t>
            </w:r>
            <w:r w:rsidR="00F55453">
              <w:t>ajustando los términos del acuerdo</w:t>
            </w:r>
            <w:r w:rsidR="00B00B0B">
              <w:t>.</w:t>
            </w:r>
          </w:p>
        </w:tc>
        <w:tc>
          <w:tcPr>
            <w:tcW w:w="2126" w:type="dxa"/>
          </w:tcPr>
          <w:p w14:paraId="648C3E2A" w14:textId="46622D0C" w:rsidR="00E1398E" w:rsidRDefault="00F55453" w:rsidP="00E1398E">
            <w:pPr>
              <w:pStyle w:val="TextoPrincipal"/>
              <w:spacing w:line="360" w:lineRule="auto"/>
              <w:ind w:firstLine="0"/>
            </w:pPr>
            <w:r>
              <w:lastRenderedPageBreak/>
              <w:t xml:space="preserve">Según sea necesario, puede ser </w:t>
            </w:r>
            <w:r>
              <w:lastRenderedPageBreak/>
              <w:t>mensual, trimestral, semestral y/o anual.</w:t>
            </w:r>
          </w:p>
        </w:tc>
        <w:tc>
          <w:tcPr>
            <w:tcW w:w="1984" w:type="dxa"/>
          </w:tcPr>
          <w:p w14:paraId="7339BC67" w14:textId="02ADAD2F" w:rsidR="00E1398E" w:rsidRDefault="00F55453" w:rsidP="00E1398E">
            <w:pPr>
              <w:pStyle w:val="TextoPrincipal"/>
              <w:spacing w:line="360" w:lineRule="auto"/>
              <w:ind w:firstLine="0"/>
            </w:pPr>
            <w:r>
              <w:lastRenderedPageBreak/>
              <w:t xml:space="preserve">Base de datos de la cartera </w:t>
            </w:r>
            <w:r>
              <w:lastRenderedPageBreak/>
              <w:t>castigada, cartera de compradores, y otros.</w:t>
            </w:r>
          </w:p>
        </w:tc>
        <w:tc>
          <w:tcPr>
            <w:tcW w:w="2127" w:type="dxa"/>
          </w:tcPr>
          <w:p w14:paraId="08FDB1E2" w14:textId="4E80AEFC" w:rsidR="00E1398E" w:rsidRDefault="00F55453" w:rsidP="00E1398E">
            <w:pPr>
              <w:pStyle w:val="TextoPrincipal"/>
              <w:spacing w:line="360" w:lineRule="auto"/>
              <w:ind w:firstLine="0"/>
            </w:pPr>
            <w:r>
              <w:lastRenderedPageBreak/>
              <w:t>Oficina principal.</w:t>
            </w:r>
          </w:p>
        </w:tc>
        <w:tc>
          <w:tcPr>
            <w:tcW w:w="2268" w:type="dxa"/>
          </w:tcPr>
          <w:p w14:paraId="079DE553" w14:textId="502C6B49" w:rsidR="00E1398E" w:rsidRDefault="00F55453" w:rsidP="00E1398E">
            <w:pPr>
              <w:pStyle w:val="TextoPrincipal"/>
              <w:spacing w:line="360" w:lineRule="auto"/>
              <w:ind w:firstLine="0"/>
            </w:pPr>
            <w:r w:rsidRPr="00F55453">
              <w:t xml:space="preserve">Evaluar el efecto de la venta </w:t>
            </w:r>
            <w:r>
              <w:t xml:space="preserve">de la cartera </w:t>
            </w:r>
            <w:r>
              <w:lastRenderedPageBreak/>
              <w:t xml:space="preserve">castigada </w:t>
            </w:r>
            <w:r w:rsidRPr="00F55453">
              <w:t>en la salud financiera de la microfinanciera</w:t>
            </w:r>
            <w:r>
              <w:t xml:space="preserve"> para posteriormente i</w:t>
            </w:r>
            <w:r w:rsidRPr="00F55453">
              <w:t>dentificar empresas interesadas en comprar cartera en castigo</w:t>
            </w:r>
            <w:r>
              <w:t xml:space="preserve"> para o</w:t>
            </w:r>
            <w:r w:rsidRPr="00F55453">
              <w:t>btener las mejores condiciones de venta posibles</w:t>
            </w:r>
            <w:r>
              <w:t>.</w:t>
            </w:r>
          </w:p>
        </w:tc>
        <w:tc>
          <w:tcPr>
            <w:tcW w:w="2409" w:type="dxa"/>
          </w:tcPr>
          <w:p w14:paraId="4F7359CC" w14:textId="652FA511" w:rsidR="00E1398E" w:rsidRDefault="00F55453" w:rsidP="00E1398E">
            <w:pPr>
              <w:pStyle w:val="TextoPrincipal"/>
              <w:spacing w:line="360" w:lineRule="auto"/>
              <w:ind w:firstLine="0"/>
            </w:pPr>
            <w:r w:rsidRPr="00F55453">
              <w:lastRenderedPageBreak/>
              <w:t xml:space="preserve">Involucrar a un equipo de negociación </w:t>
            </w:r>
            <w:r w:rsidRPr="00F55453">
              <w:lastRenderedPageBreak/>
              <w:t>experimentado</w:t>
            </w:r>
            <w:r>
              <w:t xml:space="preserve"> y asegurar que todos los términos y condiciones estén claramente especificados.</w:t>
            </w:r>
          </w:p>
        </w:tc>
      </w:tr>
    </w:tbl>
    <w:p w14:paraId="295CC0DE" w14:textId="05FCF698" w:rsidR="00F10633" w:rsidRDefault="009D4265" w:rsidP="009D4265">
      <w:pPr>
        <w:pStyle w:val="TextoPrincipal"/>
        <w:spacing w:line="360" w:lineRule="auto"/>
      </w:pPr>
      <w:r>
        <w:lastRenderedPageBreak/>
        <w:t>Fuente: Elaboración propia.</w:t>
      </w:r>
    </w:p>
    <w:p w14:paraId="1BC4FCDB" w14:textId="77777777" w:rsidR="00E1398E" w:rsidRDefault="00E1398E" w:rsidP="00E1398E">
      <w:pPr>
        <w:pStyle w:val="TextoPrincipal"/>
        <w:spacing w:line="360" w:lineRule="auto"/>
        <w:ind w:firstLine="0"/>
      </w:pPr>
    </w:p>
    <w:p w14:paraId="00502814" w14:textId="77777777" w:rsidR="00F472BE" w:rsidRDefault="00F472BE">
      <w:pPr>
        <w:widowControl/>
        <w:spacing w:after="160" w:line="259" w:lineRule="auto"/>
        <w:rPr>
          <w:rFonts w:ascii="Times New Roman" w:eastAsia="Times New Roman" w:hAnsi="Times New Roman"/>
          <w:b/>
          <w:bCs/>
          <w:sz w:val="24"/>
          <w:szCs w:val="32"/>
        </w:rPr>
      </w:pPr>
      <w:bookmarkStart w:id="393" w:name="_Toc166705849"/>
      <w:r>
        <w:br w:type="page"/>
      </w:r>
    </w:p>
    <w:p w14:paraId="1E1E3F64" w14:textId="77777777" w:rsidR="00F472BE" w:rsidRDefault="00F472BE" w:rsidP="00A900CC">
      <w:pPr>
        <w:pStyle w:val="Ttulo2"/>
        <w:spacing w:line="360" w:lineRule="auto"/>
        <w:sectPr w:rsidR="00F472BE" w:rsidSect="00F472BE">
          <w:pgSz w:w="15840" w:h="12240" w:orient="landscape" w:code="1"/>
          <w:pgMar w:top="1440" w:right="1440" w:bottom="1440" w:left="1440" w:header="709" w:footer="709" w:gutter="0"/>
          <w:cols w:space="708"/>
          <w:docGrid w:linePitch="360"/>
        </w:sectPr>
      </w:pPr>
    </w:p>
    <w:p w14:paraId="0760D665" w14:textId="37B39B0E" w:rsidR="000E2A5D" w:rsidRPr="007A01EE" w:rsidRDefault="00A900CC" w:rsidP="00A900CC">
      <w:pPr>
        <w:pStyle w:val="Ttulo2"/>
        <w:spacing w:line="360" w:lineRule="auto"/>
      </w:pPr>
      <w:bookmarkStart w:id="394" w:name="_Toc175171477"/>
      <w:r>
        <w:lastRenderedPageBreak/>
        <w:t xml:space="preserve">6.6. </w:t>
      </w:r>
      <w:r w:rsidR="00A871DB">
        <w:t>CRONOGRAMA DE IMPLEMENTACIÓN Y PRESUPUESTO</w:t>
      </w:r>
      <w:bookmarkEnd w:id="393"/>
      <w:bookmarkEnd w:id="394"/>
    </w:p>
    <w:p w14:paraId="639CBF2F" w14:textId="6B48DED6" w:rsidR="00A900CC" w:rsidRDefault="006E59BE" w:rsidP="006E59BE">
      <w:pPr>
        <w:pStyle w:val="Ttulo3"/>
        <w:spacing w:line="360" w:lineRule="auto"/>
        <w:ind w:left="0" w:firstLine="720"/>
      </w:pPr>
      <w:bookmarkStart w:id="395" w:name="_Toc175171478"/>
      <w:r>
        <w:t>6.6.1. CRONOGRAMA DE IMPLEMENTACIÓN</w:t>
      </w:r>
      <w:bookmarkEnd w:id="395"/>
    </w:p>
    <w:p w14:paraId="6185DFFD" w14:textId="2C3659A5" w:rsidR="006E59BE" w:rsidRDefault="005D1CE8" w:rsidP="006E59BE">
      <w:pPr>
        <w:pStyle w:val="TextoPrincipal"/>
        <w:spacing w:line="360" w:lineRule="auto"/>
        <w:ind w:firstLine="0"/>
        <w:jc w:val="center"/>
      </w:pPr>
      <w:r w:rsidRPr="005D1CE8">
        <w:rPr>
          <w:noProof/>
        </w:rPr>
        <w:drawing>
          <wp:inline distT="0" distB="0" distL="0" distR="0" wp14:anchorId="6F813FC3" wp14:editId="4DAEF4D4">
            <wp:extent cx="5152427" cy="2924175"/>
            <wp:effectExtent l="0" t="0" r="0" b="0"/>
            <wp:docPr id="2053815321" name="Imagen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5152427" cy="2924175"/>
                    </a:xfrm>
                    <a:prstGeom prst="rect">
                      <a:avLst/>
                    </a:prstGeom>
                    <a:noFill/>
                    <a:ln>
                      <a:noFill/>
                    </a:ln>
                  </pic:spPr>
                </pic:pic>
              </a:graphicData>
            </a:graphic>
          </wp:inline>
        </w:drawing>
      </w:r>
    </w:p>
    <w:p w14:paraId="6158308B" w14:textId="4623F7D4" w:rsidR="007A742B" w:rsidRDefault="007A742B" w:rsidP="007A742B">
      <w:pPr>
        <w:pStyle w:val="TextoPrincipal"/>
        <w:spacing w:after="0" w:line="360" w:lineRule="auto"/>
      </w:pPr>
      <w:r>
        <w:t>Figura 2</w:t>
      </w:r>
      <w:r w:rsidR="00A429C8">
        <w:t>4</w:t>
      </w:r>
      <w:r>
        <w:t>: Cronograma de implementación.</w:t>
      </w:r>
    </w:p>
    <w:p w14:paraId="57793E4F" w14:textId="515029F9" w:rsidR="007A742B" w:rsidRDefault="007A742B" w:rsidP="007A742B">
      <w:pPr>
        <w:pStyle w:val="TextoPrincipal"/>
        <w:spacing w:after="0" w:line="360" w:lineRule="auto"/>
      </w:pPr>
      <w:r>
        <w:t>Fuente: Elaboración propia.</w:t>
      </w:r>
    </w:p>
    <w:p w14:paraId="16174BDA" w14:textId="0BB86EEC" w:rsidR="009D4265" w:rsidRDefault="009D4265">
      <w:pPr>
        <w:widowControl/>
        <w:spacing w:after="160" w:line="259" w:lineRule="auto"/>
        <w:rPr>
          <w:rFonts w:ascii="Times New Roman" w:hAnsi="Times New Roman" w:cs="Times New Roman"/>
          <w:sz w:val="24"/>
          <w:szCs w:val="24"/>
        </w:rPr>
      </w:pPr>
      <w:r>
        <w:br w:type="page"/>
      </w:r>
    </w:p>
    <w:p w14:paraId="7497DB25" w14:textId="3FB619BD" w:rsidR="009D4265" w:rsidRPr="009D4265" w:rsidRDefault="006E59BE" w:rsidP="007A742B">
      <w:pPr>
        <w:pStyle w:val="Ttulo3"/>
        <w:spacing w:line="360" w:lineRule="auto"/>
        <w:ind w:left="0" w:firstLine="720"/>
      </w:pPr>
      <w:bookmarkStart w:id="396" w:name="_Toc175171479"/>
      <w:r>
        <w:lastRenderedPageBreak/>
        <w:t>6.6.2. PRESUPUESTO</w:t>
      </w:r>
      <w:r w:rsidR="009D4265" w:rsidRPr="005D1CE8">
        <w:rPr>
          <w:noProof/>
        </w:rPr>
        <w:drawing>
          <wp:anchor distT="0" distB="0" distL="114300" distR="114300" simplePos="0" relativeHeight="251666432" behindDoc="1" locked="0" layoutInCell="1" allowOverlap="1" wp14:anchorId="6A731AE8" wp14:editId="09C77595">
            <wp:simplePos x="0" y="0"/>
            <wp:positionH relativeFrom="margin">
              <wp:align>center</wp:align>
            </wp:positionH>
            <wp:positionV relativeFrom="paragraph">
              <wp:posOffset>298450</wp:posOffset>
            </wp:positionV>
            <wp:extent cx="6826885" cy="3524250"/>
            <wp:effectExtent l="0" t="0" r="0" b="0"/>
            <wp:wrapNone/>
            <wp:docPr id="869865160"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6826924" cy="3524270"/>
                    </a:xfrm>
                    <a:prstGeom prst="rect">
                      <a:avLst/>
                    </a:prstGeom>
                    <a:noFill/>
                    <a:ln>
                      <a:noFill/>
                    </a:ln>
                  </pic:spPr>
                </pic:pic>
              </a:graphicData>
            </a:graphic>
            <wp14:sizeRelH relativeFrom="margin">
              <wp14:pctWidth>0</wp14:pctWidth>
            </wp14:sizeRelH>
            <wp14:sizeRelV relativeFrom="margin">
              <wp14:pctHeight>0</wp14:pctHeight>
            </wp14:sizeRelV>
          </wp:anchor>
        </w:drawing>
      </w:r>
      <w:bookmarkEnd w:id="396"/>
    </w:p>
    <w:p w14:paraId="60140889" w14:textId="2E7B651E" w:rsidR="009D4265" w:rsidRDefault="009D4265" w:rsidP="009D4265">
      <w:pPr>
        <w:pStyle w:val="TextoPrincipal"/>
      </w:pPr>
    </w:p>
    <w:p w14:paraId="1EC51AE5" w14:textId="763284B0" w:rsidR="009D4265" w:rsidRDefault="009D4265" w:rsidP="009D4265">
      <w:pPr>
        <w:pStyle w:val="TextoPrincipal"/>
      </w:pPr>
    </w:p>
    <w:p w14:paraId="0AD73800" w14:textId="6DB4CCFE" w:rsidR="009D4265" w:rsidRDefault="009D4265" w:rsidP="009D4265">
      <w:pPr>
        <w:pStyle w:val="TextoPrincipal"/>
      </w:pPr>
    </w:p>
    <w:p w14:paraId="01E8CA41" w14:textId="2A356243" w:rsidR="009D4265" w:rsidRDefault="009D4265" w:rsidP="009D4265">
      <w:pPr>
        <w:pStyle w:val="TextoPrincipal"/>
      </w:pPr>
    </w:p>
    <w:p w14:paraId="586A7C19" w14:textId="4290FCE3" w:rsidR="009D4265" w:rsidRDefault="009D4265" w:rsidP="009D4265">
      <w:pPr>
        <w:pStyle w:val="TextoPrincipal"/>
      </w:pPr>
    </w:p>
    <w:p w14:paraId="78587094" w14:textId="19C5F5FC" w:rsidR="009D4265" w:rsidRDefault="009D4265" w:rsidP="009D4265">
      <w:pPr>
        <w:pStyle w:val="TextoPrincipal"/>
      </w:pPr>
    </w:p>
    <w:p w14:paraId="0676F40D" w14:textId="77777777" w:rsidR="009D4265" w:rsidRDefault="009D4265" w:rsidP="009D4265">
      <w:pPr>
        <w:pStyle w:val="TextoPrincipal"/>
      </w:pPr>
    </w:p>
    <w:p w14:paraId="54856D4C" w14:textId="313CFCBB" w:rsidR="005D1CE8" w:rsidRDefault="005D1CE8">
      <w:pPr>
        <w:widowControl/>
        <w:spacing w:after="160" w:line="259" w:lineRule="auto"/>
        <w:rPr>
          <w:rFonts w:ascii="Times New Roman" w:hAnsi="Times New Roman" w:cs="Times New Roman"/>
          <w:sz w:val="24"/>
          <w:szCs w:val="24"/>
        </w:rPr>
      </w:pPr>
    </w:p>
    <w:p w14:paraId="17095E1A" w14:textId="77777777" w:rsidR="00C81415" w:rsidRDefault="00C81415">
      <w:pPr>
        <w:widowControl/>
        <w:spacing w:after="160" w:line="259" w:lineRule="auto"/>
        <w:rPr>
          <w:rFonts w:ascii="Times New Roman" w:hAnsi="Times New Roman" w:cs="Times New Roman"/>
          <w:sz w:val="24"/>
          <w:szCs w:val="24"/>
        </w:rPr>
      </w:pPr>
    </w:p>
    <w:p w14:paraId="3C07310C" w14:textId="0091CDB4" w:rsidR="007A742B" w:rsidRPr="007A742B" w:rsidRDefault="007A742B" w:rsidP="007A742B">
      <w:pPr>
        <w:pStyle w:val="TextoPrincipal"/>
        <w:spacing w:after="0" w:line="360" w:lineRule="auto"/>
        <w:ind w:firstLineChars="127" w:firstLine="305"/>
      </w:pPr>
      <w:r w:rsidRPr="007A742B">
        <w:t>Figura 2</w:t>
      </w:r>
      <w:r w:rsidR="00A429C8">
        <w:t>5</w:t>
      </w:r>
      <w:r w:rsidRPr="007A742B">
        <w:t>: Presupuesto.</w:t>
      </w:r>
    </w:p>
    <w:p w14:paraId="7AF180AF" w14:textId="350D895B" w:rsidR="007A742B" w:rsidRPr="007A742B" w:rsidRDefault="007A742B" w:rsidP="007A742B">
      <w:pPr>
        <w:spacing w:line="360" w:lineRule="auto"/>
        <w:ind w:firstLineChars="127" w:firstLine="305"/>
        <w:jc w:val="both"/>
        <w:rPr>
          <w:rFonts w:ascii="Times New Roman" w:hAnsi="Times New Roman" w:cs="Times New Roman"/>
          <w:sz w:val="24"/>
          <w:szCs w:val="24"/>
        </w:rPr>
      </w:pPr>
      <w:r w:rsidRPr="007A742B">
        <w:rPr>
          <w:rFonts w:ascii="Times New Roman" w:hAnsi="Times New Roman" w:cs="Times New Roman"/>
          <w:sz w:val="24"/>
          <w:szCs w:val="24"/>
        </w:rPr>
        <w:t>Fuente: Elaboración propia</w:t>
      </w:r>
      <w:r w:rsidR="001264D9">
        <w:rPr>
          <w:rFonts w:ascii="Times New Roman" w:hAnsi="Times New Roman" w:cs="Times New Roman"/>
          <w:sz w:val="24"/>
          <w:szCs w:val="24"/>
        </w:rPr>
        <w:t>.</w:t>
      </w:r>
    </w:p>
    <w:p w14:paraId="0D6AC8AA" w14:textId="77777777" w:rsidR="00C81415" w:rsidRDefault="00C81415">
      <w:pPr>
        <w:widowControl/>
        <w:spacing w:after="160" w:line="259" w:lineRule="auto"/>
        <w:rPr>
          <w:rFonts w:ascii="Times New Roman" w:hAnsi="Times New Roman" w:cs="Times New Roman"/>
          <w:sz w:val="24"/>
          <w:szCs w:val="24"/>
        </w:rPr>
      </w:pPr>
    </w:p>
    <w:p w14:paraId="16C95C15" w14:textId="147223B8" w:rsidR="000E2A5D" w:rsidRPr="007A01EE" w:rsidRDefault="00A900CC" w:rsidP="00A900CC">
      <w:pPr>
        <w:pStyle w:val="Ttulo2"/>
        <w:spacing w:line="360" w:lineRule="auto"/>
      </w:pPr>
      <w:bookmarkStart w:id="397" w:name="_Toc166705850"/>
      <w:bookmarkStart w:id="398" w:name="_Toc175171480"/>
      <w:r>
        <w:t xml:space="preserve">6.7. </w:t>
      </w:r>
      <w:r w:rsidR="00A871DB">
        <w:t>CONCORDANCIA DE LOS SEGMENTOS DE LA TESIS CON LA PROPUESTA</w:t>
      </w:r>
      <w:bookmarkEnd w:id="397"/>
      <w:bookmarkEnd w:id="398"/>
    </w:p>
    <w:p w14:paraId="32D8EFCE" w14:textId="2A208DF2" w:rsidR="00FB3CFD" w:rsidRDefault="00C13DDF" w:rsidP="00D8434D">
      <w:pPr>
        <w:pStyle w:val="TextoPrincipal"/>
        <w:spacing w:line="360" w:lineRule="auto"/>
      </w:pPr>
      <w:bookmarkStart w:id="399" w:name="_Toc474331204"/>
      <w:bookmarkStart w:id="400" w:name="_Toc474331407"/>
      <w:r>
        <w:t xml:space="preserve">En esta sección, se explorará cómo cada componente de la tesis se </w:t>
      </w:r>
      <w:r w:rsidR="00D8434D">
        <w:t>alinea</w:t>
      </w:r>
      <w:r>
        <w:t xml:space="preserve"> y contribuye a la propuesta central de mejorar la gestión de la morosidad en la microfinanciera </w:t>
      </w:r>
      <w:r w:rsidR="00E5074B">
        <w:t>“XYZ”</w:t>
      </w:r>
      <w:r>
        <w:t>. Asegurar la concordancia entre los diferentes segmentos del trabajo es esencial para demostrar que todos los aspectos de la investigación están interrelacionados y apoyan de manera coherente el objetivo principal. Este enfoque integrado no solo refuerza la validez de la propuesta, sino que también facilita una comprensión completa y detallada del problema abordado y de las soluciones sugeridas.</w:t>
      </w:r>
    </w:p>
    <w:p w14:paraId="5BEBAB5B" w14:textId="15842009" w:rsidR="00FB3CFD" w:rsidRDefault="00FB3CFD" w:rsidP="00D8434D">
      <w:pPr>
        <w:pStyle w:val="TextoPrincipal"/>
        <w:spacing w:line="360" w:lineRule="auto"/>
      </w:pPr>
    </w:p>
    <w:p w14:paraId="23449849" w14:textId="2C6F6ECE" w:rsidR="00FB3CFD" w:rsidRDefault="00FB3CFD" w:rsidP="00D8434D">
      <w:pPr>
        <w:pStyle w:val="TextoPrincipal"/>
        <w:spacing w:line="360" w:lineRule="auto"/>
      </w:pPr>
    </w:p>
    <w:p w14:paraId="34AF390C" w14:textId="5828DB4A" w:rsidR="00FB3CFD" w:rsidRDefault="00FB3CFD" w:rsidP="00D8434D">
      <w:pPr>
        <w:pStyle w:val="TextoPrincipal"/>
        <w:spacing w:line="360" w:lineRule="auto"/>
      </w:pPr>
    </w:p>
    <w:p w14:paraId="5CD90F07" w14:textId="58A60897" w:rsidR="00FB3CFD" w:rsidRDefault="00FB3CFD" w:rsidP="00D8434D">
      <w:pPr>
        <w:pStyle w:val="TextoPrincipal"/>
        <w:spacing w:line="360" w:lineRule="auto"/>
      </w:pPr>
    </w:p>
    <w:p w14:paraId="667B84D4" w14:textId="0E225F3B" w:rsidR="00E56179" w:rsidRDefault="00E56179" w:rsidP="00D8434D">
      <w:pPr>
        <w:pStyle w:val="TextoPrincipal"/>
        <w:spacing w:line="360" w:lineRule="auto"/>
        <w:sectPr w:rsidR="00E56179" w:rsidSect="00F472BE">
          <w:pgSz w:w="12240" w:h="15840" w:code="1"/>
          <w:pgMar w:top="1440" w:right="1440" w:bottom="1440" w:left="1440" w:header="709" w:footer="709" w:gutter="0"/>
          <w:cols w:space="708"/>
          <w:docGrid w:linePitch="360"/>
        </w:sectPr>
      </w:pPr>
    </w:p>
    <w:tbl>
      <w:tblPr>
        <w:tblStyle w:val="Tablaconcuadrcula"/>
        <w:tblW w:w="15032" w:type="dxa"/>
        <w:jc w:val="center"/>
        <w:tblLayout w:type="fixed"/>
        <w:tblLook w:val="04A0" w:firstRow="1" w:lastRow="0" w:firstColumn="1" w:lastColumn="0" w:noHBand="0" w:noVBand="1"/>
      </w:tblPr>
      <w:tblGrid>
        <w:gridCol w:w="1271"/>
        <w:gridCol w:w="1423"/>
        <w:gridCol w:w="1701"/>
        <w:gridCol w:w="1276"/>
        <w:gridCol w:w="1417"/>
        <w:gridCol w:w="1560"/>
        <w:gridCol w:w="1275"/>
        <w:gridCol w:w="1701"/>
        <w:gridCol w:w="1560"/>
        <w:gridCol w:w="1848"/>
      </w:tblGrid>
      <w:tr w:rsidR="000937D3" w:rsidRPr="00E56179" w14:paraId="2B5EC380" w14:textId="77777777" w:rsidTr="00643512">
        <w:trPr>
          <w:trHeight w:val="374"/>
          <w:jc w:val="center"/>
        </w:trPr>
        <w:tc>
          <w:tcPr>
            <w:tcW w:w="4395" w:type="dxa"/>
            <w:gridSpan w:val="3"/>
            <w:noWrap/>
            <w:hideMark/>
          </w:tcPr>
          <w:p w14:paraId="58812A30" w14:textId="5B16FD0B" w:rsidR="00E56179" w:rsidRPr="00E56179" w:rsidRDefault="004B05DA" w:rsidP="00E56179">
            <w:pPr>
              <w:spacing w:line="360" w:lineRule="auto"/>
              <w:jc w:val="center"/>
              <w:rPr>
                <w:rFonts w:ascii="Times New Roman" w:eastAsia="Times New Roman" w:hAnsi="Times New Roman" w:cs="Times New Roman"/>
                <w:b/>
                <w:bCs/>
                <w:color w:val="000000"/>
                <w:sz w:val="24"/>
                <w:szCs w:val="24"/>
                <w:lang w:eastAsia="es-HN"/>
              </w:rPr>
            </w:pPr>
            <w:r>
              <w:rPr>
                <w:noProof/>
              </w:rPr>
              <w:lastRenderedPageBreak/>
              <mc:AlternateContent>
                <mc:Choice Requires="wps">
                  <w:drawing>
                    <wp:anchor distT="45720" distB="45720" distL="114300" distR="114300" simplePos="0" relativeHeight="251668480" behindDoc="1" locked="0" layoutInCell="1" allowOverlap="1" wp14:anchorId="682240A4" wp14:editId="5A3AE0B4">
                      <wp:simplePos x="0" y="0"/>
                      <wp:positionH relativeFrom="margin">
                        <wp:posOffset>1065530</wp:posOffset>
                      </wp:positionH>
                      <wp:positionV relativeFrom="paragraph">
                        <wp:posOffset>-273050</wp:posOffset>
                      </wp:positionV>
                      <wp:extent cx="4438650" cy="271145"/>
                      <wp:effectExtent l="0" t="0" r="0" b="0"/>
                      <wp:wrapNone/>
                      <wp:docPr id="217"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438650" cy="271145"/>
                              </a:xfrm>
                              <a:prstGeom prst="rect">
                                <a:avLst/>
                              </a:prstGeom>
                              <a:solidFill>
                                <a:srgbClr val="FFFFFF"/>
                              </a:solidFill>
                              <a:ln w="9525">
                                <a:noFill/>
                                <a:miter lim="800000"/>
                                <a:headEnd/>
                                <a:tailEnd/>
                              </a:ln>
                            </wps:spPr>
                            <wps:txbx>
                              <w:txbxContent>
                                <w:p w14:paraId="47035C78" w14:textId="64EA1338" w:rsidR="004B05DA" w:rsidRPr="004B05DA" w:rsidRDefault="004B05DA" w:rsidP="004B05DA">
                                  <w:pPr>
                                    <w:spacing w:line="360" w:lineRule="auto"/>
                                    <w:jc w:val="both"/>
                                    <w:rPr>
                                      <w:rFonts w:ascii="Times New Roman" w:hAnsi="Times New Roman" w:cs="Times New Roman"/>
                                      <w:sz w:val="24"/>
                                      <w:szCs w:val="24"/>
                                    </w:rPr>
                                  </w:pPr>
                                  <w:r w:rsidRPr="004B05DA">
                                    <w:rPr>
                                      <w:rFonts w:ascii="Times New Roman" w:hAnsi="Times New Roman" w:cs="Times New Roman"/>
                                      <w:sz w:val="24"/>
                                      <w:szCs w:val="24"/>
                                    </w:rPr>
                                    <w:t>Tabla 2</w:t>
                                  </w:r>
                                  <w:r w:rsidR="00A429C8">
                                    <w:rPr>
                                      <w:rFonts w:ascii="Times New Roman" w:hAnsi="Times New Roman" w:cs="Times New Roman"/>
                                      <w:sz w:val="24"/>
                                      <w:szCs w:val="24"/>
                                    </w:rPr>
                                    <w:t>7</w:t>
                                  </w:r>
                                  <w:r w:rsidRPr="004B05DA">
                                    <w:rPr>
                                      <w:rFonts w:ascii="Times New Roman" w:hAnsi="Times New Roman" w:cs="Times New Roman"/>
                                      <w:sz w:val="24"/>
                                      <w:szCs w:val="24"/>
                                    </w:rPr>
                                    <w:t>: Concordancia de los segmentos de la tesis con la propuesta.</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w14:anchorId="682240A4" id="_x0000_t202" coordsize="21600,21600" o:spt="202" path="m,l,21600r21600,l21600,xe">
                      <v:stroke joinstyle="miter"/>
                      <v:path gradientshapeok="t" o:connecttype="rect"/>
                    </v:shapetype>
                    <v:shape id="Cuadro de texto 2" o:spid="_x0000_s1026" type="#_x0000_t202" style="position:absolute;left:0;text-align:left;margin-left:83.9pt;margin-top:-21.5pt;width:349.5pt;height:21.35pt;z-index:-251648000;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" stroked="f">
                      <v:textbox style="mso-fit-shape-to-text:t">
                        <w:txbxContent>
                          <w:p w14:paraId="47035C78" w14:textId="64EA1338" w:rsidR="004B05DA" w:rsidRPr="004B05DA" w:rsidRDefault="004B05DA" w:rsidP="004B05DA">
                            <w:pPr>
                              <w:spacing w:line="360" w:lineRule="auto"/>
                              <w:jc w:val="both"/>
                              <w:rPr>
                                <w:rFonts w:ascii="Times New Roman" w:hAnsi="Times New Roman" w:cs="Times New Roman"/>
                                <w:sz w:val="24"/>
                                <w:szCs w:val="24"/>
                              </w:rPr>
                            </w:pPr>
                            <w:r w:rsidRPr="004B05DA">
                              <w:rPr>
                                <w:rFonts w:ascii="Times New Roman" w:hAnsi="Times New Roman" w:cs="Times New Roman"/>
                                <w:sz w:val="24"/>
                                <w:szCs w:val="24"/>
                              </w:rPr>
                              <w:t>Tabla 2</w:t>
                            </w:r>
                            <w:r w:rsidR="00A429C8">
                              <w:rPr>
                                <w:rFonts w:ascii="Times New Roman" w:hAnsi="Times New Roman" w:cs="Times New Roman"/>
                                <w:sz w:val="24"/>
                                <w:szCs w:val="24"/>
                              </w:rPr>
                              <w:t>7</w:t>
                            </w:r>
                            <w:r w:rsidRPr="004B05DA">
                              <w:rPr>
                                <w:rFonts w:ascii="Times New Roman" w:hAnsi="Times New Roman" w:cs="Times New Roman"/>
                                <w:sz w:val="24"/>
                                <w:szCs w:val="24"/>
                              </w:rPr>
                              <w:t>: Concordancia de los segmentos de la tesis con la propuesta.</w:t>
                            </w:r>
                          </w:p>
                        </w:txbxContent>
                      </v:textbox>
                      <w10:wrap anchorx="margin"/>
                    </v:shape>
                  </w:pict>
                </mc:Fallback>
              </mc:AlternateContent>
            </w:r>
            <w:r w:rsidR="00E56179" w:rsidRPr="00E56179">
              <w:rPr>
                <w:rFonts w:ascii="Times New Roman" w:eastAsia="Times New Roman" w:hAnsi="Times New Roman" w:cs="Times New Roman"/>
                <w:b/>
                <w:bCs/>
                <w:color w:val="000000"/>
                <w:sz w:val="24"/>
                <w:szCs w:val="24"/>
                <w:lang w:eastAsia="es-HN"/>
              </w:rPr>
              <w:t>Capítulo I</w:t>
            </w:r>
          </w:p>
        </w:tc>
        <w:tc>
          <w:tcPr>
            <w:tcW w:w="1276" w:type="dxa"/>
            <w:noWrap/>
            <w:hideMark/>
          </w:tcPr>
          <w:p w14:paraId="6E3C6879" w14:textId="323E53F7" w:rsidR="00E56179" w:rsidRPr="00E56179" w:rsidRDefault="00E56179" w:rsidP="00E56179">
            <w:pPr>
              <w:spacing w:line="360" w:lineRule="auto"/>
              <w:jc w:val="center"/>
              <w:rPr>
                <w:rFonts w:ascii="Times New Roman" w:eastAsia="Times New Roman" w:hAnsi="Times New Roman" w:cs="Times New Roman"/>
                <w:b/>
                <w:bCs/>
                <w:color w:val="000000"/>
                <w:sz w:val="24"/>
                <w:szCs w:val="24"/>
                <w:lang w:eastAsia="es-HN"/>
              </w:rPr>
            </w:pPr>
            <w:r w:rsidRPr="00E56179">
              <w:rPr>
                <w:rFonts w:ascii="Times New Roman" w:eastAsia="Times New Roman" w:hAnsi="Times New Roman" w:cs="Times New Roman"/>
                <w:b/>
                <w:bCs/>
                <w:color w:val="000000"/>
                <w:sz w:val="24"/>
                <w:szCs w:val="24"/>
                <w:lang w:eastAsia="es-HN"/>
              </w:rPr>
              <w:t>Capítulo II</w:t>
            </w:r>
          </w:p>
        </w:tc>
        <w:tc>
          <w:tcPr>
            <w:tcW w:w="4252" w:type="dxa"/>
            <w:gridSpan w:val="3"/>
            <w:noWrap/>
            <w:hideMark/>
          </w:tcPr>
          <w:p w14:paraId="1E80DF86" w14:textId="228B7512" w:rsidR="00E56179" w:rsidRPr="00E56179" w:rsidRDefault="00E56179" w:rsidP="00E56179">
            <w:pPr>
              <w:spacing w:line="360" w:lineRule="auto"/>
              <w:jc w:val="center"/>
              <w:rPr>
                <w:rFonts w:ascii="Times New Roman" w:eastAsia="Times New Roman" w:hAnsi="Times New Roman" w:cs="Times New Roman"/>
                <w:b/>
                <w:bCs/>
                <w:color w:val="000000"/>
                <w:sz w:val="24"/>
                <w:szCs w:val="24"/>
                <w:lang w:eastAsia="es-HN"/>
              </w:rPr>
            </w:pPr>
            <w:r w:rsidRPr="00E56179">
              <w:rPr>
                <w:rFonts w:ascii="Times New Roman" w:eastAsia="Times New Roman" w:hAnsi="Times New Roman" w:cs="Times New Roman"/>
                <w:b/>
                <w:bCs/>
                <w:color w:val="000000"/>
                <w:sz w:val="24"/>
                <w:szCs w:val="24"/>
                <w:lang w:eastAsia="es-HN"/>
              </w:rPr>
              <w:t>Capítulo III</w:t>
            </w:r>
          </w:p>
        </w:tc>
        <w:tc>
          <w:tcPr>
            <w:tcW w:w="1701" w:type="dxa"/>
            <w:noWrap/>
            <w:hideMark/>
          </w:tcPr>
          <w:p w14:paraId="510BCB01" w14:textId="77777777" w:rsidR="00E56179" w:rsidRPr="00E56179" w:rsidRDefault="00E56179" w:rsidP="00E56179">
            <w:pPr>
              <w:spacing w:line="360" w:lineRule="auto"/>
              <w:jc w:val="center"/>
              <w:rPr>
                <w:rFonts w:ascii="Times New Roman" w:eastAsia="Times New Roman" w:hAnsi="Times New Roman" w:cs="Times New Roman"/>
                <w:b/>
                <w:bCs/>
                <w:color w:val="000000"/>
                <w:sz w:val="24"/>
                <w:szCs w:val="24"/>
                <w:lang w:eastAsia="es-HN"/>
              </w:rPr>
            </w:pPr>
            <w:r w:rsidRPr="00E56179">
              <w:rPr>
                <w:rFonts w:ascii="Times New Roman" w:eastAsia="Times New Roman" w:hAnsi="Times New Roman" w:cs="Times New Roman"/>
                <w:b/>
                <w:bCs/>
                <w:color w:val="000000"/>
                <w:sz w:val="24"/>
                <w:szCs w:val="24"/>
                <w:lang w:eastAsia="es-HN"/>
              </w:rPr>
              <w:t>Capitulo V</w:t>
            </w:r>
          </w:p>
        </w:tc>
        <w:tc>
          <w:tcPr>
            <w:tcW w:w="3408" w:type="dxa"/>
            <w:gridSpan w:val="2"/>
            <w:noWrap/>
            <w:hideMark/>
          </w:tcPr>
          <w:p w14:paraId="4C77CF76" w14:textId="77777777" w:rsidR="00E56179" w:rsidRPr="00E56179" w:rsidRDefault="00E56179" w:rsidP="00E56179">
            <w:pPr>
              <w:spacing w:line="360" w:lineRule="auto"/>
              <w:jc w:val="center"/>
              <w:rPr>
                <w:rFonts w:ascii="Times New Roman" w:eastAsia="Times New Roman" w:hAnsi="Times New Roman" w:cs="Times New Roman"/>
                <w:b/>
                <w:bCs/>
                <w:color w:val="000000"/>
                <w:sz w:val="24"/>
                <w:szCs w:val="24"/>
                <w:lang w:eastAsia="es-HN"/>
              </w:rPr>
            </w:pPr>
            <w:r w:rsidRPr="00E56179">
              <w:rPr>
                <w:rFonts w:ascii="Times New Roman" w:eastAsia="Times New Roman" w:hAnsi="Times New Roman" w:cs="Times New Roman"/>
                <w:b/>
                <w:bCs/>
                <w:color w:val="000000"/>
                <w:sz w:val="24"/>
                <w:szCs w:val="24"/>
                <w:lang w:eastAsia="es-HN"/>
              </w:rPr>
              <w:t>Capítulo VI</w:t>
            </w:r>
          </w:p>
        </w:tc>
      </w:tr>
      <w:tr w:rsidR="002D48D3" w:rsidRPr="00E56179" w14:paraId="63983CFF" w14:textId="77777777" w:rsidTr="00643512">
        <w:trPr>
          <w:trHeight w:val="737"/>
          <w:jc w:val="center"/>
        </w:trPr>
        <w:tc>
          <w:tcPr>
            <w:tcW w:w="1271" w:type="dxa"/>
            <w:vAlign w:val="center"/>
            <w:hideMark/>
          </w:tcPr>
          <w:p w14:paraId="6D7ED2F9" w14:textId="36E72F29" w:rsidR="00E56179" w:rsidRPr="000937D3" w:rsidRDefault="00E56179" w:rsidP="00E56179">
            <w:pPr>
              <w:spacing w:line="360" w:lineRule="auto"/>
              <w:jc w:val="center"/>
              <w:rPr>
                <w:rFonts w:ascii="Times New Roman" w:eastAsia="Times New Roman" w:hAnsi="Times New Roman" w:cs="Times New Roman"/>
                <w:b/>
                <w:bCs/>
                <w:color w:val="000000"/>
                <w:sz w:val="24"/>
                <w:szCs w:val="24"/>
                <w:lang w:eastAsia="es-HN"/>
              </w:rPr>
            </w:pPr>
            <w:r w:rsidRPr="000937D3">
              <w:rPr>
                <w:rFonts w:ascii="Times New Roman" w:eastAsia="Times New Roman" w:hAnsi="Times New Roman" w:cs="Times New Roman"/>
                <w:b/>
                <w:bCs/>
                <w:color w:val="000000"/>
                <w:sz w:val="24"/>
                <w:szCs w:val="24"/>
                <w:lang w:eastAsia="es-HN"/>
              </w:rPr>
              <w:t>Título</w:t>
            </w:r>
          </w:p>
        </w:tc>
        <w:tc>
          <w:tcPr>
            <w:tcW w:w="1423" w:type="dxa"/>
            <w:vAlign w:val="center"/>
            <w:hideMark/>
          </w:tcPr>
          <w:p w14:paraId="3570939E" w14:textId="77777777" w:rsidR="00E56179" w:rsidRPr="000937D3" w:rsidRDefault="00E56179" w:rsidP="00E56179">
            <w:pPr>
              <w:spacing w:line="360" w:lineRule="auto"/>
              <w:jc w:val="center"/>
              <w:rPr>
                <w:rFonts w:ascii="Times New Roman" w:eastAsia="Times New Roman" w:hAnsi="Times New Roman" w:cs="Times New Roman"/>
                <w:b/>
                <w:bCs/>
                <w:color w:val="000000"/>
                <w:sz w:val="24"/>
                <w:szCs w:val="24"/>
                <w:lang w:eastAsia="es-HN"/>
              </w:rPr>
            </w:pPr>
            <w:r w:rsidRPr="000937D3">
              <w:rPr>
                <w:rFonts w:ascii="Times New Roman" w:eastAsia="Times New Roman" w:hAnsi="Times New Roman" w:cs="Times New Roman"/>
                <w:b/>
                <w:bCs/>
                <w:color w:val="000000"/>
                <w:sz w:val="24"/>
                <w:szCs w:val="24"/>
                <w:lang w:eastAsia="es-HN"/>
              </w:rPr>
              <w:t>Objetivo General</w:t>
            </w:r>
          </w:p>
        </w:tc>
        <w:tc>
          <w:tcPr>
            <w:tcW w:w="1701" w:type="dxa"/>
            <w:vAlign w:val="center"/>
            <w:hideMark/>
          </w:tcPr>
          <w:p w14:paraId="3ADBE34C" w14:textId="77777777" w:rsidR="00E56179" w:rsidRPr="000937D3" w:rsidRDefault="00E56179" w:rsidP="00E56179">
            <w:pPr>
              <w:spacing w:line="360" w:lineRule="auto"/>
              <w:jc w:val="center"/>
              <w:rPr>
                <w:rFonts w:ascii="Times New Roman" w:eastAsia="Times New Roman" w:hAnsi="Times New Roman" w:cs="Times New Roman"/>
                <w:b/>
                <w:bCs/>
                <w:color w:val="000000"/>
                <w:sz w:val="24"/>
                <w:szCs w:val="24"/>
                <w:lang w:eastAsia="es-HN"/>
              </w:rPr>
            </w:pPr>
            <w:r w:rsidRPr="000937D3">
              <w:rPr>
                <w:rFonts w:ascii="Times New Roman" w:eastAsia="Times New Roman" w:hAnsi="Times New Roman" w:cs="Times New Roman"/>
                <w:b/>
                <w:bCs/>
                <w:color w:val="000000"/>
                <w:sz w:val="24"/>
                <w:szCs w:val="24"/>
                <w:lang w:eastAsia="es-HN"/>
              </w:rPr>
              <w:t>Objetivos Específicos</w:t>
            </w:r>
          </w:p>
        </w:tc>
        <w:tc>
          <w:tcPr>
            <w:tcW w:w="1276" w:type="dxa"/>
            <w:noWrap/>
            <w:vAlign w:val="center"/>
            <w:hideMark/>
          </w:tcPr>
          <w:p w14:paraId="20ABBEB7" w14:textId="77777777" w:rsidR="00E56179" w:rsidRPr="000937D3" w:rsidRDefault="00E56179" w:rsidP="00E56179">
            <w:pPr>
              <w:spacing w:line="360" w:lineRule="auto"/>
              <w:jc w:val="center"/>
              <w:rPr>
                <w:rFonts w:ascii="Times New Roman" w:eastAsia="Times New Roman" w:hAnsi="Times New Roman" w:cs="Times New Roman"/>
                <w:b/>
                <w:bCs/>
                <w:color w:val="000000"/>
                <w:sz w:val="24"/>
                <w:szCs w:val="24"/>
                <w:lang w:eastAsia="es-HN"/>
              </w:rPr>
            </w:pPr>
            <w:r w:rsidRPr="000937D3">
              <w:rPr>
                <w:rFonts w:ascii="Times New Roman" w:eastAsia="Times New Roman" w:hAnsi="Times New Roman" w:cs="Times New Roman"/>
                <w:b/>
                <w:bCs/>
                <w:color w:val="000000"/>
                <w:sz w:val="24"/>
                <w:szCs w:val="24"/>
                <w:lang w:eastAsia="es-HN"/>
              </w:rPr>
              <w:t>Teorías</w:t>
            </w:r>
          </w:p>
        </w:tc>
        <w:tc>
          <w:tcPr>
            <w:tcW w:w="1417" w:type="dxa"/>
            <w:noWrap/>
            <w:vAlign w:val="center"/>
            <w:hideMark/>
          </w:tcPr>
          <w:p w14:paraId="77C03FBA" w14:textId="77777777" w:rsidR="00E56179" w:rsidRPr="000937D3" w:rsidRDefault="00E56179" w:rsidP="00E56179">
            <w:pPr>
              <w:spacing w:line="360" w:lineRule="auto"/>
              <w:jc w:val="center"/>
              <w:rPr>
                <w:rFonts w:ascii="Times New Roman" w:eastAsia="Times New Roman" w:hAnsi="Times New Roman" w:cs="Times New Roman"/>
                <w:b/>
                <w:bCs/>
                <w:color w:val="000000"/>
                <w:sz w:val="24"/>
                <w:szCs w:val="24"/>
                <w:lang w:eastAsia="es-HN"/>
              </w:rPr>
            </w:pPr>
            <w:r w:rsidRPr="000937D3">
              <w:rPr>
                <w:rFonts w:ascii="Times New Roman" w:eastAsia="Times New Roman" w:hAnsi="Times New Roman" w:cs="Times New Roman"/>
                <w:b/>
                <w:bCs/>
                <w:color w:val="000000"/>
                <w:sz w:val="24"/>
                <w:szCs w:val="24"/>
                <w:lang w:eastAsia="es-HN"/>
              </w:rPr>
              <w:t>Variables</w:t>
            </w:r>
          </w:p>
        </w:tc>
        <w:tc>
          <w:tcPr>
            <w:tcW w:w="1560" w:type="dxa"/>
            <w:noWrap/>
            <w:vAlign w:val="center"/>
            <w:hideMark/>
          </w:tcPr>
          <w:p w14:paraId="2559CD31" w14:textId="77777777" w:rsidR="00E56179" w:rsidRPr="000937D3" w:rsidRDefault="00E56179" w:rsidP="00E56179">
            <w:pPr>
              <w:spacing w:line="360" w:lineRule="auto"/>
              <w:jc w:val="center"/>
              <w:rPr>
                <w:rFonts w:ascii="Times New Roman" w:eastAsia="Times New Roman" w:hAnsi="Times New Roman" w:cs="Times New Roman"/>
                <w:b/>
                <w:bCs/>
                <w:color w:val="000000"/>
                <w:sz w:val="24"/>
                <w:szCs w:val="24"/>
                <w:lang w:eastAsia="es-HN"/>
              </w:rPr>
            </w:pPr>
            <w:r w:rsidRPr="000937D3">
              <w:rPr>
                <w:rFonts w:ascii="Times New Roman" w:eastAsia="Times New Roman" w:hAnsi="Times New Roman" w:cs="Times New Roman"/>
                <w:b/>
                <w:bCs/>
                <w:color w:val="000000"/>
                <w:sz w:val="24"/>
                <w:szCs w:val="24"/>
                <w:lang w:eastAsia="es-HN"/>
              </w:rPr>
              <w:t>Poblaciones</w:t>
            </w:r>
          </w:p>
        </w:tc>
        <w:tc>
          <w:tcPr>
            <w:tcW w:w="1275" w:type="dxa"/>
            <w:noWrap/>
            <w:vAlign w:val="center"/>
            <w:hideMark/>
          </w:tcPr>
          <w:p w14:paraId="012185C7" w14:textId="77777777" w:rsidR="00E56179" w:rsidRPr="000937D3" w:rsidRDefault="00E56179" w:rsidP="00E56179">
            <w:pPr>
              <w:spacing w:line="360" w:lineRule="auto"/>
              <w:jc w:val="center"/>
              <w:rPr>
                <w:rFonts w:ascii="Times New Roman" w:eastAsia="Times New Roman" w:hAnsi="Times New Roman" w:cs="Times New Roman"/>
                <w:b/>
                <w:bCs/>
                <w:color w:val="000000"/>
                <w:sz w:val="24"/>
                <w:szCs w:val="24"/>
                <w:lang w:eastAsia="es-HN"/>
              </w:rPr>
            </w:pPr>
            <w:r w:rsidRPr="000937D3">
              <w:rPr>
                <w:rFonts w:ascii="Times New Roman" w:eastAsia="Times New Roman" w:hAnsi="Times New Roman" w:cs="Times New Roman"/>
                <w:b/>
                <w:bCs/>
                <w:color w:val="000000"/>
                <w:sz w:val="24"/>
                <w:szCs w:val="24"/>
                <w:lang w:eastAsia="es-HN"/>
              </w:rPr>
              <w:t>Técnicas</w:t>
            </w:r>
          </w:p>
        </w:tc>
        <w:tc>
          <w:tcPr>
            <w:tcW w:w="1701" w:type="dxa"/>
            <w:noWrap/>
            <w:vAlign w:val="center"/>
            <w:hideMark/>
          </w:tcPr>
          <w:p w14:paraId="7E15E6E0" w14:textId="77777777" w:rsidR="00E56179" w:rsidRPr="000937D3" w:rsidRDefault="00E56179" w:rsidP="00E56179">
            <w:pPr>
              <w:spacing w:line="360" w:lineRule="auto"/>
              <w:jc w:val="center"/>
              <w:rPr>
                <w:rFonts w:ascii="Times New Roman" w:eastAsia="Times New Roman" w:hAnsi="Times New Roman" w:cs="Times New Roman"/>
                <w:b/>
                <w:bCs/>
                <w:color w:val="000000"/>
                <w:sz w:val="24"/>
                <w:szCs w:val="24"/>
                <w:lang w:eastAsia="es-HN"/>
              </w:rPr>
            </w:pPr>
            <w:r w:rsidRPr="000937D3">
              <w:rPr>
                <w:rFonts w:ascii="Times New Roman" w:eastAsia="Times New Roman" w:hAnsi="Times New Roman" w:cs="Times New Roman"/>
                <w:b/>
                <w:bCs/>
                <w:color w:val="000000"/>
                <w:sz w:val="24"/>
                <w:szCs w:val="24"/>
                <w:lang w:eastAsia="es-HN"/>
              </w:rPr>
              <w:t>Conclusiones</w:t>
            </w:r>
          </w:p>
        </w:tc>
        <w:tc>
          <w:tcPr>
            <w:tcW w:w="1560" w:type="dxa"/>
            <w:vAlign w:val="center"/>
            <w:hideMark/>
          </w:tcPr>
          <w:p w14:paraId="29471970" w14:textId="77777777" w:rsidR="00E56179" w:rsidRPr="000937D3" w:rsidRDefault="00E56179" w:rsidP="00E56179">
            <w:pPr>
              <w:spacing w:line="360" w:lineRule="auto"/>
              <w:jc w:val="center"/>
              <w:rPr>
                <w:rFonts w:ascii="Times New Roman" w:eastAsia="Times New Roman" w:hAnsi="Times New Roman" w:cs="Times New Roman"/>
                <w:b/>
                <w:bCs/>
                <w:color w:val="000000"/>
                <w:sz w:val="24"/>
                <w:szCs w:val="24"/>
                <w:lang w:eastAsia="es-HN"/>
              </w:rPr>
            </w:pPr>
            <w:r w:rsidRPr="000937D3">
              <w:rPr>
                <w:rFonts w:ascii="Times New Roman" w:eastAsia="Times New Roman" w:hAnsi="Times New Roman" w:cs="Times New Roman"/>
                <w:b/>
                <w:bCs/>
                <w:color w:val="000000"/>
                <w:sz w:val="24"/>
                <w:szCs w:val="24"/>
                <w:lang w:eastAsia="es-HN"/>
              </w:rPr>
              <w:t>Nombre de la Propuesta</w:t>
            </w:r>
          </w:p>
        </w:tc>
        <w:tc>
          <w:tcPr>
            <w:tcW w:w="1848" w:type="dxa"/>
            <w:vAlign w:val="center"/>
            <w:hideMark/>
          </w:tcPr>
          <w:p w14:paraId="27A798A8" w14:textId="77777777" w:rsidR="00E56179" w:rsidRPr="000937D3" w:rsidRDefault="00E56179" w:rsidP="00E56179">
            <w:pPr>
              <w:spacing w:line="360" w:lineRule="auto"/>
              <w:jc w:val="center"/>
              <w:rPr>
                <w:rFonts w:ascii="Times New Roman" w:eastAsia="Times New Roman" w:hAnsi="Times New Roman" w:cs="Times New Roman"/>
                <w:b/>
                <w:bCs/>
                <w:color w:val="000000"/>
                <w:sz w:val="24"/>
                <w:szCs w:val="24"/>
                <w:lang w:eastAsia="es-HN"/>
              </w:rPr>
            </w:pPr>
            <w:r w:rsidRPr="000937D3">
              <w:rPr>
                <w:rFonts w:ascii="Times New Roman" w:eastAsia="Times New Roman" w:hAnsi="Times New Roman" w:cs="Times New Roman"/>
                <w:b/>
                <w:bCs/>
                <w:color w:val="000000"/>
                <w:sz w:val="24"/>
                <w:szCs w:val="24"/>
                <w:lang w:eastAsia="es-HN"/>
              </w:rPr>
              <w:t>Objetivos de la Propuesta</w:t>
            </w:r>
          </w:p>
        </w:tc>
      </w:tr>
      <w:tr w:rsidR="002D48D3" w:rsidRPr="002D48D3" w14:paraId="0CF14F0B" w14:textId="77777777" w:rsidTr="00643512">
        <w:trPr>
          <w:trHeight w:val="737"/>
          <w:jc w:val="center"/>
        </w:trPr>
        <w:tc>
          <w:tcPr>
            <w:tcW w:w="1271" w:type="dxa"/>
          </w:tcPr>
          <w:p w14:paraId="6268E5EA" w14:textId="29E584F5" w:rsidR="00E56179" w:rsidRPr="002D48D3" w:rsidRDefault="00E56179" w:rsidP="002D48D3">
            <w:pPr>
              <w:jc w:val="both"/>
              <w:rPr>
                <w:rFonts w:ascii="Times New Roman" w:eastAsia="Times New Roman" w:hAnsi="Times New Roman" w:cs="Times New Roman"/>
                <w:color w:val="000000"/>
                <w:lang w:eastAsia="es-HN"/>
              </w:rPr>
            </w:pPr>
            <w:r w:rsidRPr="002D48D3">
              <w:rPr>
                <w:rFonts w:ascii="Times New Roman" w:eastAsia="Times New Roman" w:hAnsi="Times New Roman" w:cs="Times New Roman"/>
                <w:color w:val="000000"/>
                <w:lang w:eastAsia="es-HN"/>
              </w:rPr>
              <w:t xml:space="preserve">Análisis de Morosidad en la Cartera de Crédito de la </w:t>
            </w:r>
            <w:r w:rsidR="00643512">
              <w:rPr>
                <w:rFonts w:ascii="Times New Roman" w:eastAsia="Times New Roman" w:hAnsi="Times New Roman" w:cs="Times New Roman"/>
                <w:color w:val="000000"/>
                <w:lang w:eastAsia="es-HN"/>
              </w:rPr>
              <w:t>IMF</w:t>
            </w:r>
            <w:r w:rsidRPr="002D48D3">
              <w:rPr>
                <w:rFonts w:ascii="Times New Roman" w:eastAsia="Times New Roman" w:hAnsi="Times New Roman" w:cs="Times New Roman"/>
                <w:color w:val="000000"/>
                <w:lang w:eastAsia="es-HN"/>
              </w:rPr>
              <w:t xml:space="preserve"> </w:t>
            </w:r>
            <w:r w:rsidR="00E5074B">
              <w:rPr>
                <w:rFonts w:ascii="Times New Roman" w:eastAsia="Times New Roman" w:hAnsi="Times New Roman" w:cs="Times New Roman"/>
                <w:color w:val="000000"/>
                <w:lang w:eastAsia="es-HN"/>
              </w:rPr>
              <w:t>“XYZ”</w:t>
            </w:r>
            <w:r w:rsidRPr="002D48D3">
              <w:rPr>
                <w:rFonts w:ascii="Times New Roman" w:eastAsia="Times New Roman" w:hAnsi="Times New Roman" w:cs="Times New Roman"/>
                <w:color w:val="000000"/>
                <w:lang w:eastAsia="es-HN"/>
              </w:rPr>
              <w:t xml:space="preserve"> en Honduras, durante el período 2019-2023.</w:t>
            </w:r>
          </w:p>
        </w:tc>
        <w:tc>
          <w:tcPr>
            <w:tcW w:w="1423" w:type="dxa"/>
          </w:tcPr>
          <w:p w14:paraId="6D4935B2" w14:textId="296E2FB5" w:rsidR="00E56179" w:rsidRPr="002D48D3" w:rsidRDefault="00E56179" w:rsidP="002D48D3">
            <w:pPr>
              <w:jc w:val="both"/>
              <w:rPr>
                <w:rFonts w:ascii="Times New Roman" w:eastAsia="Times New Roman" w:hAnsi="Times New Roman" w:cs="Times New Roman"/>
                <w:color w:val="000000"/>
                <w:lang w:eastAsia="es-HN"/>
              </w:rPr>
            </w:pPr>
            <w:r w:rsidRPr="002D48D3">
              <w:rPr>
                <w:rFonts w:ascii="Times New Roman" w:eastAsia="Times New Roman" w:hAnsi="Times New Roman" w:cs="Times New Roman"/>
                <w:color w:val="000000"/>
                <w:lang w:eastAsia="es-HN"/>
              </w:rPr>
              <w:t xml:space="preserve">Identificar que variaciones han sufrido los niveles de morosidad en la cartera de crédito de la </w:t>
            </w:r>
            <w:r w:rsidR="002D48D3">
              <w:rPr>
                <w:rFonts w:ascii="Times New Roman" w:eastAsia="Times New Roman" w:hAnsi="Times New Roman" w:cs="Times New Roman"/>
                <w:color w:val="000000"/>
                <w:lang w:eastAsia="es-HN"/>
              </w:rPr>
              <w:t xml:space="preserve">IMF </w:t>
            </w:r>
            <w:r w:rsidR="00E5074B">
              <w:rPr>
                <w:rFonts w:ascii="Times New Roman" w:eastAsia="Times New Roman" w:hAnsi="Times New Roman" w:cs="Times New Roman"/>
                <w:color w:val="000000"/>
                <w:lang w:eastAsia="es-HN"/>
              </w:rPr>
              <w:t>“XYZ”</w:t>
            </w:r>
            <w:r w:rsidRPr="002D48D3">
              <w:rPr>
                <w:rFonts w:ascii="Times New Roman" w:eastAsia="Times New Roman" w:hAnsi="Times New Roman" w:cs="Times New Roman"/>
                <w:color w:val="000000"/>
                <w:lang w:eastAsia="es-HN"/>
              </w:rPr>
              <w:t xml:space="preserve"> en Honduras, durante el período comprendido entre 2019 y 2023.</w:t>
            </w:r>
          </w:p>
        </w:tc>
        <w:tc>
          <w:tcPr>
            <w:tcW w:w="1701" w:type="dxa"/>
          </w:tcPr>
          <w:p w14:paraId="2C9DD8E3" w14:textId="57DDC003" w:rsidR="00E56179" w:rsidRPr="002D48D3" w:rsidRDefault="00E56179" w:rsidP="002D48D3">
            <w:pPr>
              <w:jc w:val="both"/>
              <w:rPr>
                <w:rFonts w:ascii="Times New Roman" w:eastAsia="Times New Roman" w:hAnsi="Times New Roman" w:cs="Times New Roman"/>
                <w:color w:val="000000"/>
                <w:lang w:eastAsia="es-HN"/>
              </w:rPr>
            </w:pPr>
            <w:r w:rsidRPr="002D48D3">
              <w:rPr>
                <w:rFonts w:ascii="Times New Roman" w:eastAsia="Times New Roman" w:hAnsi="Times New Roman" w:cs="Times New Roman"/>
                <w:color w:val="000000"/>
                <w:lang w:eastAsia="es-HN"/>
              </w:rPr>
              <w:t xml:space="preserve">1. Determinar los factores que han impactado de forma positiva o negativa en la gestión de crédito de la institución microfinanciera </w:t>
            </w:r>
            <w:r w:rsidR="00E5074B">
              <w:rPr>
                <w:rFonts w:ascii="Times New Roman" w:eastAsia="Times New Roman" w:hAnsi="Times New Roman" w:cs="Times New Roman"/>
                <w:color w:val="000000"/>
                <w:lang w:eastAsia="es-HN"/>
              </w:rPr>
              <w:t>“XYZ”</w:t>
            </w:r>
            <w:r w:rsidRPr="002D48D3">
              <w:rPr>
                <w:rFonts w:ascii="Times New Roman" w:eastAsia="Times New Roman" w:hAnsi="Times New Roman" w:cs="Times New Roman"/>
                <w:color w:val="000000"/>
                <w:lang w:eastAsia="es-HN"/>
              </w:rPr>
              <w:t>.</w:t>
            </w:r>
          </w:p>
          <w:p w14:paraId="3E96539B" w14:textId="77777777" w:rsidR="00E56179" w:rsidRPr="002D48D3" w:rsidRDefault="00E56179" w:rsidP="002D48D3">
            <w:pPr>
              <w:jc w:val="both"/>
              <w:rPr>
                <w:rFonts w:ascii="Times New Roman" w:eastAsia="Times New Roman" w:hAnsi="Times New Roman" w:cs="Times New Roman"/>
                <w:color w:val="000000"/>
                <w:lang w:eastAsia="es-HN"/>
              </w:rPr>
            </w:pPr>
          </w:p>
          <w:p w14:paraId="281244AA" w14:textId="5D766022" w:rsidR="00E56179" w:rsidRPr="002D48D3" w:rsidRDefault="00E56179" w:rsidP="002D48D3">
            <w:pPr>
              <w:jc w:val="both"/>
              <w:rPr>
                <w:rFonts w:ascii="Times New Roman" w:eastAsia="Times New Roman" w:hAnsi="Times New Roman" w:cs="Times New Roman"/>
                <w:color w:val="000000"/>
                <w:lang w:eastAsia="es-HN"/>
              </w:rPr>
            </w:pPr>
            <w:r w:rsidRPr="002D48D3">
              <w:rPr>
                <w:rFonts w:ascii="Times New Roman" w:eastAsia="Times New Roman" w:hAnsi="Times New Roman" w:cs="Times New Roman"/>
                <w:color w:val="000000"/>
                <w:lang w:eastAsia="es-HN"/>
              </w:rPr>
              <w:t xml:space="preserve">2. Examinar la situación financiera de la microfinanciera </w:t>
            </w:r>
            <w:r w:rsidR="00E5074B">
              <w:rPr>
                <w:rFonts w:ascii="Times New Roman" w:eastAsia="Times New Roman" w:hAnsi="Times New Roman" w:cs="Times New Roman"/>
                <w:color w:val="000000"/>
                <w:lang w:eastAsia="es-HN"/>
              </w:rPr>
              <w:t>“XYZ”</w:t>
            </w:r>
            <w:r w:rsidRPr="002D48D3">
              <w:rPr>
                <w:rFonts w:ascii="Times New Roman" w:eastAsia="Times New Roman" w:hAnsi="Times New Roman" w:cs="Times New Roman"/>
                <w:color w:val="000000"/>
                <w:lang w:eastAsia="es-HN"/>
              </w:rPr>
              <w:t xml:space="preserve"> en función de los resultados mostrados por los indicadores de rentabilidad, solvencia para cumplir con sus obligaciones y endeudamiento en el periodo 2019-2023.</w:t>
            </w:r>
          </w:p>
          <w:p w14:paraId="5FE1020D" w14:textId="0305A014" w:rsidR="00E56179" w:rsidRPr="002D48D3" w:rsidRDefault="00E56179" w:rsidP="002D48D3">
            <w:pPr>
              <w:jc w:val="both"/>
              <w:rPr>
                <w:rFonts w:ascii="Times New Roman" w:eastAsia="Times New Roman" w:hAnsi="Times New Roman" w:cs="Times New Roman"/>
                <w:color w:val="000000"/>
                <w:lang w:eastAsia="es-HN"/>
              </w:rPr>
            </w:pPr>
            <w:r w:rsidRPr="002D48D3">
              <w:rPr>
                <w:rFonts w:ascii="Times New Roman" w:eastAsia="Times New Roman" w:hAnsi="Times New Roman" w:cs="Times New Roman"/>
                <w:color w:val="000000"/>
                <w:lang w:eastAsia="es-HN"/>
              </w:rPr>
              <w:t xml:space="preserve">3. Evaluar las medidas que ha </w:t>
            </w:r>
            <w:r w:rsidRPr="002D48D3">
              <w:rPr>
                <w:rFonts w:ascii="Times New Roman" w:eastAsia="Times New Roman" w:hAnsi="Times New Roman" w:cs="Times New Roman"/>
                <w:color w:val="000000"/>
                <w:lang w:eastAsia="es-HN"/>
              </w:rPr>
              <w:lastRenderedPageBreak/>
              <w:t xml:space="preserve">implementado la institución </w:t>
            </w:r>
            <w:r w:rsidR="00E5074B">
              <w:rPr>
                <w:rFonts w:ascii="Times New Roman" w:eastAsia="Times New Roman" w:hAnsi="Times New Roman" w:cs="Times New Roman"/>
                <w:color w:val="000000"/>
                <w:lang w:eastAsia="es-HN"/>
              </w:rPr>
              <w:t>“XYZ”</w:t>
            </w:r>
            <w:r w:rsidRPr="002D48D3">
              <w:rPr>
                <w:rFonts w:ascii="Times New Roman" w:eastAsia="Times New Roman" w:hAnsi="Times New Roman" w:cs="Times New Roman"/>
                <w:color w:val="000000"/>
                <w:lang w:eastAsia="es-HN"/>
              </w:rPr>
              <w:t xml:space="preserve"> para mitigar la morosidad en su cartera de crédito, y cuál ha sido su efectividad.</w:t>
            </w:r>
          </w:p>
          <w:p w14:paraId="561893D3" w14:textId="77777777" w:rsidR="00E56179" w:rsidRPr="002D48D3" w:rsidRDefault="00E56179" w:rsidP="002D48D3">
            <w:pPr>
              <w:jc w:val="both"/>
              <w:rPr>
                <w:rFonts w:ascii="Times New Roman" w:eastAsia="Times New Roman" w:hAnsi="Times New Roman" w:cs="Times New Roman"/>
                <w:color w:val="000000"/>
                <w:lang w:eastAsia="es-HN"/>
              </w:rPr>
            </w:pPr>
          </w:p>
          <w:p w14:paraId="07EBDD19" w14:textId="2A1B9CFA" w:rsidR="00E56179" w:rsidRPr="002D48D3" w:rsidRDefault="00E56179" w:rsidP="002D48D3">
            <w:pPr>
              <w:jc w:val="both"/>
              <w:rPr>
                <w:rFonts w:ascii="Times New Roman" w:eastAsia="Times New Roman" w:hAnsi="Times New Roman" w:cs="Times New Roman"/>
                <w:color w:val="000000"/>
                <w:lang w:eastAsia="es-HN"/>
              </w:rPr>
            </w:pPr>
            <w:r w:rsidRPr="002D48D3">
              <w:rPr>
                <w:rFonts w:ascii="Times New Roman" w:eastAsia="Times New Roman" w:hAnsi="Times New Roman" w:cs="Times New Roman"/>
                <w:color w:val="000000"/>
                <w:lang w:eastAsia="es-HN"/>
              </w:rPr>
              <w:t xml:space="preserve">4. Proponer mecanismos para mejorar los procesos internos de evaluación de riesgos y gestión de crédito de la institución </w:t>
            </w:r>
            <w:r w:rsidR="00E5074B">
              <w:rPr>
                <w:rFonts w:ascii="Times New Roman" w:eastAsia="Times New Roman" w:hAnsi="Times New Roman" w:cs="Times New Roman"/>
                <w:color w:val="000000"/>
                <w:lang w:eastAsia="es-HN"/>
              </w:rPr>
              <w:t>“XYZ”</w:t>
            </w:r>
            <w:r w:rsidRPr="002D48D3">
              <w:rPr>
                <w:rFonts w:ascii="Times New Roman" w:eastAsia="Times New Roman" w:hAnsi="Times New Roman" w:cs="Times New Roman"/>
                <w:color w:val="000000"/>
                <w:lang w:eastAsia="es-HN"/>
              </w:rPr>
              <w:t xml:space="preserve"> con el fin de prevenir la morosidad en el futuro.</w:t>
            </w:r>
          </w:p>
        </w:tc>
        <w:tc>
          <w:tcPr>
            <w:tcW w:w="1276" w:type="dxa"/>
            <w:noWrap/>
          </w:tcPr>
          <w:p w14:paraId="7E8DBA95" w14:textId="77777777" w:rsidR="00E56179" w:rsidRPr="002D48D3" w:rsidRDefault="00E56179" w:rsidP="002D48D3">
            <w:pPr>
              <w:jc w:val="both"/>
              <w:rPr>
                <w:rFonts w:ascii="Times New Roman" w:eastAsia="Times New Roman" w:hAnsi="Times New Roman" w:cs="Times New Roman"/>
                <w:color w:val="000000"/>
                <w:lang w:eastAsia="es-HN"/>
              </w:rPr>
            </w:pPr>
            <w:r w:rsidRPr="002D48D3">
              <w:rPr>
                <w:rFonts w:ascii="Times New Roman" w:eastAsia="Times New Roman" w:hAnsi="Times New Roman" w:cs="Times New Roman"/>
                <w:color w:val="000000"/>
                <w:lang w:eastAsia="es-HN"/>
              </w:rPr>
              <w:lastRenderedPageBreak/>
              <w:t>Teoría Financiera</w:t>
            </w:r>
          </w:p>
          <w:p w14:paraId="1E3BD04E" w14:textId="77777777" w:rsidR="00E56179" w:rsidRPr="002D48D3" w:rsidRDefault="00E56179" w:rsidP="002D48D3">
            <w:pPr>
              <w:jc w:val="both"/>
              <w:rPr>
                <w:rFonts w:ascii="Times New Roman" w:eastAsia="Times New Roman" w:hAnsi="Times New Roman" w:cs="Times New Roman"/>
                <w:color w:val="000000"/>
                <w:lang w:eastAsia="es-HN"/>
              </w:rPr>
            </w:pPr>
          </w:p>
          <w:p w14:paraId="77B302A5" w14:textId="77777777" w:rsidR="00E56179" w:rsidRPr="002D48D3" w:rsidRDefault="00E56179" w:rsidP="002D48D3">
            <w:pPr>
              <w:jc w:val="both"/>
              <w:rPr>
                <w:rFonts w:ascii="Times New Roman" w:eastAsia="Times New Roman" w:hAnsi="Times New Roman" w:cs="Times New Roman"/>
                <w:color w:val="000000"/>
                <w:lang w:eastAsia="es-HN"/>
              </w:rPr>
            </w:pPr>
            <w:r w:rsidRPr="002D48D3">
              <w:rPr>
                <w:rFonts w:ascii="Times New Roman" w:eastAsia="Times New Roman" w:hAnsi="Times New Roman" w:cs="Times New Roman"/>
                <w:color w:val="000000"/>
                <w:lang w:eastAsia="es-HN"/>
              </w:rPr>
              <w:t>Teoría Contable</w:t>
            </w:r>
          </w:p>
          <w:p w14:paraId="29796AA1" w14:textId="77777777" w:rsidR="00E56179" w:rsidRPr="002D48D3" w:rsidRDefault="00E56179" w:rsidP="002D48D3">
            <w:pPr>
              <w:jc w:val="both"/>
              <w:rPr>
                <w:rFonts w:ascii="Times New Roman" w:eastAsia="Times New Roman" w:hAnsi="Times New Roman" w:cs="Times New Roman"/>
                <w:color w:val="000000"/>
                <w:lang w:eastAsia="es-HN"/>
              </w:rPr>
            </w:pPr>
          </w:p>
          <w:p w14:paraId="31FC718A" w14:textId="77777777" w:rsidR="00E56179" w:rsidRPr="002D48D3" w:rsidRDefault="00E56179" w:rsidP="002D48D3">
            <w:pPr>
              <w:jc w:val="both"/>
              <w:rPr>
                <w:rFonts w:ascii="Times New Roman" w:eastAsia="Times New Roman" w:hAnsi="Times New Roman" w:cs="Times New Roman"/>
                <w:color w:val="000000"/>
                <w:lang w:eastAsia="es-HN"/>
              </w:rPr>
            </w:pPr>
            <w:r w:rsidRPr="002D48D3">
              <w:rPr>
                <w:rFonts w:ascii="Times New Roman" w:eastAsia="Times New Roman" w:hAnsi="Times New Roman" w:cs="Times New Roman"/>
                <w:color w:val="000000"/>
                <w:lang w:eastAsia="es-HN"/>
              </w:rPr>
              <w:t>Teoría del Ciclo del Crédito</w:t>
            </w:r>
          </w:p>
          <w:p w14:paraId="3C9C86D0" w14:textId="77777777" w:rsidR="00E56179" w:rsidRPr="002D48D3" w:rsidRDefault="00E56179" w:rsidP="002D48D3">
            <w:pPr>
              <w:jc w:val="both"/>
              <w:rPr>
                <w:rFonts w:ascii="Times New Roman" w:eastAsia="Times New Roman" w:hAnsi="Times New Roman" w:cs="Times New Roman"/>
                <w:color w:val="000000"/>
                <w:lang w:eastAsia="es-HN"/>
              </w:rPr>
            </w:pPr>
          </w:p>
          <w:p w14:paraId="5BEC9E92" w14:textId="77777777" w:rsidR="00E56179" w:rsidRPr="002D48D3" w:rsidRDefault="00E56179" w:rsidP="002D48D3">
            <w:pPr>
              <w:jc w:val="both"/>
              <w:rPr>
                <w:rFonts w:ascii="Times New Roman" w:eastAsia="Times New Roman" w:hAnsi="Times New Roman" w:cs="Times New Roman"/>
                <w:color w:val="000000"/>
                <w:lang w:eastAsia="es-HN"/>
              </w:rPr>
            </w:pPr>
            <w:r w:rsidRPr="002D48D3">
              <w:rPr>
                <w:rFonts w:ascii="Times New Roman" w:eastAsia="Times New Roman" w:hAnsi="Times New Roman" w:cs="Times New Roman"/>
                <w:color w:val="000000"/>
                <w:lang w:eastAsia="es-HN"/>
              </w:rPr>
              <w:t>Teoría de la Tasa de Interés</w:t>
            </w:r>
          </w:p>
        </w:tc>
        <w:tc>
          <w:tcPr>
            <w:tcW w:w="1417" w:type="dxa"/>
            <w:noWrap/>
          </w:tcPr>
          <w:p w14:paraId="1F8C2C0B" w14:textId="77777777" w:rsidR="00E56179" w:rsidRPr="002D48D3" w:rsidRDefault="00E56179" w:rsidP="002D48D3">
            <w:pPr>
              <w:jc w:val="both"/>
              <w:rPr>
                <w:rFonts w:ascii="Times New Roman" w:eastAsia="Times New Roman" w:hAnsi="Times New Roman" w:cs="Times New Roman"/>
                <w:color w:val="000000"/>
                <w:lang w:eastAsia="es-HN"/>
              </w:rPr>
            </w:pPr>
            <w:r w:rsidRPr="002D48D3">
              <w:rPr>
                <w:rFonts w:ascii="Times New Roman" w:eastAsia="Times New Roman" w:hAnsi="Times New Roman" w:cs="Times New Roman"/>
                <w:color w:val="000000"/>
                <w:lang w:eastAsia="es-HN"/>
              </w:rPr>
              <w:t>Gestión de Crédito</w:t>
            </w:r>
          </w:p>
          <w:p w14:paraId="5F827624" w14:textId="77777777" w:rsidR="00E56179" w:rsidRPr="002D48D3" w:rsidRDefault="00E56179" w:rsidP="002D48D3">
            <w:pPr>
              <w:jc w:val="both"/>
              <w:rPr>
                <w:rFonts w:ascii="Times New Roman" w:eastAsia="Times New Roman" w:hAnsi="Times New Roman" w:cs="Times New Roman"/>
                <w:color w:val="000000"/>
                <w:lang w:eastAsia="es-HN"/>
              </w:rPr>
            </w:pPr>
          </w:p>
          <w:p w14:paraId="2AFB1C3F" w14:textId="77777777" w:rsidR="00E56179" w:rsidRPr="002D48D3" w:rsidRDefault="00E56179" w:rsidP="002D48D3">
            <w:pPr>
              <w:jc w:val="both"/>
              <w:rPr>
                <w:rFonts w:ascii="Times New Roman" w:eastAsia="Times New Roman" w:hAnsi="Times New Roman" w:cs="Times New Roman"/>
                <w:color w:val="000000"/>
                <w:lang w:eastAsia="es-HN"/>
              </w:rPr>
            </w:pPr>
            <w:r w:rsidRPr="002D48D3">
              <w:rPr>
                <w:rFonts w:ascii="Times New Roman" w:eastAsia="Times New Roman" w:hAnsi="Times New Roman" w:cs="Times New Roman"/>
                <w:color w:val="000000"/>
                <w:lang w:eastAsia="es-HN"/>
              </w:rPr>
              <w:t>Rentabilidad</w:t>
            </w:r>
          </w:p>
          <w:p w14:paraId="7E775634" w14:textId="77777777" w:rsidR="00E56179" w:rsidRPr="002D48D3" w:rsidRDefault="00E56179" w:rsidP="002D48D3">
            <w:pPr>
              <w:jc w:val="both"/>
              <w:rPr>
                <w:rFonts w:ascii="Times New Roman" w:eastAsia="Times New Roman" w:hAnsi="Times New Roman" w:cs="Times New Roman"/>
                <w:color w:val="000000"/>
                <w:lang w:eastAsia="es-HN"/>
              </w:rPr>
            </w:pPr>
          </w:p>
          <w:p w14:paraId="4333075F" w14:textId="77777777" w:rsidR="00E56179" w:rsidRPr="002D48D3" w:rsidRDefault="00E56179" w:rsidP="002D48D3">
            <w:pPr>
              <w:jc w:val="both"/>
              <w:rPr>
                <w:rFonts w:ascii="Times New Roman" w:eastAsia="Times New Roman" w:hAnsi="Times New Roman" w:cs="Times New Roman"/>
                <w:color w:val="000000"/>
                <w:lang w:eastAsia="es-HN"/>
              </w:rPr>
            </w:pPr>
            <w:r w:rsidRPr="002D48D3">
              <w:rPr>
                <w:rFonts w:ascii="Times New Roman" w:eastAsia="Times New Roman" w:hAnsi="Times New Roman" w:cs="Times New Roman"/>
                <w:color w:val="000000"/>
                <w:lang w:eastAsia="es-HN"/>
              </w:rPr>
              <w:t>Liquidez</w:t>
            </w:r>
          </w:p>
          <w:p w14:paraId="17AE925E" w14:textId="77777777" w:rsidR="00E56179" w:rsidRPr="002D48D3" w:rsidRDefault="00E56179" w:rsidP="002D48D3">
            <w:pPr>
              <w:jc w:val="both"/>
              <w:rPr>
                <w:rFonts w:ascii="Times New Roman" w:eastAsia="Times New Roman" w:hAnsi="Times New Roman" w:cs="Times New Roman"/>
                <w:color w:val="000000"/>
                <w:lang w:eastAsia="es-HN"/>
              </w:rPr>
            </w:pPr>
          </w:p>
          <w:p w14:paraId="1F31E53C" w14:textId="77777777" w:rsidR="00E56179" w:rsidRPr="002D48D3" w:rsidRDefault="00E56179" w:rsidP="002D48D3">
            <w:pPr>
              <w:jc w:val="both"/>
              <w:rPr>
                <w:rFonts w:ascii="Times New Roman" w:eastAsia="Times New Roman" w:hAnsi="Times New Roman" w:cs="Times New Roman"/>
                <w:color w:val="000000"/>
                <w:lang w:eastAsia="es-HN"/>
              </w:rPr>
            </w:pPr>
            <w:r w:rsidRPr="002D48D3">
              <w:rPr>
                <w:rFonts w:ascii="Times New Roman" w:eastAsia="Times New Roman" w:hAnsi="Times New Roman" w:cs="Times New Roman"/>
                <w:color w:val="000000"/>
                <w:lang w:eastAsia="es-HN"/>
              </w:rPr>
              <w:t>Solvencia Financiera y Endeudamiento</w:t>
            </w:r>
          </w:p>
          <w:p w14:paraId="5833F467" w14:textId="77777777" w:rsidR="00E56179" w:rsidRPr="002D48D3" w:rsidRDefault="00E56179" w:rsidP="002D48D3">
            <w:pPr>
              <w:jc w:val="both"/>
              <w:rPr>
                <w:rFonts w:ascii="Times New Roman" w:eastAsia="Times New Roman" w:hAnsi="Times New Roman" w:cs="Times New Roman"/>
                <w:color w:val="000000"/>
                <w:lang w:eastAsia="es-HN"/>
              </w:rPr>
            </w:pPr>
          </w:p>
          <w:p w14:paraId="5C3409CE" w14:textId="77777777" w:rsidR="00E56179" w:rsidRPr="002D48D3" w:rsidRDefault="00E56179" w:rsidP="002D48D3">
            <w:pPr>
              <w:jc w:val="both"/>
              <w:rPr>
                <w:rFonts w:ascii="Times New Roman" w:eastAsia="Times New Roman" w:hAnsi="Times New Roman" w:cs="Times New Roman"/>
                <w:color w:val="000000"/>
                <w:lang w:eastAsia="es-HN"/>
              </w:rPr>
            </w:pPr>
            <w:r w:rsidRPr="002D48D3">
              <w:rPr>
                <w:rFonts w:ascii="Times New Roman" w:eastAsia="Times New Roman" w:hAnsi="Times New Roman" w:cs="Times New Roman"/>
                <w:color w:val="000000"/>
                <w:lang w:eastAsia="es-HN"/>
              </w:rPr>
              <w:t>Morosidad</w:t>
            </w:r>
          </w:p>
        </w:tc>
        <w:tc>
          <w:tcPr>
            <w:tcW w:w="1560" w:type="dxa"/>
            <w:noWrap/>
          </w:tcPr>
          <w:p w14:paraId="5368FD60" w14:textId="77777777" w:rsidR="00E56179" w:rsidRPr="002D48D3" w:rsidRDefault="00E56179" w:rsidP="002D48D3">
            <w:pPr>
              <w:jc w:val="both"/>
              <w:rPr>
                <w:rFonts w:ascii="Times New Roman" w:eastAsia="Times New Roman" w:hAnsi="Times New Roman" w:cs="Times New Roman"/>
                <w:color w:val="000000"/>
                <w:lang w:eastAsia="es-HN"/>
              </w:rPr>
            </w:pPr>
            <w:r w:rsidRPr="002D48D3">
              <w:rPr>
                <w:rFonts w:ascii="Times New Roman" w:eastAsia="Times New Roman" w:hAnsi="Times New Roman" w:cs="Times New Roman"/>
                <w:color w:val="000000"/>
                <w:lang w:eastAsia="es-HN"/>
              </w:rPr>
              <w:t>Estados Financieros/ Bases de Datos</w:t>
            </w:r>
          </w:p>
          <w:p w14:paraId="7DCD2809" w14:textId="77777777" w:rsidR="00E56179" w:rsidRPr="002D48D3" w:rsidRDefault="00E56179" w:rsidP="002D48D3">
            <w:pPr>
              <w:jc w:val="both"/>
              <w:rPr>
                <w:rFonts w:ascii="Times New Roman" w:eastAsia="Times New Roman" w:hAnsi="Times New Roman" w:cs="Times New Roman"/>
                <w:color w:val="000000"/>
                <w:lang w:eastAsia="es-HN"/>
              </w:rPr>
            </w:pPr>
          </w:p>
          <w:p w14:paraId="4285CB25" w14:textId="77777777" w:rsidR="00E56179" w:rsidRPr="002D48D3" w:rsidRDefault="00E56179" w:rsidP="002D48D3">
            <w:pPr>
              <w:jc w:val="both"/>
              <w:rPr>
                <w:rFonts w:ascii="Times New Roman" w:eastAsia="Times New Roman" w:hAnsi="Times New Roman" w:cs="Times New Roman"/>
                <w:color w:val="000000"/>
                <w:lang w:eastAsia="es-HN"/>
              </w:rPr>
            </w:pPr>
            <w:r w:rsidRPr="002D48D3">
              <w:rPr>
                <w:rFonts w:ascii="Times New Roman" w:eastAsia="Times New Roman" w:hAnsi="Times New Roman" w:cs="Times New Roman"/>
                <w:color w:val="000000"/>
                <w:lang w:eastAsia="es-HN"/>
              </w:rPr>
              <w:t>Gerentes</w:t>
            </w:r>
          </w:p>
        </w:tc>
        <w:tc>
          <w:tcPr>
            <w:tcW w:w="1275" w:type="dxa"/>
            <w:noWrap/>
          </w:tcPr>
          <w:p w14:paraId="21CF173F" w14:textId="77777777" w:rsidR="00E56179" w:rsidRPr="002D48D3" w:rsidRDefault="00E56179" w:rsidP="002D48D3">
            <w:pPr>
              <w:jc w:val="both"/>
              <w:rPr>
                <w:rFonts w:ascii="Times New Roman" w:eastAsia="Times New Roman" w:hAnsi="Times New Roman" w:cs="Times New Roman"/>
                <w:color w:val="000000"/>
                <w:lang w:eastAsia="es-HN"/>
              </w:rPr>
            </w:pPr>
            <w:r w:rsidRPr="002D48D3">
              <w:rPr>
                <w:rFonts w:ascii="Times New Roman" w:eastAsia="Times New Roman" w:hAnsi="Times New Roman" w:cs="Times New Roman"/>
                <w:color w:val="000000"/>
                <w:lang w:eastAsia="es-HN"/>
              </w:rPr>
              <w:t>Análisis de Bases de Datos</w:t>
            </w:r>
          </w:p>
          <w:p w14:paraId="20BB8655" w14:textId="77777777" w:rsidR="00E56179" w:rsidRPr="002D48D3" w:rsidRDefault="00E56179" w:rsidP="002D48D3">
            <w:pPr>
              <w:jc w:val="both"/>
              <w:rPr>
                <w:rFonts w:ascii="Times New Roman" w:eastAsia="Times New Roman" w:hAnsi="Times New Roman" w:cs="Times New Roman"/>
                <w:color w:val="000000"/>
                <w:lang w:eastAsia="es-HN"/>
              </w:rPr>
            </w:pPr>
          </w:p>
          <w:p w14:paraId="551D386E" w14:textId="77777777" w:rsidR="00E56179" w:rsidRPr="002D48D3" w:rsidRDefault="00E56179" w:rsidP="002D48D3">
            <w:pPr>
              <w:jc w:val="both"/>
              <w:rPr>
                <w:rFonts w:ascii="Times New Roman" w:eastAsia="Times New Roman" w:hAnsi="Times New Roman" w:cs="Times New Roman"/>
                <w:color w:val="000000"/>
                <w:lang w:eastAsia="es-HN"/>
              </w:rPr>
            </w:pPr>
            <w:r w:rsidRPr="002D48D3">
              <w:rPr>
                <w:rFonts w:ascii="Times New Roman" w:eastAsia="Times New Roman" w:hAnsi="Times New Roman" w:cs="Times New Roman"/>
                <w:color w:val="000000"/>
                <w:lang w:eastAsia="es-HN"/>
              </w:rPr>
              <w:t>Entrevistas</w:t>
            </w:r>
          </w:p>
        </w:tc>
        <w:tc>
          <w:tcPr>
            <w:tcW w:w="1701" w:type="dxa"/>
            <w:noWrap/>
          </w:tcPr>
          <w:p w14:paraId="5D0AADB9" w14:textId="470FD8A8" w:rsidR="00E56179" w:rsidRPr="002D48D3" w:rsidRDefault="00E56179" w:rsidP="002D48D3">
            <w:pPr>
              <w:jc w:val="both"/>
              <w:rPr>
                <w:rFonts w:ascii="Times New Roman" w:eastAsia="Times New Roman" w:hAnsi="Times New Roman" w:cs="Times New Roman"/>
                <w:color w:val="000000"/>
                <w:lang w:eastAsia="es-HN"/>
              </w:rPr>
            </w:pPr>
            <w:r w:rsidRPr="002D48D3">
              <w:rPr>
                <w:rFonts w:ascii="Times New Roman" w:eastAsia="Times New Roman" w:hAnsi="Times New Roman" w:cs="Times New Roman"/>
                <w:color w:val="000000"/>
                <w:lang w:eastAsia="es-HN"/>
              </w:rPr>
              <w:t xml:space="preserve">1. En esta investigación se determinaron los factores que han impactado de forma negativa en la gestión de crédito de la microfinanciera </w:t>
            </w:r>
            <w:r w:rsidR="00E5074B">
              <w:rPr>
                <w:rFonts w:ascii="Times New Roman" w:eastAsia="Times New Roman" w:hAnsi="Times New Roman" w:cs="Times New Roman"/>
                <w:color w:val="000000"/>
                <w:lang w:eastAsia="es-HN"/>
              </w:rPr>
              <w:t>“XYZ”</w:t>
            </w:r>
            <w:r w:rsidRPr="002D48D3">
              <w:rPr>
                <w:rFonts w:ascii="Times New Roman" w:eastAsia="Times New Roman" w:hAnsi="Times New Roman" w:cs="Times New Roman"/>
                <w:color w:val="000000"/>
                <w:lang w:eastAsia="es-HN"/>
              </w:rPr>
              <w:t xml:space="preserve">, los resultados establecen que dichos factores incluyen una inadecuada evaluación de crédito, falta de educación financiera entre los clientes, políticas débiles de crédito y un seguimiento insuficiente de la cartera de créditos. Estos factores han contribuido a un aumento significativo en </w:t>
            </w:r>
            <w:r w:rsidRPr="002D48D3">
              <w:rPr>
                <w:rFonts w:ascii="Times New Roman" w:eastAsia="Times New Roman" w:hAnsi="Times New Roman" w:cs="Times New Roman"/>
                <w:color w:val="000000"/>
                <w:lang w:eastAsia="es-HN"/>
              </w:rPr>
              <w:lastRenderedPageBreak/>
              <w:t>los niveles de morosidad, afectando negativamente la estabilidad financiera de la institución.</w:t>
            </w:r>
          </w:p>
          <w:p w14:paraId="7DB78345" w14:textId="432B5CB3" w:rsidR="00E56179" w:rsidRPr="002D48D3" w:rsidRDefault="00E56179" w:rsidP="002D48D3">
            <w:pPr>
              <w:jc w:val="both"/>
              <w:rPr>
                <w:rFonts w:ascii="Times New Roman" w:eastAsia="Times New Roman" w:hAnsi="Times New Roman" w:cs="Times New Roman"/>
                <w:color w:val="000000"/>
                <w:lang w:eastAsia="es-HN"/>
              </w:rPr>
            </w:pPr>
            <w:r w:rsidRPr="002D48D3">
              <w:rPr>
                <w:rFonts w:ascii="Times New Roman" w:eastAsia="Times New Roman" w:hAnsi="Times New Roman" w:cs="Times New Roman"/>
                <w:color w:val="000000"/>
                <w:lang w:eastAsia="es-HN"/>
              </w:rPr>
              <w:t xml:space="preserve">2. Luego del análisis de los resultados, se logró corroborar que la situación financiera de la microfinanciera </w:t>
            </w:r>
            <w:r w:rsidR="00E5074B">
              <w:rPr>
                <w:rFonts w:ascii="Times New Roman" w:eastAsia="Times New Roman" w:hAnsi="Times New Roman" w:cs="Times New Roman"/>
                <w:color w:val="000000"/>
                <w:lang w:eastAsia="es-HN"/>
              </w:rPr>
              <w:t>“XYZ”</w:t>
            </w:r>
            <w:r w:rsidRPr="002D48D3">
              <w:rPr>
                <w:rFonts w:ascii="Times New Roman" w:eastAsia="Times New Roman" w:hAnsi="Times New Roman" w:cs="Times New Roman"/>
                <w:color w:val="000000"/>
                <w:lang w:eastAsia="es-HN"/>
              </w:rPr>
              <w:t xml:space="preserve"> ha mostrado deterioro durante el período 2019-2023, evidenciado por una disminución en los indicadores de rentabilidad y solvencia. El alto nivel de morosidad, que en promedio para los últimos cinco años es de 28.1%, ha incrementado los costos operativos en tres millones de </w:t>
            </w:r>
            <w:r w:rsidRPr="002D48D3">
              <w:rPr>
                <w:rFonts w:ascii="Times New Roman" w:eastAsia="Times New Roman" w:hAnsi="Times New Roman" w:cs="Times New Roman"/>
                <w:color w:val="000000"/>
                <w:lang w:eastAsia="es-HN"/>
              </w:rPr>
              <w:lastRenderedPageBreak/>
              <w:t>lempiras por año aproximadamente, y ha reducido la liquidez en un 1.4% por año, generándose así una mayor dependencia del endeudamiento externo para cumplir con sus obligaciones financieras. La alta morosidad ha presionado las finanzas de la institución, limitando su capacidad para generar ingresos y mantener una operación rentable.</w:t>
            </w:r>
          </w:p>
          <w:p w14:paraId="0433F1F2" w14:textId="77777777" w:rsidR="00E56179" w:rsidRPr="002D48D3" w:rsidRDefault="00E56179" w:rsidP="002D48D3">
            <w:pPr>
              <w:jc w:val="both"/>
              <w:rPr>
                <w:rFonts w:ascii="Times New Roman" w:eastAsia="Times New Roman" w:hAnsi="Times New Roman" w:cs="Times New Roman"/>
                <w:color w:val="000000"/>
                <w:lang w:eastAsia="es-HN"/>
              </w:rPr>
            </w:pPr>
          </w:p>
          <w:p w14:paraId="57D57866" w14:textId="4116A2CF" w:rsidR="00E56179" w:rsidRPr="002D48D3" w:rsidRDefault="00E56179" w:rsidP="002D48D3">
            <w:pPr>
              <w:jc w:val="both"/>
              <w:rPr>
                <w:rFonts w:ascii="Times New Roman" w:eastAsia="Times New Roman" w:hAnsi="Times New Roman" w:cs="Times New Roman"/>
                <w:color w:val="000000"/>
                <w:lang w:eastAsia="es-HN"/>
              </w:rPr>
            </w:pPr>
            <w:r w:rsidRPr="002D48D3">
              <w:rPr>
                <w:rFonts w:ascii="Times New Roman" w:eastAsia="Times New Roman" w:hAnsi="Times New Roman" w:cs="Times New Roman"/>
                <w:color w:val="000000"/>
                <w:lang w:eastAsia="es-HN"/>
              </w:rPr>
              <w:t xml:space="preserve">3. Las medidas implementadas por la microfinanciera </w:t>
            </w:r>
            <w:r w:rsidR="00E5074B">
              <w:rPr>
                <w:rFonts w:ascii="Times New Roman" w:eastAsia="Times New Roman" w:hAnsi="Times New Roman" w:cs="Times New Roman"/>
                <w:color w:val="000000"/>
                <w:lang w:eastAsia="es-HN"/>
              </w:rPr>
              <w:t>“XYZ”</w:t>
            </w:r>
            <w:r w:rsidRPr="002D48D3">
              <w:rPr>
                <w:rFonts w:ascii="Times New Roman" w:eastAsia="Times New Roman" w:hAnsi="Times New Roman" w:cs="Times New Roman"/>
                <w:color w:val="000000"/>
                <w:lang w:eastAsia="es-HN"/>
              </w:rPr>
              <w:t xml:space="preserve"> para mitigar la morosidad, como la reestructuración de deudas, el seguimiento de campo y la </w:t>
            </w:r>
            <w:r w:rsidRPr="002D48D3">
              <w:rPr>
                <w:rFonts w:ascii="Times New Roman" w:eastAsia="Times New Roman" w:hAnsi="Times New Roman" w:cs="Times New Roman"/>
                <w:color w:val="000000"/>
                <w:lang w:eastAsia="es-HN"/>
              </w:rPr>
              <w:lastRenderedPageBreak/>
              <w:t>contratación de cobranzas externas, han sido insuficientes y poco efectivas. La falta de un enfoque sistemático y de recursos adecuados para estas medidas ha impedido una reducción significativa de la morosidad, por lo que, para poder disminuir estos tan elevados porcentajes de mora la institución debería solicitar el auxilio del ente regulador en cuanto al castigo de las cuentas que ya se consideran incobrables, es decir, un porcentaje superior al 2% que establece la normativa.</w:t>
            </w:r>
          </w:p>
          <w:p w14:paraId="3378D6B1" w14:textId="77777777" w:rsidR="00E56179" w:rsidRPr="002D48D3" w:rsidRDefault="00E56179" w:rsidP="002D48D3">
            <w:pPr>
              <w:jc w:val="both"/>
              <w:rPr>
                <w:rFonts w:ascii="Times New Roman" w:eastAsia="Times New Roman" w:hAnsi="Times New Roman" w:cs="Times New Roman"/>
                <w:color w:val="000000"/>
                <w:lang w:eastAsia="es-HN"/>
              </w:rPr>
            </w:pPr>
          </w:p>
          <w:p w14:paraId="3DD124E2" w14:textId="45C39567" w:rsidR="00E56179" w:rsidRPr="002D48D3" w:rsidRDefault="00E56179" w:rsidP="002D48D3">
            <w:pPr>
              <w:jc w:val="both"/>
              <w:rPr>
                <w:rFonts w:ascii="Times New Roman" w:eastAsia="Times New Roman" w:hAnsi="Times New Roman" w:cs="Times New Roman"/>
                <w:color w:val="000000"/>
                <w:lang w:eastAsia="es-HN"/>
              </w:rPr>
            </w:pPr>
            <w:r w:rsidRPr="002D48D3">
              <w:rPr>
                <w:rFonts w:ascii="Times New Roman" w:eastAsia="Times New Roman" w:hAnsi="Times New Roman" w:cs="Times New Roman"/>
                <w:color w:val="000000"/>
                <w:lang w:eastAsia="es-HN"/>
              </w:rPr>
              <w:t>4.</w:t>
            </w:r>
            <w:r w:rsidRPr="002D48D3">
              <w:rPr>
                <w:rFonts w:ascii="Times New Roman" w:hAnsi="Times New Roman" w:cs="Times New Roman"/>
              </w:rPr>
              <w:t xml:space="preserve"> </w:t>
            </w:r>
            <w:r w:rsidRPr="002D48D3">
              <w:rPr>
                <w:rFonts w:ascii="Times New Roman" w:eastAsia="Times New Roman" w:hAnsi="Times New Roman" w:cs="Times New Roman"/>
                <w:color w:val="000000"/>
                <w:lang w:eastAsia="es-HN"/>
              </w:rPr>
              <w:t xml:space="preserve">Las variaciones en los niveles de morosidad en la cartera de crédito de la microfinanciera </w:t>
            </w:r>
            <w:r w:rsidR="00E5074B">
              <w:rPr>
                <w:rFonts w:ascii="Times New Roman" w:eastAsia="Times New Roman" w:hAnsi="Times New Roman" w:cs="Times New Roman"/>
                <w:color w:val="000000"/>
                <w:lang w:eastAsia="es-HN"/>
              </w:rPr>
              <w:t>“XYZ”</w:t>
            </w:r>
            <w:r w:rsidRPr="002D48D3">
              <w:rPr>
                <w:rFonts w:ascii="Times New Roman" w:eastAsia="Times New Roman" w:hAnsi="Times New Roman" w:cs="Times New Roman"/>
                <w:color w:val="000000"/>
                <w:lang w:eastAsia="es-HN"/>
              </w:rPr>
              <w:t xml:space="preserve"> durante el período 2019-2023 han sido marcadamente negativas, impactadas por una serie de eventos externos severos como la pandemia de COVID-19 y las tormentas tropicales ETA e IOTA, mostrándose los picos más altos en 2020 y 2021. Estos factores externos, combinados con ciertas deficiencias internas en la gestión de crédito y la recuperación de deudas, han llevado a un </w:t>
            </w:r>
            <w:r w:rsidRPr="002D48D3">
              <w:rPr>
                <w:rFonts w:ascii="Times New Roman" w:eastAsia="Times New Roman" w:hAnsi="Times New Roman" w:cs="Times New Roman"/>
                <w:color w:val="000000"/>
                <w:lang w:eastAsia="es-HN"/>
              </w:rPr>
              <w:lastRenderedPageBreak/>
              <w:t xml:space="preserve">deterioro significativo en la calidad de la cartera de crédito y la salud financiera de la institución. A pesar de las medidas de mitigación y estrategias de recuperación implementadas en los últimos cinco años, la microfinanciera </w:t>
            </w:r>
            <w:r w:rsidR="00E5074B">
              <w:rPr>
                <w:rFonts w:ascii="Times New Roman" w:eastAsia="Times New Roman" w:hAnsi="Times New Roman" w:cs="Times New Roman"/>
                <w:color w:val="000000"/>
                <w:lang w:eastAsia="es-HN"/>
              </w:rPr>
              <w:t>“XYZ”</w:t>
            </w:r>
            <w:r w:rsidRPr="002D48D3">
              <w:rPr>
                <w:rFonts w:ascii="Times New Roman" w:eastAsia="Times New Roman" w:hAnsi="Times New Roman" w:cs="Times New Roman"/>
                <w:color w:val="000000"/>
                <w:lang w:eastAsia="es-HN"/>
              </w:rPr>
              <w:t xml:space="preserve"> ha enfrentado dificultades persistentes para reducir los niveles de morosidad a niveles aceptables, indicando la necesidad de una revisión profunda de sus políticas de crédito y gestión de riesgo crediticio.</w:t>
            </w:r>
          </w:p>
        </w:tc>
        <w:tc>
          <w:tcPr>
            <w:tcW w:w="1560" w:type="dxa"/>
          </w:tcPr>
          <w:p w14:paraId="1B80D11D" w14:textId="00481AAF" w:rsidR="00E56179" w:rsidRPr="002D48D3" w:rsidRDefault="00E56179" w:rsidP="002D48D3">
            <w:pPr>
              <w:jc w:val="both"/>
              <w:rPr>
                <w:rFonts w:ascii="Times New Roman" w:eastAsia="Times New Roman" w:hAnsi="Times New Roman" w:cs="Times New Roman"/>
                <w:color w:val="000000"/>
                <w:lang w:eastAsia="es-HN"/>
              </w:rPr>
            </w:pPr>
            <w:r w:rsidRPr="002D48D3">
              <w:rPr>
                <w:rFonts w:ascii="Times New Roman" w:eastAsia="Times New Roman" w:hAnsi="Times New Roman" w:cs="Times New Roman"/>
                <w:color w:val="000000"/>
                <w:lang w:eastAsia="es-HN"/>
              </w:rPr>
              <w:lastRenderedPageBreak/>
              <w:t xml:space="preserve">Plan de reducción de la mora mayor a 30 días en la cartera crediticia de la microfinanciera </w:t>
            </w:r>
            <w:r w:rsidR="00E5074B">
              <w:rPr>
                <w:rFonts w:ascii="Times New Roman" w:eastAsia="Times New Roman" w:hAnsi="Times New Roman" w:cs="Times New Roman"/>
                <w:color w:val="000000"/>
                <w:lang w:eastAsia="es-HN"/>
              </w:rPr>
              <w:t>“XYZ”</w:t>
            </w:r>
            <w:r w:rsidRPr="002D48D3">
              <w:rPr>
                <w:rFonts w:ascii="Times New Roman" w:eastAsia="Times New Roman" w:hAnsi="Times New Roman" w:cs="Times New Roman"/>
                <w:color w:val="000000"/>
                <w:lang w:eastAsia="es-HN"/>
              </w:rPr>
              <w:t>.</w:t>
            </w:r>
          </w:p>
        </w:tc>
        <w:tc>
          <w:tcPr>
            <w:tcW w:w="1848" w:type="dxa"/>
          </w:tcPr>
          <w:p w14:paraId="37E3054D" w14:textId="18C7CC0E" w:rsidR="00E56179" w:rsidRPr="002D48D3" w:rsidRDefault="00E56179" w:rsidP="002D48D3">
            <w:pPr>
              <w:jc w:val="both"/>
              <w:rPr>
                <w:rFonts w:ascii="Times New Roman" w:eastAsia="Times New Roman" w:hAnsi="Times New Roman" w:cs="Times New Roman"/>
                <w:color w:val="000000"/>
                <w:lang w:eastAsia="es-HN"/>
              </w:rPr>
            </w:pPr>
            <w:r w:rsidRPr="002D48D3">
              <w:rPr>
                <w:rFonts w:ascii="Times New Roman" w:eastAsia="Times New Roman" w:hAnsi="Times New Roman" w:cs="Times New Roman"/>
                <w:color w:val="000000"/>
                <w:lang w:eastAsia="es-HN"/>
              </w:rPr>
              <w:t xml:space="preserve">1. Optimizar la rentabilidad y sostenibilidad financiera de la IMF </w:t>
            </w:r>
            <w:r w:rsidR="00E5074B">
              <w:rPr>
                <w:rFonts w:ascii="Times New Roman" w:eastAsia="Times New Roman" w:hAnsi="Times New Roman" w:cs="Times New Roman"/>
                <w:color w:val="000000"/>
                <w:lang w:eastAsia="es-HN"/>
              </w:rPr>
              <w:t>“XYZ”</w:t>
            </w:r>
            <w:r w:rsidRPr="002D48D3">
              <w:rPr>
                <w:rFonts w:ascii="Times New Roman" w:eastAsia="Times New Roman" w:hAnsi="Times New Roman" w:cs="Times New Roman"/>
                <w:color w:val="000000"/>
                <w:lang w:eastAsia="es-HN"/>
              </w:rPr>
              <w:t xml:space="preserve"> a través de estrategias efectivas para la reducción del monto e indicador de mora mayor a 30 días, mejorando su estabilidad financiera y capacidad operativa.</w:t>
            </w:r>
          </w:p>
          <w:p w14:paraId="1B4F248E" w14:textId="77777777" w:rsidR="00E56179" w:rsidRPr="002D48D3" w:rsidRDefault="00E56179" w:rsidP="002D48D3">
            <w:pPr>
              <w:jc w:val="both"/>
              <w:rPr>
                <w:rFonts w:ascii="Times New Roman" w:eastAsia="Times New Roman" w:hAnsi="Times New Roman" w:cs="Times New Roman"/>
                <w:color w:val="000000"/>
                <w:lang w:eastAsia="es-HN"/>
              </w:rPr>
            </w:pPr>
          </w:p>
          <w:p w14:paraId="463A1D4C" w14:textId="4D98DEB9" w:rsidR="00E56179" w:rsidRPr="002D48D3" w:rsidRDefault="00E56179" w:rsidP="002D48D3">
            <w:pPr>
              <w:jc w:val="both"/>
              <w:rPr>
                <w:rFonts w:ascii="Times New Roman" w:eastAsia="Times New Roman" w:hAnsi="Times New Roman" w:cs="Times New Roman"/>
                <w:color w:val="000000"/>
                <w:lang w:eastAsia="es-HN"/>
              </w:rPr>
            </w:pPr>
            <w:r w:rsidRPr="002D48D3">
              <w:rPr>
                <w:rFonts w:ascii="Times New Roman" w:eastAsia="Times New Roman" w:hAnsi="Times New Roman" w:cs="Times New Roman"/>
                <w:color w:val="000000"/>
                <w:lang w:eastAsia="es-HN"/>
              </w:rPr>
              <w:t xml:space="preserve">2.Analizar y ajustar las políticas de crédito de la microfinanciera </w:t>
            </w:r>
            <w:r w:rsidR="00E5074B">
              <w:rPr>
                <w:rFonts w:ascii="Times New Roman" w:eastAsia="Times New Roman" w:hAnsi="Times New Roman" w:cs="Times New Roman"/>
                <w:color w:val="000000"/>
                <w:lang w:eastAsia="es-HN"/>
              </w:rPr>
              <w:t>“XYZ”</w:t>
            </w:r>
            <w:r w:rsidRPr="002D48D3">
              <w:rPr>
                <w:rFonts w:ascii="Times New Roman" w:eastAsia="Times New Roman" w:hAnsi="Times New Roman" w:cs="Times New Roman"/>
                <w:color w:val="000000"/>
                <w:lang w:eastAsia="es-HN"/>
              </w:rPr>
              <w:t xml:space="preserve"> para garantizar una mayor rigurosidad en el proceso de selección de clientes y disminución del </w:t>
            </w:r>
            <w:r w:rsidRPr="002D48D3">
              <w:rPr>
                <w:rFonts w:ascii="Times New Roman" w:eastAsia="Times New Roman" w:hAnsi="Times New Roman" w:cs="Times New Roman"/>
                <w:color w:val="000000"/>
                <w:lang w:eastAsia="es-HN"/>
              </w:rPr>
              <w:lastRenderedPageBreak/>
              <w:t>riesgo de incumplimiento.</w:t>
            </w:r>
          </w:p>
          <w:p w14:paraId="3E82D1EA" w14:textId="77777777" w:rsidR="00E56179" w:rsidRPr="002D48D3" w:rsidRDefault="00E56179" w:rsidP="002D48D3">
            <w:pPr>
              <w:jc w:val="both"/>
              <w:rPr>
                <w:rFonts w:ascii="Times New Roman" w:eastAsia="Times New Roman" w:hAnsi="Times New Roman" w:cs="Times New Roman"/>
                <w:color w:val="000000"/>
                <w:lang w:eastAsia="es-HN"/>
              </w:rPr>
            </w:pPr>
          </w:p>
          <w:p w14:paraId="3BBBC7AA" w14:textId="77777777" w:rsidR="00E56179" w:rsidRPr="002D48D3" w:rsidRDefault="00E56179" w:rsidP="002D48D3">
            <w:pPr>
              <w:jc w:val="both"/>
              <w:rPr>
                <w:rFonts w:ascii="Times New Roman" w:eastAsia="Times New Roman" w:hAnsi="Times New Roman" w:cs="Times New Roman"/>
                <w:color w:val="000000"/>
                <w:lang w:eastAsia="es-HN"/>
              </w:rPr>
            </w:pPr>
            <w:r w:rsidRPr="002D48D3">
              <w:rPr>
                <w:rFonts w:ascii="Times New Roman" w:eastAsia="Times New Roman" w:hAnsi="Times New Roman" w:cs="Times New Roman"/>
                <w:color w:val="000000"/>
                <w:lang w:eastAsia="es-HN"/>
              </w:rPr>
              <w:t>3. Reestructurar los procesos de cobranza y recuperación de créditos, incluyendo la implementación de métodos más efectivos y personalizados, para reducir el monto y el indicador de mora mayor a 30 días.</w:t>
            </w:r>
          </w:p>
          <w:p w14:paraId="2DE78D71" w14:textId="77777777" w:rsidR="00E56179" w:rsidRPr="002D48D3" w:rsidRDefault="00E56179" w:rsidP="002D48D3">
            <w:pPr>
              <w:jc w:val="both"/>
              <w:rPr>
                <w:rFonts w:ascii="Times New Roman" w:eastAsia="Times New Roman" w:hAnsi="Times New Roman" w:cs="Times New Roman"/>
                <w:color w:val="000000"/>
                <w:lang w:eastAsia="es-HN"/>
              </w:rPr>
            </w:pPr>
          </w:p>
          <w:p w14:paraId="2729E2DF" w14:textId="6B563E56" w:rsidR="00E56179" w:rsidRPr="002D48D3" w:rsidRDefault="00E56179" w:rsidP="002D48D3">
            <w:pPr>
              <w:jc w:val="both"/>
              <w:rPr>
                <w:rFonts w:ascii="Times New Roman" w:eastAsia="Times New Roman" w:hAnsi="Times New Roman" w:cs="Times New Roman"/>
                <w:color w:val="000000"/>
                <w:lang w:eastAsia="es-HN"/>
              </w:rPr>
            </w:pPr>
            <w:r w:rsidRPr="002D48D3">
              <w:rPr>
                <w:rFonts w:ascii="Times New Roman" w:eastAsia="Times New Roman" w:hAnsi="Times New Roman" w:cs="Times New Roman"/>
                <w:color w:val="000000"/>
                <w:lang w:eastAsia="es-HN"/>
              </w:rPr>
              <w:t xml:space="preserve">4. Contribuir en el fortalecimiento y actualización del documento de apetito de riesgos, donde se evalúen los distintos límites y alertas de los indicadores financieros de la microfinanciera </w:t>
            </w:r>
            <w:r w:rsidR="00E5074B">
              <w:rPr>
                <w:rFonts w:ascii="Times New Roman" w:eastAsia="Times New Roman" w:hAnsi="Times New Roman" w:cs="Times New Roman"/>
                <w:color w:val="000000"/>
                <w:lang w:eastAsia="es-HN"/>
              </w:rPr>
              <w:t>“XYZ”</w:t>
            </w:r>
            <w:r w:rsidRPr="002D48D3">
              <w:rPr>
                <w:rFonts w:ascii="Times New Roman" w:eastAsia="Times New Roman" w:hAnsi="Times New Roman" w:cs="Times New Roman"/>
                <w:color w:val="000000"/>
                <w:lang w:eastAsia="es-HN"/>
              </w:rPr>
              <w:t>.</w:t>
            </w:r>
          </w:p>
        </w:tc>
      </w:tr>
    </w:tbl>
    <w:p w14:paraId="17710939" w14:textId="64C242D2" w:rsidR="00E56179" w:rsidRDefault="00FB3CFD" w:rsidP="00FB3CFD">
      <w:pPr>
        <w:pStyle w:val="TextoPrincipal"/>
        <w:spacing w:line="360" w:lineRule="auto"/>
      </w:pPr>
      <w:r>
        <w:lastRenderedPageBreak/>
        <w:t>Fuente: Elaboración propia.</w:t>
      </w:r>
    </w:p>
    <w:p w14:paraId="261A0337" w14:textId="77777777" w:rsidR="00A900CC" w:rsidRDefault="00A900CC" w:rsidP="00A900CC">
      <w:pPr>
        <w:pStyle w:val="TextoPrincipal"/>
        <w:spacing w:line="360" w:lineRule="auto"/>
        <w:ind w:firstLine="0"/>
      </w:pPr>
    </w:p>
    <w:p w14:paraId="64F37486" w14:textId="67E2B0EE" w:rsidR="00E56179" w:rsidRPr="0017270F" w:rsidRDefault="00E56179" w:rsidP="0017270F">
      <w:pPr>
        <w:widowControl/>
        <w:spacing w:after="160" w:line="259" w:lineRule="auto"/>
        <w:rPr>
          <w:rFonts w:ascii="Times New Roman" w:hAnsi="Times New Roman" w:cs="Times New Roman"/>
          <w:sz w:val="24"/>
          <w:szCs w:val="24"/>
        </w:rPr>
        <w:sectPr w:rsidR="00E56179" w:rsidRPr="0017270F" w:rsidSect="00E56179">
          <w:pgSz w:w="15840" w:h="12240" w:orient="landscape" w:code="1"/>
          <w:pgMar w:top="1440" w:right="1440" w:bottom="1440" w:left="1440" w:header="709" w:footer="709" w:gutter="0"/>
          <w:cols w:space="708"/>
          <w:docGrid w:linePitch="360"/>
        </w:sectPr>
      </w:pPr>
      <w:bookmarkStart w:id="401" w:name="_Toc166705851"/>
    </w:p>
    <w:p w14:paraId="30FCA3C4" w14:textId="3E39B5E1" w:rsidR="00640979" w:rsidRPr="00FB3CFD" w:rsidRDefault="00640979" w:rsidP="00501BBE">
      <w:pPr>
        <w:pStyle w:val="Ttulo1"/>
        <w:spacing w:line="360" w:lineRule="auto"/>
      </w:pPr>
      <w:bookmarkStart w:id="402" w:name="_Toc175171481"/>
      <w:r w:rsidRPr="00FB3CFD">
        <w:lastRenderedPageBreak/>
        <w:t>REFERENCIAS BIBLIOGRÁFICAS</w:t>
      </w:r>
      <w:bookmarkEnd w:id="399"/>
      <w:bookmarkEnd w:id="400"/>
      <w:bookmarkEnd w:id="401"/>
      <w:bookmarkEnd w:id="402"/>
    </w:p>
    <w:p w14:paraId="669F6667" w14:textId="77777777" w:rsidR="008D3E2F" w:rsidRPr="00A429C8" w:rsidRDefault="000F6563" w:rsidP="00A429C8">
      <w:pPr>
        <w:pStyle w:val="Bibliografa"/>
        <w:spacing w:line="360" w:lineRule="auto"/>
        <w:jc w:val="both"/>
        <w:rPr>
          <w:rFonts w:ascii="Times New Roman" w:hAnsi="Times New Roman" w:cs="Times New Roman"/>
          <w:sz w:val="24"/>
          <w:szCs w:val="24"/>
        </w:rPr>
      </w:pPr>
      <w:r w:rsidRPr="00A429C8">
        <w:rPr>
          <w:rFonts w:ascii="Times New Roman" w:hAnsi="Times New Roman" w:cs="Times New Roman"/>
          <w:sz w:val="24"/>
          <w:szCs w:val="24"/>
        </w:rPr>
        <w:fldChar w:fldCharType="begin"/>
      </w:r>
      <w:r w:rsidRPr="00A429C8">
        <w:rPr>
          <w:rFonts w:ascii="Times New Roman" w:hAnsi="Times New Roman" w:cs="Times New Roman"/>
          <w:sz w:val="24"/>
          <w:szCs w:val="24"/>
        </w:rPr>
        <w:instrText xml:space="preserve"> ADDIN ZOTERO_BIBL {"uncited":[],"omitted":[],"custom":[]} CSL_BIBLIOGRAPHY </w:instrText>
      </w:r>
      <w:r w:rsidRPr="00A429C8">
        <w:rPr>
          <w:rFonts w:ascii="Times New Roman" w:hAnsi="Times New Roman" w:cs="Times New Roman"/>
          <w:sz w:val="24"/>
          <w:szCs w:val="24"/>
        </w:rPr>
        <w:fldChar w:fldCharType="separate"/>
      </w:r>
      <w:r w:rsidR="008D3E2F" w:rsidRPr="00A429C8">
        <w:rPr>
          <w:rFonts w:ascii="Times New Roman" w:hAnsi="Times New Roman" w:cs="Times New Roman"/>
          <w:sz w:val="24"/>
          <w:szCs w:val="24"/>
        </w:rPr>
        <w:t xml:space="preserve">Aguilar Andía, G., &amp; Camargo Cárdenas, G. (2020, abril). </w:t>
      </w:r>
      <w:r w:rsidR="008D3E2F" w:rsidRPr="00A429C8">
        <w:rPr>
          <w:rFonts w:ascii="Times New Roman" w:hAnsi="Times New Roman" w:cs="Times New Roman"/>
          <w:i/>
          <w:iCs/>
          <w:sz w:val="24"/>
          <w:szCs w:val="24"/>
        </w:rPr>
        <w:t>Análisis de la morosidad de las instituciones microfinancieras (</w:t>
      </w:r>
      <w:proofErr w:type="spellStart"/>
      <w:r w:rsidR="008D3E2F" w:rsidRPr="00A429C8">
        <w:rPr>
          <w:rFonts w:ascii="Times New Roman" w:hAnsi="Times New Roman" w:cs="Times New Roman"/>
          <w:i/>
          <w:iCs/>
          <w:sz w:val="24"/>
          <w:szCs w:val="24"/>
        </w:rPr>
        <w:t>imf</w:t>
      </w:r>
      <w:proofErr w:type="spellEnd"/>
      <w:r w:rsidR="008D3E2F" w:rsidRPr="00A429C8">
        <w:rPr>
          <w:rFonts w:ascii="Times New Roman" w:hAnsi="Times New Roman" w:cs="Times New Roman"/>
          <w:i/>
          <w:iCs/>
          <w:sz w:val="24"/>
          <w:szCs w:val="24"/>
        </w:rPr>
        <w:t>) en el Perú</w:t>
      </w:r>
      <w:r w:rsidR="008D3E2F" w:rsidRPr="00A429C8">
        <w:rPr>
          <w:rFonts w:ascii="Times New Roman" w:hAnsi="Times New Roman" w:cs="Times New Roman"/>
          <w:sz w:val="24"/>
          <w:szCs w:val="24"/>
        </w:rPr>
        <w:t>.</w:t>
      </w:r>
    </w:p>
    <w:p w14:paraId="0C287BE7" w14:textId="77777777" w:rsidR="008D3E2F" w:rsidRPr="00A429C8" w:rsidRDefault="008D3E2F" w:rsidP="00A429C8">
      <w:pPr>
        <w:pStyle w:val="Bibliografa"/>
        <w:spacing w:line="360" w:lineRule="auto"/>
        <w:jc w:val="both"/>
        <w:rPr>
          <w:rFonts w:ascii="Times New Roman" w:hAnsi="Times New Roman" w:cs="Times New Roman"/>
          <w:sz w:val="24"/>
          <w:szCs w:val="24"/>
        </w:rPr>
      </w:pPr>
      <w:r w:rsidRPr="00A429C8">
        <w:rPr>
          <w:rFonts w:ascii="Times New Roman" w:hAnsi="Times New Roman" w:cs="Times New Roman"/>
          <w:sz w:val="24"/>
          <w:szCs w:val="24"/>
        </w:rPr>
        <w:t xml:space="preserve">Aguirre Landa, J. P., Garro-Aburto, L. L., Quispe </w:t>
      </w:r>
      <w:proofErr w:type="spellStart"/>
      <w:r w:rsidRPr="00A429C8">
        <w:rPr>
          <w:rFonts w:ascii="Times New Roman" w:hAnsi="Times New Roman" w:cs="Times New Roman"/>
          <w:sz w:val="24"/>
          <w:szCs w:val="24"/>
        </w:rPr>
        <w:t>Rupaylla</w:t>
      </w:r>
      <w:proofErr w:type="spellEnd"/>
      <w:r w:rsidRPr="00A429C8">
        <w:rPr>
          <w:rFonts w:ascii="Times New Roman" w:hAnsi="Times New Roman" w:cs="Times New Roman"/>
          <w:sz w:val="24"/>
          <w:szCs w:val="24"/>
        </w:rPr>
        <w:t xml:space="preserve">, R. V., &amp; Cáceres </w:t>
      </w:r>
      <w:proofErr w:type="spellStart"/>
      <w:r w:rsidRPr="00A429C8">
        <w:rPr>
          <w:rFonts w:ascii="Times New Roman" w:hAnsi="Times New Roman" w:cs="Times New Roman"/>
          <w:sz w:val="24"/>
          <w:szCs w:val="24"/>
        </w:rPr>
        <w:t>Cayllahua</w:t>
      </w:r>
      <w:proofErr w:type="spellEnd"/>
      <w:r w:rsidRPr="00A429C8">
        <w:rPr>
          <w:rFonts w:ascii="Times New Roman" w:hAnsi="Times New Roman" w:cs="Times New Roman"/>
          <w:sz w:val="24"/>
          <w:szCs w:val="24"/>
        </w:rPr>
        <w:t xml:space="preserve">, E. (2022). </w:t>
      </w:r>
      <w:r w:rsidRPr="00A429C8">
        <w:rPr>
          <w:rFonts w:ascii="Times New Roman" w:hAnsi="Times New Roman" w:cs="Times New Roman"/>
          <w:i/>
          <w:iCs/>
          <w:sz w:val="24"/>
          <w:szCs w:val="24"/>
        </w:rPr>
        <w:t xml:space="preserve">Evaluación del crédito en </w:t>
      </w:r>
      <w:proofErr w:type="gramStart"/>
      <w:r w:rsidRPr="00A429C8">
        <w:rPr>
          <w:rFonts w:ascii="Times New Roman" w:hAnsi="Times New Roman" w:cs="Times New Roman"/>
          <w:i/>
          <w:iCs/>
          <w:sz w:val="24"/>
          <w:szCs w:val="24"/>
        </w:rPr>
        <w:t>entidades  microfinancieras</w:t>
      </w:r>
      <w:proofErr w:type="gramEnd"/>
      <w:r w:rsidRPr="00A429C8">
        <w:rPr>
          <w:rFonts w:ascii="Times New Roman" w:hAnsi="Times New Roman" w:cs="Times New Roman"/>
          <w:i/>
          <w:iCs/>
          <w:sz w:val="24"/>
          <w:szCs w:val="24"/>
        </w:rPr>
        <w:t xml:space="preserve"> peruanas.</w:t>
      </w:r>
      <w:r w:rsidRPr="00A429C8">
        <w:rPr>
          <w:rFonts w:ascii="Times New Roman" w:hAnsi="Times New Roman" w:cs="Times New Roman"/>
          <w:sz w:val="24"/>
          <w:szCs w:val="24"/>
        </w:rPr>
        <w:t xml:space="preserve"> </w:t>
      </w:r>
      <w:r w:rsidRPr="00A429C8">
        <w:rPr>
          <w:rFonts w:ascii="Times New Roman" w:hAnsi="Times New Roman" w:cs="Times New Roman"/>
          <w:i/>
          <w:iCs/>
          <w:sz w:val="24"/>
          <w:szCs w:val="24"/>
        </w:rPr>
        <w:t>98</w:t>
      </w:r>
      <w:r w:rsidRPr="00A429C8">
        <w:rPr>
          <w:rFonts w:ascii="Times New Roman" w:hAnsi="Times New Roman" w:cs="Times New Roman"/>
          <w:sz w:val="24"/>
          <w:szCs w:val="24"/>
        </w:rPr>
        <w:t>, 634-648.</w:t>
      </w:r>
    </w:p>
    <w:p w14:paraId="0825F169" w14:textId="77777777" w:rsidR="008D3E2F" w:rsidRPr="00A429C8" w:rsidRDefault="008D3E2F" w:rsidP="00A429C8">
      <w:pPr>
        <w:pStyle w:val="Bibliografa"/>
        <w:spacing w:line="360" w:lineRule="auto"/>
        <w:jc w:val="both"/>
        <w:rPr>
          <w:rFonts w:ascii="Times New Roman" w:hAnsi="Times New Roman" w:cs="Times New Roman"/>
          <w:sz w:val="24"/>
          <w:szCs w:val="24"/>
        </w:rPr>
      </w:pPr>
      <w:r w:rsidRPr="00A429C8">
        <w:rPr>
          <w:rFonts w:ascii="Times New Roman" w:hAnsi="Times New Roman" w:cs="Times New Roman"/>
          <w:sz w:val="24"/>
          <w:szCs w:val="24"/>
        </w:rPr>
        <w:t xml:space="preserve">Alarcón Morales, E. M., &amp; Mora Ramos, B. J. (2020). </w:t>
      </w:r>
      <w:r w:rsidRPr="00A429C8">
        <w:rPr>
          <w:rFonts w:ascii="Times New Roman" w:hAnsi="Times New Roman" w:cs="Times New Roman"/>
          <w:i/>
          <w:iCs/>
          <w:sz w:val="24"/>
          <w:szCs w:val="24"/>
        </w:rPr>
        <w:t xml:space="preserve">Modelo para la evaluación del riesgo crediticio para los clientes de </w:t>
      </w:r>
      <w:proofErr w:type="gramStart"/>
      <w:r w:rsidRPr="00A429C8">
        <w:rPr>
          <w:rFonts w:ascii="Times New Roman" w:hAnsi="Times New Roman" w:cs="Times New Roman"/>
          <w:i/>
          <w:iCs/>
          <w:sz w:val="24"/>
          <w:szCs w:val="24"/>
        </w:rPr>
        <w:t>las  microfinancieras</w:t>
      </w:r>
      <w:proofErr w:type="gramEnd"/>
      <w:r w:rsidRPr="00A429C8">
        <w:rPr>
          <w:rFonts w:ascii="Times New Roman" w:hAnsi="Times New Roman" w:cs="Times New Roman"/>
          <w:i/>
          <w:iCs/>
          <w:sz w:val="24"/>
          <w:szCs w:val="24"/>
        </w:rPr>
        <w:t xml:space="preserve"> del Perú</w:t>
      </w:r>
      <w:r w:rsidRPr="00A429C8">
        <w:rPr>
          <w:rFonts w:ascii="Times New Roman" w:hAnsi="Times New Roman" w:cs="Times New Roman"/>
          <w:sz w:val="24"/>
          <w:szCs w:val="24"/>
        </w:rPr>
        <w:t>.</w:t>
      </w:r>
    </w:p>
    <w:p w14:paraId="32AB0E3B" w14:textId="77777777" w:rsidR="008D3E2F" w:rsidRPr="00A429C8" w:rsidRDefault="008D3E2F" w:rsidP="00A429C8">
      <w:pPr>
        <w:pStyle w:val="Bibliografa"/>
        <w:spacing w:line="360" w:lineRule="auto"/>
        <w:jc w:val="both"/>
        <w:rPr>
          <w:rFonts w:ascii="Times New Roman" w:hAnsi="Times New Roman" w:cs="Times New Roman"/>
          <w:sz w:val="24"/>
          <w:szCs w:val="24"/>
        </w:rPr>
      </w:pPr>
      <w:r w:rsidRPr="00A429C8">
        <w:rPr>
          <w:rFonts w:ascii="Times New Roman" w:hAnsi="Times New Roman" w:cs="Times New Roman"/>
          <w:sz w:val="24"/>
          <w:szCs w:val="24"/>
        </w:rPr>
        <w:t xml:space="preserve">Alpízar, C. A., &amp; González-Vega, C. (2006). </w:t>
      </w:r>
      <w:r w:rsidRPr="00A429C8">
        <w:rPr>
          <w:rFonts w:ascii="Times New Roman" w:hAnsi="Times New Roman" w:cs="Times New Roman"/>
          <w:i/>
          <w:iCs/>
          <w:sz w:val="24"/>
          <w:szCs w:val="24"/>
        </w:rPr>
        <w:t>El Sector de las Microfinanzas en México</w:t>
      </w:r>
      <w:r w:rsidRPr="00A429C8">
        <w:rPr>
          <w:rFonts w:ascii="Times New Roman" w:hAnsi="Times New Roman" w:cs="Times New Roman"/>
          <w:sz w:val="24"/>
          <w:szCs w:val="24"/>
        </w:rPr>
        <w:t>.</w:t>
      </w:r>
    </w:p>
    <w:p w14:paraId="674DB30A" w14:textId="77777777" w:rsidR="008D3E2F" w:rsidRPr="00A429C8" w:rsidRDefault="008D3E2F" w:rsidP="00A429C8">
      <w:pPr>
        <w:pStyle w:val="Bibliografa"/>
        <w:spacing w:line="360" w:lineRule="auto"/>
        <w:jc w:val="both"/>
        <w:rPr>
          <w:rFonts w:ascii="Times New Roman" w:hAnsi="Times New Roman" w:cs="Times New Roman"/>
          <w:sz w:val="24"/>
          <w:szCs w:val="24"/>
        </w:rPr>
      </w:pPr>
      <w:r w:rsidRPr="00A429C8">
        <w:rPr>
          <w:rFonts w:ascii="Times New Roman" w:hAnsi="Times New Roman" w:cs="Times New Roman"/>
          <w:sz w:val="24"/>
          <w:szCs w:val="24"/>
        </w:rPr>
        <w:t xml:space="preserve">Barrios Morales, J. J. (2023). </w:t>
      </w:r>
      <w:r w:rsidRPr="00A429C8">
        <w:rPr>
          <w:rFonts w:ascii="Times New Roman" w:hAnsi="Times New Roman" w:cs="Times New Roman"/>
          <w:i/>
          <w:iCs/>
          <w:sz w:val="24"/>
          <w:szCs w:val="24"/>
        </w:rPr>
        <w:t>Factores de morosidad en la empresa de microcréditos B&amp;M nuestra confianza del distrito de san ramón, periodo 2019-2020</w:t>
      </w:r>
      <w:r w:rsidRPr="00A429C8">
        <w:rPr>
          <w:rFonts w:ascii="Times New Roman" w:hAnsi="Times New Roman" w:cs="Times New Roman"/>
          <w:sz w:val="24"/>
          <w:szCs w:val="24"/>
        </w:rPr>
        <w:t>.</w:t>
      </w:r>
    </w:p>
    <w:p w14:paraId="2ADA7D05" w14:textId="77777777" w:rsidR="008D3E2F" w:rsidRPr="00A429C8" w:rsidRDefault="008D3E2F" w:rsidP="00A429C8">
      <w:pPr>
        <w:pStyle w:val="Bibliografa"/>
        <w:spacing w:line="360" w:lineRule="auto"/>
        <w:jc w:val="both"/>
        <w:rPr>
          <w:rFonts w:ascii="Times New Roman" w:hAnsi="Times New Roman" w:cs="Times New Roman"/>
          <w:sz w:val="24"/>
          <w:szCs w:val="24"/>
        </w:rPr>
      </w:pPr>
      <w:proofErr w:type="spellStart"/>
      <w:r w:rsidRPr="00A429C8">
        <w:rPr>
          <w:rFonts w:ascii="Times New Roman" w:hAnsi="Times New Roman" w:cs="Times New Roman"/>
          <w:sz w:val="24"/>
          <w:szCs w:val="24"/>
        </w:rPr>
        <w:t>Bekerman</w:t>
      </w:r>
      <w:proofErr w:type="spellEnd"/>
      <w:r w:rsidRPr="00A429C8">
        <w:rPr>
          <w:rFonts w:ascii="Times New Roman" w:hAnsi="Times New Roman" w:cs="Times New Roman"/>
          <w:sz w:val="24"/>
          <w:szCs w:val="24"/>
        </w:rPr>
        <w:t xml:space="preserve">, M. (2006). </w:t>
      </w:r>
      <w:r w:rsidRPr="00A429C8">
        <w:rPr>
          <w:rFonts w:ascii="Times New Roman" w:hAnsi="Times New Roman" w:cs="Times New Roman"/>
          <w:i/>
          <w:iCs/>
          <w:sz w:val="24"/>
          <w:szCs w:val="24"/>
        </w:rPr>
        <w:t>Las microfinanzas y sus desafíos en la Argentina</w:t>
      </w:r>
      <w:r w:rsidRPr="00A429C8">
        <w:rPr>
          <w:rFonts w:ascii="Times New Roman" w:hAnsi="Times New Roman" w:cs="Times New Roman"/>
          <w:sz w:val="24"/>
          <w:szCs w:val="24"/>
        </w:rPr>
        <w:t>.</w:t>
      </w:r>
    </w:p>
    <w:p w14:paraId="1AFB025C" w14:textId="77777777" w:rsidR="008D3E2F" w:rsidRPr="00A429C8" w:rsidRDefault="008D3E2F" w:rsidP="00A429C8">
      <w:pPr>
        <w:pStyle w:val="Bibliografa"/>
        <w:spacing w:line="360" w:lineRule="auto"/>
        <w:jc w:val="both"/>
        <w:rPr>
          <w:rFonts w:ascii="Times New Roman" w:hAnsi="Times New Roman" w:cs="Times New Roman"/>
          <w:sz w:val="24"/>
          <w:szCs w:val="24"/>
        </w:rPr>
      </w:pPr>
      <w:proofErr w:type="spellStart"/>
      <w:r w:rsidRPr="00A429C8">
        <w:rPr>
          <w:rFonts w:ascii="Times New Roman" w:hAnsi="Times New Roman" w:cs="Times New Roman"/>
          <w:sz w:val="24"/>
          <w:szCs w:val="24"/>
        </w:rPr>
        <w:t>Bicciato</w:t>
      </w:r>
      <w:proofErr w:type="spellEnd"/>
      <w:r w:rsidRPr="00A429C8">
        <w:rPr>
          <w:rFonts w:ascii="Times New Roman" w:hAnsi="Times New Roman" w:cs="Times New Roman"/>
          <w:sz w:val="24"/>
          <w:szCs w:val="24"/>
        </w:rPr>
        <w:t xml:space="preserve">, F., </w:t>
      </w:r>
      <w:proofErr w:type="spellStart"/>
      <w:r w:rsidRPr="00A429C8">
        <w:rPr>
          <w:rFonts w:ascii="Times New Roman" w:hAnsi="Times New Roman" w:cs="Times New Roman"/>
          <w:sz w:val="24"/>
          <w:szCs w:val="24"/>
        </w:rPr>
        <w:t>Foschi</w:t>
      </w:r>
      <w:proofErr w:type="spellEnd"/>
      <w:r w:rsidRPr="00A429C8">
        <w:rPr>
          <w:rFonts w:ascii="Times New Roman" w:hAnsi="Times New Roman" w:cs="Times New Roman"/>
          <w:sz w:val="24"/>
          <w:szCs w:val="24"/>
        </w:rPr>
        <w:t xml:space="preserve">, L., </w:t>
      </w:r>
      <w:proofErr w:type="spellStart"/>
      <w:r w:rsidRPr="00A429C8">
        <w:rPr>
          <w:rFonts w:ascii="Times New Roman" w:hAnsi="Times New Roman" w:cs="Times New Roman"/>
          <w:sz w:val="24"/>
          <w:szCs w:val="24"/>
        </w:rPr>
        <w:t>Bottaro</w:t>
      </w:r>
      <w:proofErr w:type="spellEnd"/>
      <w:r w:rsidRPr="00A429C8">
        <w:rPr>
          <w:rFonts w:ascii="Times New Roman" w:hAnsi="Times New Roman" w:cs="Times New Roman"/>
          <w:sz w:val="24"/>
          <w:szCs w:val="24"/>
        </w:rPr>
        <w:t xml:space="preserve">, E., &amp; </w:t>
      </w:r>
      <w:proofErr w:type="spellStart"/>
      <w:r w:rsidRPr="00A429C8">
        <w:rPr>
          <w:rFonts w:ascii="Times New Roman" w:hAnsi="Times New Roman" w:cs="Times New Roman"/>
          <w:sz w:val="24"/>
          <w:szCs w:val="24"/>
        </w:rPr>
        <w:t>Ivardi</w:t>
      </w:r>
      <w:proofErr w:type="spellEnd"/>
      <w:r w:rsidRPr="00A429C8">
        <w:rPr>
          <w:rFonts w:ascii="Times New Roman" w:hAnsi="Times New Roman" w:cs="Times New Roman"/>
          <w:sz w:val="24"/>
          <w:szCs w:val="24"/>
        </w:rPr>
        <w:t xml:space="preserve"> </w:t>
      </w:r>
      <w:proofErr w:type="spellStart"/>
      <w:r w:rsidRPr="00A429C8">
        <w:rPr>
          <w:rFonts w:ascii="Times New Roman" w:hAnsi="Times New Roman" w:cs="Times New Roman"/>
          <w:sz w:val="24"/>
          <w:szCs w:val="24"/>
        </w:rPr>
        <w:t>Ganapini</w:t>
      </w:r>
      <w:proofErr w:type="spellEnd"/>
      <w:r w:rsidRPr="00A429C8">
        <w:rPr>
          <w:rFonts w:ascii="Times New Roman" w:hAnsi="Times New Roman" w:cs="Times New Roman"/>
          <w:sz w:val="24"/>
          <w:szCs w:val="24"/>
        </w:rPr>
        <w:t xml:space="preserve">, F. (Eds.). (2002). </w:t>
      </w:r>
      <w:r w:rsidRPr="00A429C8">
        <w:rPr>
          <w:rFonts w:ascii="Times New Roman" w:hAnsi="Times New Roman" w:cs="Times New Roman"/>
          <w:i/>
          <w:iCs/>
          <w:sz w:val="24"/>
          <w:szCs w:val="24"/>
        </w:rPr>
        <w:t>Microfinanzas en países pequeños de América Latina: Bolivia, Ecuador y El Salvador</w:t>
      </w:r>
      <w:r w:rsidRPr="00A429C8">
        <w:rPr>
          <w:rFonts w:ascii="Times New Roman" w:hAnsi="Times New Roman" w:cs="Times New Roman"/>
          <w:sz w:val="24"/>
          <w:szCs w:val="24"/>
        </w:rPr>
        <w:t>. Naciones Unidas, CEPAL, División de Desarrollo Productivo y Empresarial.</w:t>
      </w:r>
    </w:p>
    <w:p w14:paraId="2A963939" w14:textId="77777777" w:rsidR="008D3E2F" w:rsidRPr="00A429C8" w:rsidRDefault="008D3E2F" w:rsidP="00A429C8">
      <w:pPr>
        <w:pStyle w:val="Bibliografa"/>
        <w:spacing w:line="360" w:lineRule="auto"/>
        <w:jc w:val="both"/>
        <w:rPr>
          <w:rFonts w:ascii="Times New Roman" w:hAnsi="Times New Roman" w:cs="Times New Roman"/>
          <w:sz w:val="24"/>
          <w:szCs w:val="24"/>
        </w:rPr>
      </w:pPr>
      <w:r w:rsidRPr="00A429C8">
        <w:rPr>
          <w:rFonts w:ascii="Times New Roman" w:hAnsi="Times New Roman" w:cs="Times New Roman"/>
          <w:sz w:val="24"/>
          <w:szCs w:val="24"/>
        </w:rPr>
        <w:t xml:space="preserve">Calderón, M. L. (2002). </w:t>
      </w:r>
      <w:r w:rsidRPr="00A429C8">
        <w:rPr>
          <w:rFonts w:ascii="Times New Roman" w:hAnsi="Times New Roman" w:cs="Times New Roman"/>
          <w:i/>
          <w:iCs/>
          <w:sz w:val="24"/>
          <w:szCs w:val="24"/>
        </w:rPr>
        <w:t>Microcréditos: De pobres a microempresarios</w:t>
      </w:r>
      <w:r w:rsidRPr="00A429C8">
        <w:rPr>
          <w:rFonts w:ascii="Times New Roman" w:hAnsi="Times New Roman" w:cs="Times New Roman"/>
          <w:sz w:val="24"/>
          <w:szCs w:val="24"/>
        </w:rPr>
        <w:t>. https://elibro.net/es/ereader/unitechn/48300?page=46</w:t>
      </w:r>
    </w:p>
    <w:p w14:paraId="601E0337" w14:textId="77777777" w:rsidR="008D3E2F" w:rsidRPr="00A429C8" w:rsidRDefault="008D3E2F" w:rsidP="00A429C8">
      <w:pPr>
        <w:pStyle w:val="Bibliografa"/>
        <w:spacing w:line="360" w:lineRule="auto"/>
        <w:jc w:val="both"/>
        <w:rPr>
          <w:rFonts w:ascii="Times New Roman" w:hAnsi="Times New Roman" w:cs="Times New Roman"/>
          <w:sz w:val="24"/>
          <w:szCs w:val="24"/>
        </w:rPr>
      </w:pPr>
      <w:r w:rsidRPr="00A429C8">
        <w:rPr>
          <w:rFonts w:ascii="Times New Roman" w:hAnsi="Times New Roman" w:cs="Times New Roman"/>
          <w:sz w:val="24"/>
          <w:szCs w:val="24"/>
        </w:rPr>
        <w:t xml:space="preserve">Campos, G. (2006). </w:t>
      </w:r>
      <w:r w:rsidRPr="00A429C8">
        <w:rPr>
          <w:rFonts w:ascii="Times New Roman" w:hAnsi="Times New Roman" w:cs="Times New Roman"/>
          <w:i/>
          <w:iCs/>
          <w:sz w:val="24"/>
          <w:szCs w:val="24"/>
        </w:rPr>
        <w:t>Hipótesis formulación y comprobación</w:t>
      </w:r>
      <w:r w:rsidRPr="00A429C8">
        <w:rPr>
          <w:rFonts w:ascii="Times New Roman" w:hAnsi="Times New Roman" w:cs="Times New Roman"/>
          <w:sz w:val="24"/>
          <w:szCs w:val="24"/>
        </w:rPr>
        <w:t>. Plaza y Valdés (México).</w:t>
      </w:r>
    </w:p>
    <w:p w14:paraId="7A6E4811" w14:textId="77777777" w:rsidR="008D3E2F" w:rsidRPr="00A429C8" w:rsidRDefault="008D3E2F" w:rsidP="00A429C8">
      <w:pPr>
        <w:pStyle w:val="Bibliografa"/>
        <w:spacing w:line="360" w:lineRule="auto"/>
        <w:jc w:val="both"/>
        <w:rPr>
          <w:rFonts w:ascii="Times New Roman" w:hAnsi="Times New Roman" w:cs="Times New Roman"/>
          <w:sz w:val="24"/>
          <w:szCs w:val="24"/>
        </w:rPr>
      </w:pPr>
      <w:proofErr w:type="spellStart"/>
      <w:r w:rsidRPr="00A429C8">
        <w:rPr>
          <w:rFonts w:ascii="Times New Roman" w:hAnsi="Times New Roman" w:cs="Times New Roman"/>
          <w:sz w:val="24"/>
          <w:szCs w:val="24"/>
        </w:rPr>
        <w:t>Canizales</w:t>
      </w:r>
      <w:proofErr w:type="spellEnd"/>
      <w:r w:rsidRPr="00A429C8">
        <w:rPr>
          <w:rFonts w:ascii="Times New Roman" w:hAnsi="Times New Roman" w:cs="Times New Roman"/>
          <w:sz w:val="24"/>
          <w:szCs w:val="24"/>
        </w:rPr>
        <w:t xml:space="preserve"> Gómez, B. A., &amp; Andino Matute, O. N. (2021). </w:t>
      </w:r>
      <w:r w:rsidRPr="00A429C8">
        <w:rPr>
          <w:rFonts w:ascii="Times New Roman" w:hAnsi="Times New Roman" w:cs="Times New Roman"/>
          <w:i/>
          <w:iCs/>
          <w:sz w:val="24"/>
          <w:szCs w:val="24"/>
        </w:rPr>
        <w:t>Acceso a Microcrédito para PYMES en Honduras.</w:t>
      </w:r>
      <w:r w:rsidRPr="00A429C8">
        <w:rPr>
          <w:rFonts w:ascii="Times New Roman" w:hAnsi="Times New Roman" w:cs="Times New Roman"/>
          <w:sz w:val="24"/>
          <w:szCs w:val="24"/>
        </w:rPr>
        <w:t xml:space="preserve"> Centro Universitario Tecnológico.</w:t>
      </w:r>
    </w:p>
    <w:p w14:paraId="73CFB460" w14:textId="77777777" w:rsidR="008D3E2F" w:rsidRPr="00A429C8" w:rsidRDefault="008D3E2F" w:rsidP="00A429C8">
      <w:pPr>
        <w:pStyle w:val="Bibliografa"/>
        <w:spacing w:line="360" w:lineRule="auto"/>
        <w:jc w:val="both"/>
        <w:rPr>
          <w:rFonts w:ascii="Times New Roman" w:hAnsi="Times New Roman" w:cs="Times New Roman"/>
          <w:sz w:val="24"/>
          <w:szCs w:val="24"/>
        </w:rPr>
      </w:pPr>
      <w:r w:rsidRPr="00A429C8">
        <w:rPr>
          <w:rFonts w:ascii="Times New Roman" w:hAnsi="Times New Roman" w:cs="Times New Roman"/>
          <w:sz w:val="24"/>
          <w:szCs w:val="24"/>
        </w:rPr>
        <w:t xml:space="preserve">Carrasco Herrera, C. Y., &amp; Zepeda Herrera, D. A. (2023). </w:t>
      </w:r>
      <w:r w:rsidRPr="00A429C8">
        <w:rPr>
          <w:rFonts w:ascii="Times New Roman" w:hAnsi="Times New Roman" w:cs="Times New Roman"/>
          <w:i/>
          <w:iCs/>
          <w:sz w:val="24"/>
          <w:szCs w:val="24"/>
        </w:rPr>
        <w:t xml:space="preserve">La Educación Financiera Y El Endeudamiento De Los Empleados De </w:t>
      </w:r>
      <w:proofErr w:type="spellStart"/>
      <w:r w:rsidRPr="00A429C8">
        <w:rPr>
          <w:rFonts w:ascii="Times New Roman" w:hAnsi="Times New Roman" w:cs="Times New Roman"/>
          <w:i/>
          <w:iCs/>
          <w:sz w:val="24"/>
          <w:szCs w:val="24"/>
        </w:rPr>
        <w:t>Ashonplafa</w:t>
      </w:r>
      <w:proofErr w:type="spellEnd"/>
      <w:r w:rsidRPr="00A429C8">
        <w:rPr>
          <w:rFonts w:ascii="Times New Roman" w:hAnsi="Times New Roman" w:cs="Times New Roman"/>
          <w:i/>
          <w:iCs/>
          <w:sz w:val="24"/>
          <w:szCs w:val="24"/>
        </w:rPr>
        <w:t xml:space="preserve"> Honduras.</w:t>
      </w:r>
    </w:p>
    <w:p w14:paraId="0247BEFD" w14:textId="77777777" w:rsidR="008D3E2F" w:rsidRPr="00A429C8" w:rsidRDefault="008D3E2F" w:rsidP="00A429C8">
      <w:pPr>
        <w:pStyle w:val="Bibliografa"/>
        <w:spacing w:line="360" w:lineRule="auto"/>
        <w:jc w:val="both"/>
        <w:rPr>
          <w:rFonts w:ascii="Times New Roman" w:hAnsi="Times New Roman" w:cs="Times New Roman"/>
          <w:sz w:val="24"/>
          <w:szCs w:val="24"/>
        </w:rPr>
      </w:pPr>
      <w:proofErr w:type="spellStart"/>
      <w:r w:rsidRPr="00A429C8">
        <w:rPr>
          <w:rFonts w:ascii="Times New Roman" w:hAnsi="Times New Roman" w:cs="Times New Roman"/>
          <w:sz w:val="24"/>
          <w:szCs w:val="24"/>
        </w:rPr>
        <w:t>Celiss</w:t>
      </w:r>
      <w:proofErr w:type="spellEnd"/>
      <w:r w:rsidRPr="00A429C8">
        <w:rPr>
          <w:rFonts w:ascii="Times New Roman" w:hAnsi="Times New Roman" w:cs="Times New Roman"/>
          <w:sz w:val="24"/>
          <w:szCs w:val="24"/>
        </w:rPr>
        <w:t xml:space="preserve"> San Martín, M. D., &amp; Bulnes Galán, M. M. (2000). </w:t>
      </w:r>
      <w:r w:rsidRPr="00A429C8">
        <w:rPr>
          <w:rFonts w:ascii="Times New Roman" w:hAnsi="Times New Roman" w:cs="Times New Roman"/>
          <w:i/>
          <w:iCs/>
          <w:sz w:val="24"/>
          <w:szCs w:val="24"/>
        </w:rPr>
        <w:t>Gestión del Riesgo Operativo en Instituciones Financieras en Honduras.</w:t>
      </w:r>
      <w:r w:rsidRPr="00A429C8">
        <w:rPr>
          <w:rFonts w:ascii="Times New Roman" w:hAnsi="Times New Roman" w:cs="Times New Roman"/>
          <w:sz w:val="24"/>
          <w:szCs w:val="24"/>
        </w:rPr>
        <w:t xml:space="preserve"> Universidad Tecnológica Centroamericana.</w:t>
      </w:r>
    </w:p>
    <w:p w14:paraId="1576A9FC" w14:textId="77777777" w:rsidR="008D3E2F" w:rsidRPr="00A429C8" w:rsidRDefault="008D3E2F" w:rsidP="00A429C8">
      <w:pPr>
        <w:pStyle w:val="Bibliografa"/>
        <w:spacing w:line="360" w:lineRule="auto"/>
        <w:jc w:val="both"/>
        <w:rPr>
          <w:rFonts w:ascii="Times New Roman" w:hAnsi="Times New Roman" w:cs="Times New Roman"/>
          <w:sz w:val="24"/>
          <w:szCs w:val="24"/>
        </w:rPr>
      </w:pPr>
      <w:r w:rsidRPr="00A429C8">
        <w:rPr>
          <w:rFonts w:ascii="Times New Roman" w:hAnsi="Times New Roman" w:cs="Times New Roman"/>
          <w:sz w:val="24"/>
          <w:szCs w:val="24"/>
        </w:rPr>
        <w:t xml:space="preserve">Chu Rubio, M. (2016). </w:t>
      </w:r>
      <w:r w:rsidRPr="00A429C8">
        <w:rPr>
          <w:rFonts w:ascii="Times New Roman" w:hAnsi="Times New Roman" w:cs="Times New Roman"/>
          <w:i/>
          <w:iCs/>
          <w:sz w:val="24"/>
          <w:szCs w:val="24"/>
        </w:rPr>
        <w:t>Finanzas para no financieros</w:t>
      </w:r>
      <w:r w:rsidRPr="00A429C8">
        <w:rPr>
          <w:rFonts w:ascii="Times New Roman" w:hAnsi="Times New Roman" w:cs="Times New Roman"/>
          <w:sz w:val="24"/>
          <w:szCs w:val="24"/>
        </w:rPr>
        <w:t>. Universidad Peruana de Ciencias Aplicadas (UPC). https://elibro.net/es/ereader/unitechn/41266?page=13</w:t>
      </w:r>
    </w:p>
    <w:p w14:paraId="0463D343" w14:textId="77777777" w:rsidR="008D3E2F" w:rsidRPr="00A429C8" w:rsidRDefault="008D3E2F" w:rsidP="00A429C8">
      <w:pPr>
        <w:pStyle w:val="Bibliografa"/>
        <w:spacing w:line="360" w:lineRule="auto"/>
        <w:jc w:val="both"/>
        <w:rPr>
          <w:rFonts w:ascii="Times New Roman" w:hAnsi="Times New Roman" w:cs="Times New Roman"/>
          <w:sz w:val="24"/>
          <w:szCs w:val="24"/>
        </w:rPr>
      </w:pPr>
      <w:r w:rsidRPr="00A429C8">
        <w:rPr>
          <w:rFonts w:ascii="Times New Roman" w:hAnsi="Times New Roman" w:cs="Times New Roman"/>
          <w:sz w:val="24"/>
          <w:szCs w:val="24"/>
        </w:rPr>
        <w:t xml:space="preserve">CNBS. (2022, marzo 29). </w:t>
      </w:r>
      <w:r w:rsidRPr="00A429C8">
        <w:rPr>
          <w:rFonts w:ascii="Times New Roman" w:hAnsi="Times New Roman" w:cs="Times New Roman"/>
          <w:i/>
          <w:iCs/>
          <w:sz w:val="24"/>
          <w:szCs w:val="24"/>
        </w:rPr>
        <w:t>Circular CNBS No.003/2022</w:t>
      </w:r>
      <w:r w:rsidRPr="00A429C8">
        <w:rPr>
          <w:rFonts w:ascii="Times New Roman" w:hAnsi="Times New Roman" w:cs="Times New Roman"/>
          <w:sz w:val="24"/>
          <w:szCs w:val="24"/>
        </w:rPr>
        <w:t>.</w:t>
      </w:r>
    </w:p>
    <w:p w14:paraId="04AC69FD" w14:textId="77777777" w:rsidR="008D3E2F" w:rsidRPr="00A429C8" w:rsidRDefault="008D3E2F" w:rsidP="00A429C8">
      <w:pPr>
        <w:pStyle w:val="Bibliografa"/>
        <w:spacing w:line="360" w:lineRule="auto"/>
        <w:jc w:val="both"/>
        <w:rPr>
          <w:rFonts w:ascii="Times New Roman" w:hAnsi="Times New Roman" w:cs="Times New Roman"/>
          <w:sz w:val="24"/>
          <w:szCs w:val="24"/>
        </w:rPr>
      </w:pPr>
      <w:r w:rsidRPr="00A429C8">
        <w:rPr>
          <w:rFonts w:ascii="Times New Roman" w:hAnsi="Times New Roman" w:cs="Times New Roman"/>
          <w:sz w:val="24"/>
          <w:szCs w:val="24"/>
        </w:rPr>
        <w:t xml:space="preserve">Cruz Cerda, N. A. (2021). </w:t>
      </w:r>
      <w:r w:rsidRPr="00A429C8">
        <w:rPr>
          <w:rFonts w:ascii="Times New Roman" w:hAnsi="Times New Roman" w:cs="Times New Roman"/>
          <w:i/>
          <w:iCs/>
          <w:sz w:val="24"/>
          <w:szCs w:val="24"/>
        </w:rPr>
        <w:t>Los Microcréditos en el Crecimiento Económico del Perú</w:t>
      </w:r>
      <w:r w:rsidRPr="00A429C8">
        <w:rPr>
          <w:rFonts w:ascii="Times New Roman" w:hAnsi="Times New Roman" w:cs="Times New Roman"/>
          <w:sz w:val="24"/>
          <w:szCs w:val="24"/>
        </w:rPr>
        <w:t>.</w:t>
      </w:r>
    </w:p>
    <w:p w14:paraId="656ACEAC" w14:textId="77777777" w:rsidR="008D3E2F" w:rsidRPr="00A429C8" w:rsidRDefault="008D3E2F" w:rsidP="00A429C8">
      <w:pPr>
        <w:pStyle w:val="Bibliografa"/>
        <w:spacing w:line="360" w:lineRule="auto"/>
        <w:jc w:val="both"/>
        <w:rPr>
          <w:rFonts w:ascii="Times New Roman" w:hAnsi="Times New Roman" w:cs="Times New Roman"/>
          <w:sz w:val="24"/>
          <w:szCs w:val="24"/>
        </w:rPr>
      </w:pPr>
      <w:r w:rsidRPr="00A429C8">
        <w:rPr>
          <w:rFonts w:ascii="Times New Roman" w:hAnsi="Times New Roman" w:cs="Times New Roman"/>
          <w:sz w:val="24"/>
          <w:szCs w:val="24"/>
        </w:rPr>
        <w:t xml:space="preserve">Cruz del Castillo, C., Olivares, S., &amp; Gonzáles, M. (2014). </w:t>
      </w:r>
      <w:r w:rsidRPr="00A429C8">
        <w:rPr>
          <w:rFonts w:ascii="Times New Roman" w:hAnsi="Times New Roman" w:cs="Times New Roman"/>
          <w:i/>
          <w:iCs/>
          <w:sz w:val="24"/>
          <w:szCs w:val="24"/>
        </w:rPr>
        <w:t>Metodología de la investigación</w:t>
      </w:r>
      <w:r w:rsidRPr="00A429C8">
        <w:rPr>
          <w:rFonts w:ascii="Times New Roman" w:hAnsi="Times New Roman" w:cs="Times New Roman"/>
          <w:sz w:val="24"/>
          <w:szCs w:val="24"/>
        </w:rPr>
        <w:t xml:space="preserve"> (1.</w:t>
      </w:r>
      <w:r w:rsidRPr="00A429C8">
        <w:rPr>
          <w:rFonts w:ascii="Times New Roman" w:hAnsi="Times New Roman" w:cs="Times New Roman"/>
          <w:sz w:val="24"/>
          <w:szCs w:val="24"/>
          <w:vertAlign w:val="superscript"/>
        </w:rPr>
        <w:t>a</w:t>
      </w:r>
      <w:r w:rsidRPr="00A429C8">
        <w:rPr>
          <w:rFonts w:ascii="Times New Roman" w:hAnsi="Times New Roman" w:cs="Times New Roman"/>
          <w:sz w:val="24"/>
          <w:szCs w:val="24"/>
        </w:rPr>
        <w:t xml:space="preserve"> ed.). Grupo Editorial Patria.</w:t>
      </w:r>
    </w:p>
    <w:p w14:paraId="4D878C6D" w14:textId="77777777" w:rsidR="008D3E2F" w:rsidRPr="00A429C8" w:rsidRDefault="008D3E2F" w:rsidP="00A429C8">
      <w:pPr>
        <w:pStyle w:val="Bibliografa"/>
        <w:spacing w:line="360" w:lineRule="auto"/>
        <w:jc w:val="both"/>
        <w:rPr>
          <w:rFonts w:ascii="Times New Roman" w:hAnsi="Times New Roman" w:cs="Times New Roman"/>
          <w:sz w:val="24"/>
          <w:szCs w:val="24"/>
        </w:rPr>
      </w:pPr>
      <w:r w:rsidRPr="00A429C8">
        <w:rPr>
          <w:rFonts w:ascii="Times New Roman" w:hAnsi="Times New Roman" w:cs="Times New Roman"/>
          <w:sz w:val="24"/>
          <w:szCs w:val="24"/>
        </w:rPr>
        <w:t xml:space="preserve">De La Cruz Cuaresma, V. R., &amp; Hernández Apaza, R. N. (2022). </w:t>
      </w:r>
      <w:r w:rsidRPr="00A429C8">
        <w:rPr>
          <w:rFonts w:ascii="Times New Roman" w:hAnsi="Times New Roman" w:cs="Times New Roman"/>
          <w:i/>
          <w:iCs/>
          <w:sz w:val="24"/>
          <w:szCs w:val="24"/>
        </w:rPr>
        <w:t xml:space="preserve">Modelo </w:t>
      </w:r>
      <w:proofErr w:type="spellStart"/>
      <w:r w:rsidRPr="00A429C8">
        <w:rPr>
          <w:rFonts w:ascii="Times New Roman" w:hAnsi="Times New Roman" w:cs="Times New Roman"/>
          <w:i/>
          <w:iCs/>
          <w:sz w:val="24"/>
          <w:szCs w:val="24"/>
        </w:rPr>
        <w:t>Credit</w:t>
      </w:r>
      <w:proofErr w:type="spellEnd"/>
      <w:r w:rsidRPr="00A429C8">
        <w:rPr>
          <w:rFonts w:ascii="Times New Roman" w:hAnsi="Times New Roman" w:cs="Times New Roman"/>
          <w:i/>
          <w:iCs/>
          <w:sz w:val="24"/>
          <w:szCs w:val="24"/>
        </w:rPr>
        <w:t xml:space="preserve"> </w:t>
      </w:r>
      <w:proofErr w:type="spellStart"/>
      <w:r w:rsidRPr="00A429C8">
        <w:rPr>
          <w:rFonts w:ascii="Times New Roman" w:hAnsi="Times New Roman" w:cs="Times New Roman"/>
          <w:i/>
          <w:iCs/>
          <w:sz w:val="24"/>
          <w:szCs w:val="24"/>
        </w:rPr>
        <w:t>Scoring</w:t>
      </w:r>
      <w:proofErr w:type="spellEnd"/>
      <w:r w:rsidRPr="00A429C8">
        <w:rPr>
          <w:rFonts w:ascii="Times New Roman" w:hAnsi="Times New Roman" w:cs="Times New Roman"/>
          <w:i/>
          <w:iCs/>
          <w:sz w:val="24"/>
          <w:szCs w:val="24"/>
        </w:rPr>
        <w:t xml:space="preserve"> en </w:t>
      </w:r>
      <w:r w:rsidRPr="00A429C8">
        <w:rPr>
          <w:rFonts w:ascii="Times New Roman" w:hAnsi="Times New Roman" w:cs="Times New Roman"/>
          <w:i/>
          <w:iCs/>
          <w:sz w:val="24"/>
          <w:szCs w:val="24"/>
        </w:rPr>
        <w:lastRenderedPageBreak/>
        <w:t>Microfinanzas</w:t>
      </w:r>
      <w:r w:rsidRPr="00A429C8">
        <w:rPr>
          <w:rFonts w:ascii="Times New Roman" w:hAnsi="Times New Roman" w:cs="Times New Roman"/>
          <w:sz w:val="24"/>
          <w:szCs w:val="24"/>
        </w:rPr>
        <w:t>.</w:t>
      </w:r>
    </w:p>
    <w:p w14:paraId="642319AC" w14:textId="77777777" w:rsidR="008D3E2F" w:rsidRPr="00A429C8" w:rsidRDefault="008D3E2F" w:rsidP="00A429C8">
      <w:pPr>
        <w:pStyle w:val="Bibliografa"/>
        <w:spacing w:line="360" w:lineRule="auto"/>
        <w:jc w:val="both"/>
        <w:rPr>
          <w:rFonts w:ascii="Times New Roman" w:hAnsi="Times New Roman" w:cs="Times New Roman"/>
          <w:sz w:val="24"/>
          <w:szCs w:val="24"/>
        </w:rPr>
      </w:pPr>
      <w:r w:rsidRPr="00A429C8">
        <w:rPr>
          <w:rFonts w:ascii="Times New Roman" w:hAnsi="Times New Roman" w:cs="Times New Roman"/>
          <w:sz w:val="24"/>
          <w:szCs w:val="24"/>
        </w:rPr>
        <w:t xml:space="preserve">Deschamps F., M. (2005). </w:t>
      </w:r>
      <w:r w:rsidRPr="00A429C8">
        <w:rPr>
          <w:rFonts w:ascii="Times New Roman" w:hAnsi="Times New Roman" w:cs="Times New Roman"/>
          <w:i/>
          <w:iCs/>
          <w:sz w:val="24"/>
          <w:szCs w:val="24"/>
        </w:rPr>
        <w:t>Mercadotecnia Microfinanciera</w:t>
      </w:r>
      <w:r w:rsidRPr="00A429C8">
        <w:rPr>
          <w:rFonts w:ascii="Times New Roman" w:hAnsi="Times New Roman" w:cs="Times New Roman"/>
          <w:sz w:val="24"/>
          <w:szCs w:val="24"/>
        </w:rPr>
        <w:t xml:space="preserve"> (1.</w:t>
      </w:r>
      <w:r w:rsidRPr="00A429C8">
        <w:rPr>
          <w:rFonts w:ascii="Times New Roman" w:hAnsi="Times New Roman" w:cs="Times New Roman"/>
          <w:sz w:val="24"/>
          <w:szCs w:val="24"/>
          <w:vertAlign w:val="superscript"/>
        </w:rPr>
        <w:t>a</w:t>
      </w:r>
      <w:r w:rsidRPr="00A429C8">
        <w:rPr>
          <w:rFonts w:ascii="Times New Roman" w:hAnsi="Times New Roman" w:cs="Times New Roman"/>
          <w:sz w:val="24"/>
          <w:szCs w:val="24"/>
        </w:rPr>
        <w:t xml:space="preserve"> ed.). Editorial Miguel Ángel Porrúa.</w:t>
      </w:r>
    </w:p>
    <w:p w14:paraId="319CC0CA" w14:textId="77777777" w:rsidR="008D3E2F" w:rsidRPr="00A429C8" w:rsidRDefault="008D3E2F" w:rsidP="00A429C8">
      <w:pPr>
        <w:pStyle w:val="Bibliografa"/>
        <w:spacing w:line="360" w:lineRule="auto"/>
        <w:jc w:val="both"/>
        <w:rPr>
          <w:rFonts w:ascii="Times New Roman" w:hAnsi="Times New Roman" w:cs="Times New Roman"/>
          <w:sz w:val="24"/>
          <w:szCs w:val="24"/>
        </w:rPr>
      </w:pPr>
      <w:proofErr w:type="spellStart"/>
      <w:r w:rsidRPr="00A429C8">
        <w:rPr>
          <w:rFonts w:ascii="Times New Roman" w:hAnsi="Times New Roman" w:cs="Times New Roman"/>
          <w:sz w:val="24"/>
          <w:szCs w:val="24"/>
        </w:rPr>
        <w:t>Elmasri</w:t>
      </w:r>
      <w:proofErr w:type="spellEnd"/>
      <w:r w:rsidRPr="00A429C8">
        <w:rPr>
          <w:rFonts w:ascii="Times New Roman" w:hAnsi="Times New Roman" w:cs="Times New Roman"/>
          <w:sz w:val="24"/>
          <w:szCs w:val="24"/>
        </w:rPr>
        <w:t xml:space="preserve">, R., &amp; </w:t>
      </w:r>
      <w:proofErr w:type="spellStart"/>
      <w:r w:rsidRPr="00A429C8">
        <w:rPr>
          <w:rFonts w:ascii="Times New Roman" w:hAnsi="Times New Roman" w:cs="Times New Roman"/>
          <w:sz w:val="24"/>
          <w:szCs w:val="24"/>
        </w:rPr>
        <w:t>Navathe</w:t>
      </w:r>
      <w:proofErr w:type="spellEnd"/>
      <w:r w:rsidRPr="00A429C8">
        <w:rPr>
          <w:rFonts w:ascii="Times New Roman" w:hAnsi="Times New Roman" w:cs="Times New Roman"/>
          <w:sz w:val="24"/>
          <w:szCs w:val="24"/>
        </w:rPr>
        <w:t xml:space="preserve">, S. (2007). </w:t>
      </w:r>
      <w:r w:rsidRPr="00A429C8">
        <w:rPr>
          <w:rFonts w:ascii="Times New Roman" w:hAnsi="Times New Roman" w:cs="Times New Roman"/>
          <w:i/>
          <w:iCs/>
          <w:sz w:val="24"/>
          <w:szCs w:val="24"/>
        </w:rPr>
        <w:t>Fundamentos de Sistemas de Bases de Datos</w:t>
      </w:r>
      <w:r w:rsidRPr="00A429C8">
        <w:rPr>
          <w:rFonts w:ascii="Times New Roman" w:hAnsi="Times New Roman" w:cs="Times New Roman"/>
          <w:sz w:val="24"/>
          <w:szCs w:val="24"/>
        </w:rPr>
        <w:t xml:space="preserve"> (5.</w:t>
      </w:r>
      <w:r w:rsidRPr="00A429C8">
        <w:rPr>
          <w:rFonts w:ascii="Times New Roman" w:hAnsi="Times New Roman" w:cs="Times New Roman"/>
          <w:sz w:val="24"/>
          <w:szCs w:val="24"/>
          <w:vertAlign w:val="superscript"/>
        </w:rPr>
        <w:t>a</w:t>
      </w:r>
      <w:r w:rsidRPr="00A429C8">
        <w:rPr>
          <w:rFonts w:ascii="Times New Roman" w:hAnsi="Times New Roman" w:cs="Times New Roman"/>
          <w:sz w:val="24"/>
          <w:szCs w:val="24"/>
        </w:rPr>
        <w:t xml:space="preserve"> ed.).</w:t>
      </w:r>
    </w:p>
    <w:p w14:paraId="659CCF09" w14:textId="77777777" w:rsidR="008D3E2F" w:rsidRPr="00A429C8" w:rsidRDefault="008D3E2F" w:rsidP="00A429C8">
      <w:pPr>
        <w:pStyle w:val="Bibliografa"/>
        <w:spacing w:line="360" w:lineRule="auto"/>
        <w:jc w:val="both"/>
        <w:rPr>
          <w:rFonts w:ascii="Times New Roman" w:hAnsi="Times New Roman" w:cs="Times New Roman"/>
          <w:sz w:val="24"/>
          <w:szCs w:val="24"/>
        </w:rPr>
      </w:pPr>
      <w:r w:rsidRPr="00A429C8">
        <w:rPr>
          <w:rFonts w:ascii="Times New Roman" w:hAnsi="Times New Roman" w:cs="Times New Roman"/>
          <w:sz w:val="24"/>
          <w:szCs w:val="24"/>
        </w:rPr>
        <w:t xml:space="preserve">Ferrer Riquelme, J. (2010). </w:t>
      </w:r>
      <w:r w:rsidRPr="00A429C8">
        <w:rPr>
          <w:rFonts w:ascii="Times New Roman" w:hAnsi="Times New Roman" w:cs="Times New Roman"/>
          <w:i/>
          <w:iCs/>
          <w:sz w:val="24"/>
          <w:szCs w:val="24"/>
        </w:rPr>
        <w:t>Experiencias Internacionales sobre microfinanzas: Manual del microcrédito</w:t>
      </w:r>
      <w:r w:rsidRPr="00A429C8">
        <w:rPr>
          <w:rFonts w:ascii="Times New Roman" w:hAnsi="Times New Roman" w:cs="Times New Roman"/>
          <w:sz w:val="24"/>
          <w:szCs w:val="24"/>
        </w:rPr>
        <w:t xml:space="preserve"> (6.</w:t>
      </w:r>
      <w:r w:rsidRPr="00A429C8">
        <w:rPr>
          <w:rFonts w:ascii="Times New Roman" w:hAnsi="Times New Roman" w:cs="Times New Roman"/>
          <w:sz w:val="24"/>
          <w:szCs w:val="24"/>
          <w:vertAlign w:val="superscript"/>
        </w:rPr>
        <w:t>a</w:t>
      </w:r>
      <w:r w:rsidRPr="00A429C8">
        <w:rPr>
          <w:rFonts w:ascii="Times New Roman" w:hAnsi="Times New Roman" w:cs="Times New Roman"/>
          <w:sz w:val="24"/>
          <w:szCs w:val="24"/>
        </w:rPr>
        <w:t xml:space="preserve"> ed.). Castelló de la Plana.</w:t>
      </w:r>
    </w:p>
    <w:p w14:paraId="4BBF7B50" w14:textId="77777777" w:rsidR="008D3E2F" w:rsidRPr="00A429C8" w:rsidRDefault="008D3E2F" w:rsidP="00A429C8">
      <w:pPr>
        <w:pStyle w:val="Bibliografa"/>
        <w:spacing w:line="360" w:lineRule="auto"/>
        <w:jc w:val="both"/>
        <w:rPr>
          <w:rFonts w:ascii="Times New Roman" w:hAnsi="Times New Roman" w:cs="Times New Roman"/>
          <w:sz w:val="24"/>
          <w:szCs w:val="24"/>
        </w:rPr>
      </w:pPr>
      <w:r w:rsidRPr="00A429C8">
        <w:rPr>
          <w:rFonts w:ascii="Times New Roman" w:hAnsi="Times New Roman" w:cs="Times New Roman"/>
          <w:sz w:val="24"/>
          <w:szCs w:val="24"/>
        </w:rPr>
        <w:t xml:space="preserve">Ferrera, A., &amp; Alvarenga, F. (2023). </w:t>
      </w:r>
      <w:r w:rsidRPr="00A429C8">
        <w:rPr>
          <w:rFonts w:ascii="Times New Roman" w:hAnsi="Times New Roman" w:cs="Times New Roman"/>
          <w:i/>
          <w:iCs/>
          <w:sz w:val="24"/>
          <w:szCs w:val="24"/>
        </w:rPr>
        <w:t>CONTROL Y SEGUIMIENTO DE LA CARTERA DE CRÉDITOS DE BAT HONDURAS DEL PERIODO 2018-2022</w:t>
      </w:r>
      <w:r w:rsidRPr="00A429C8">
        <w:rPr>
          <w:rFonts w:ascii="Times New Roman" w:hAnsi="Times New Roman" w:cs="Times New Roman"/>
          <w:sz w:val="24"/>
          <w:szCs w:val="24"/>
        </w:rPr>
        <w:t>. UNIVERSIDAD TECNOLÓGICA CENTROAMERICANA (</w:t>
      </w:r>
      <w:proofErr w:type="spellStart"/>
      <w:r w:rsidRPr="00A429C8">
        <w:rPr>
          <w:rFonts w:ascii="Times New Roman" w:hAnsi="Times New Roman" w:cs="Times New Roman"/>
          <w:sz w:val="24"/>
          <w:szCs w:val="24"/>
        </w:rPr>
        <w:t>UNITec</w:t>
      </w:r>
      <w:proofErr w:type="spellEnd"/>
      <w:r w:rsidRPr="00A429C8">
        <w:rPr>
          <w:rFonts w:ascii="Times New Roman" w:hAnsi="Times New Roman" w:cs="Times New Roman"/>
          <w:sz w:val="24"/>
          <w:szCs w:val="24"/>
        </w:rPr>
        <w:t>).</w:t>
      </w:r>
    </w:p>
    <w:p w14:paraId="0BEA8D3F" w14:textId="77777777" w:rsidR="008D3E2F" w:rsidRPr="00A429C8" w:rsidRDefault="008D3E2F" w:rsidP="00A429C8">
      <w:pPr>
        <w:pStyle w:val="Bibliografa"/>
        <w:spacing w:line="360" w:lineRule="auto"/>
        <w:jc w:val="both"/>
        <w:rPr>
          <w:rFonts w:ascii="Times New Roman" w:hAnsi="Times New Roman" w:cs="Times New Roman"/>
          <w:sz w:val="24"/>
          <w:szCs w:val="24"/>
        </w:rPr>
      </w:pPr>
      <w:r w:rsidRPr="00A429C8">
        <w:rPr>
          <w:rFonts w:ascii="Times New Roman" w:hAnsi="Times New Roman" w:cs="Times New Roman"/>
          <w:sz w:val="24"/>
          <w:szCs w:val="24"/>
        </w:rPr>
        <w:t xml:space="preserve">Flórez Ríos, L. S. (2008). </w:t>
      </w:r>
      <w:r w:rsidRPr="00A429C8">
        <w:rPr>
          <w:rFonts w:ascii="Times New Roman" w:hAnsi="Times New Roman" w:cs="Times New Roman"/>
          <w:i/>
          <w:iCs/>
          <w:sz w:val="24"/>
          <w:szCs w:val="24"/>
        </w:rPr>
        <w:t>Evolución de la Teoría Financiera en el Siglo XX</w:t>
      </w:r>
      <w:r w:rsidRPr="00A429C8">
        <w:rPr>
          <w:rFonts w:ascii="Times New Roman" w:hAnsi="Times New Roman" w:cs="Times New Roman"/>
          <w:sz w:val="24"/>
          <w:szCs w:val="24"/>
        </w:rPr>
        <w:t>.</w:t>
      </w:r>
    </w:p>
    <w:p w14:paraId="403973EB" w14:textId="77777777" w:rsidR="008D3E2F" w:rsidRPr="00A429C8" w:rsidRDefault="008D3E2F" w:rsidP="00A429C8">
      <w:pPr>
        <w:pStyle w:val="Bibliografa"/>
        <w:spacing w:line="360" w:lineRule="auto"/>
        <w:jc w:val="both"/>
        <w:rPr>
          <w:rFonts w:ascii="Times New Roman" w:hAnsi="Times New Roman" w:cs="Times New Roman"/>
          <w:sz w:val="24"/>
          <w:szCs w:val="24"/>
        </w:rPr>
      </w:pPr>
      <w:r w:rsidRPr="00A429C8">
        <w:rPr>
          <w:rFonts w:ascii="Times New Roman" w:hAnsi="Times New Roman" w:cs="Times New Roman"/>
          <w:sz w:val="24"/>
          <w:szCs w:val="24"/>
        </w:rPr>
        <w:t xml:space="preserve">Franco González, J. F., &amp; Franco González, S. (2022, diciembre). </w:t>
      </w:r>
      <w:r w:rsidRPr="00A429C8">
        <w:rPr>
          <w:rFonts w:ascii="Times New Roman" w:hAnsi="Times New Roman" w:cs="Times New Roman"/>
          <w:i/>
          <w:iCs/>
          <w:sz w:val="24"/>
          <w:szCs w:val="24"/>
        </w:rPr>
        <w:t xml:space="preserve">Plan de Acción para minimizar la morosidad en las Microfinancieras en el </w:t>
      </w:r>
      <w:proofErr w:type="gramStart"/>
      <w:r w:rsidRPr="00A429C8">
        <w:rPr>
          <w:rFonts w:ascii="Times New Roman" w:hAnsi="Times New Roman" w:cs="Times New Roman"/>
          <w:i/>
          <w:iCs/>
          <w:sz w:val="24"/>
          <w:szCs w:val="24"/>
        </w:rPr>
        <w:t>Mercado  Colombiano</w:t>
      </w:r>
      <w:proofErr w:type="gramEnd"/>
      <w:r w:rsidRPr="00A429C8">
        <w:rPr>
          <w:rFonts w:ascii="Times New Roman" w:hAnsi="Times New Roman" w:cs="Times New Roman"/>
          <w:i/>
          <w:iCs/>
          <w:sz w:val="24"/>
          <w:szCs w:val="24"/>
        </w:rPr>
        <w:t>.</w:t>
      </w:r>
    </w:p>
    <w:p w14:paraId="7720C387" w14:textId="77777777" w:rsidR="008D3E2F" w:rsidRPr="00A429C8" w:rsidRDefault="008D3E2F" w:rsidP="00A429C8">
      <w:pPr>
        <w:pStyle w:val="Bibliografa"/>
        <w:spacing w:line="360" w:lineRule="auto"/>
        <w:jc w:val="both"/>
        <w:rPr>
          <w:rFonts w:ascii="Times New Roman" w:hAnsi="Times New Roman" w:cs="Times New Roman"/>
          <w:sz w:val="24"/>
          <w:szCs w:val="24"/>
        </w:rPr>
      </w:pPr>
      <w:r w:rsidRPr="00A429C8">
        <w:rPr>
          <w:rFonts w:ascii="Times New Roman" w:hAnsi="Times New Roman" w:cs="Times New Roman"/>
          <w:sz w:val="24"/>
          <w:szCs w:val="24"/>
        </w:rPr>
        <w:t xml:space="preserve">García, H., &amp; Lagos, R. (2023). </w:t>
      </w:r>
      <w:r w:rsidRPr="00A429C8">
        <w:rPr>
          <w:rFonts w:ascii="Times New Roman" w:hAnsi="Times New Roman" w:cs="Times New Roman"/>
          <w:i/>
          <w:iCs/>
          <w:sz w:val="24"/>
          <w:szCs w:val="24"/>
        </w:rPr>
        <w:t>ANÁLISIS DE LA MOROSIDAD DE LOS INQUILINOS DE LA INMOBILIARIA SANTAFÉ S. A. DE C.V. DURANTE EL PERIODO 2019-2022</w:t>
      </w:r>
      <w:r w:rsidRPr="00A429C8">
        <w:rPr>
          <w:rFonts w:ascii="Times New Roman" w:hAnsi="Times New Roman" w:cs="Times New Roman"/>
          <w:sz w:val="24"/>
          <w:szCs w:val="24"/>
        </w:rPr>
        <w:t>. UNIVERSIDAD TECNOLÓGICA CENTROAMERICANA UNITEC.</w:t>
      </w:r>
    </w:p>
    <w:p w14:paraId="3EFA04FC" w14:textId="77777777" w:rsidR="008D3E2F" w:rsidRPr="00A429C8" w:rsidRDefault="008D3E2F" w:rsidP="00A429C8">
      <w:pPr>
        <w:pStyle w:val="Bibliografa"/>
        <w:spacing w:line="360" w:lineRule="auto"/>
        <w:jc w:val="both"/>
        <w:rPr>
          <w:rFonts w:ascii="Times New Roman" w:hAnsi="Times New Roman" w:cs="Times New Roman"/>
          <w:sz w:val="24"/>
          <w:szCs w:val="24"/>
        </w:rPr>
      </w:pPr>
      <w:r w:rsidRPr="00A429C8">
        <w:rPr>
          <w:rFonts w:ascii="Times New Roman" w:hAnsi="Times New Roman" w:cs="Times New Roman"/>
          <w:sz w:val="24"/>
          <w:szCs w:val="24"/>
        </w:rPr>
        <w:t xml:space="preserve">García Padilla, V. M. (2014). </w:t>
      </w:r>
      <w:r w:rsidRPr="00A429C8">
        <w:rPr>
          <w:rFonts w:ascii="Times New Roman" w:hAnsi="Times New Roman" w:cs="Times New Roman"/>
          <w:i/>
          <w:iCs/>
          <w:sz w:val="24"/>
          <w:szCs w:val="24"/>
        </w:rPr>
        <w:t>Introducción a las finanzas</w:t>
      </w:r>
      <w:r w:rsidRPr="00A429C8">
        <w:rPr>
          <w:rFonts w:ascii="Times New Roman" w:hAnsi="Times New Roman" w:cs="Times New Roman"/>
          <w:sz w:val="24"/>
          <w:szCs w:val="24"/>
        </w:rPr>
        <w:t>. Grupo Editorial Patria. https://elibro.net/es/ereader/unitechn/39412?page=12</w:t>
      </w:r>
    </w:p>
    <w:p w14:paraId="189E039A" w14:textId="77777777" w:rsidR="008D3E2F" w:rsidRPr="00A429C8" w:rsidRDefault="008D3E2F" w:rsidP="00A429C8">
      <w:pPr>
        <w:pStyle w:val="Bibliografa"/>
        <w:spacing w:line="360" w:lineRule="auto"/>
        <w:jc w:val="both"/>
        <w:rPr>
          <w:rFonts w:ascii="Times New Roman" w:hAnsi="Times New Roman" w:cs="Times New Roman"/>
          <w:sz w:val="24"/>
          <w:szCs w:val="24"/>
        </w:rPr>
      </w:pPr>
      <w:r w:rsidRPr="00A429C8">
        <w:rPr>
          <w:rFonts w:ascii="Times New Roman" w:hAnsi="Times New Roman" w:cs="Times New Roman"/>
          <w:sz w:val="24"/>
          <w:szCs w:val="24"/>
        </w:rPr>
        <w:t xml:space="preserve">García Padilla, V. M. (2015). </w:t>
      </w:r>
      <w:r w:rsidRPr="00A429C8">
        <w:rPr>
          <w:rFonts w:ascii="Times New Roman" w:hAnsi="Times New Roman" w:cs="Times New Roman"/>
          <w:i/>
          <w:iCs/>
          <w:sz w:val="24"/>
          <w:szCs w:val="24"/>
        </w:rPr>
        <w:t>Introducción a las Finanzas</w:t>
      </w:r>
      <w:r w:rsidRPr="00A429C8">
        <w:rPr>
          <w:rFonts w:ascii="Times New Roman" w:hAnsi="Times New Roman" w:cs="Times New Roman"/>
          <w:sz w:val="24"/>
          <w:szCs w:val="24"/>
        </w:rPr>
        <w:t xml:space="preserve"> (2.</w:t>
      </w:r>
      <w:r w:rsidRPr="00A429C8">
        <w:rPr>
          <w:rFonts w:ascii="Times New Roman" w:hAnsi="Times New Roman" w:cs="Times New Roman"/>
          <w:sz w:val="24"/>
          <w:szCs w:val="24"/>
          <w:vertAlign w:val="superscript"/>
        </w:rPr>
        <w:t>a</w:t>
      </w:r>
      <w:r w:rsidRPr="00A429C8">
        <w:rPr>
          <w:rFonts w:ascii="Times New Roman" w:hAnsi="Times New Roman" w:cs="Times New Roman"/>
          <w:sz w:val="24"/>
          <w:szCs w:val="24"/>
        </w:rPr>
        <w:t xml:space="preserve"> ed.). Grupo Editorial Patria.</w:t>
      </w:r>
    </w:p>
    <w:p w14:paraId="00FCEC70" w14:textId="77777777" w:rsidR="008D3E2F" w:rsidRPr="00A429C8" w:rsidRDefault="008D3E2F" w:rsidP="00A429C8">
      <w:pPr>
        <w:pStyle w:val="Bibliografa"/>
        <w:spacing w:line="360" w:lineRule="auto"/>
        <w:jc w:val="both"/>
        <w:rPr>
          <w:rFonts w:ascii="Times New Roman" w:hAnsi="Times New Roman" w:cs="Times New Roman"/>
          <w:sz w:val="24"/>
          <w:szCs w:val="24"/>
        </w:rPr>
      </w:pPr>
      <w:proofErr w:type="spellStart"/>
      <w:r w:rsidRPr="00A429C8">
        <w:rPr>
          <w:rFonts w:ascii="Times New Roman" w:hAnsi="Times New Roman" w:cs="Times New Roman"/>
          <w:sz w:val="24"/>
          <w:szCs w:val="24"/>
        </w:rPr>
        <w:t>Garcia</w:t>
      </w:r>
      <w:proofErr w:type="spellEnd"/>
      <w:r w:rsidRPr="00A429C8">
        <w:rPr>
          <w:rFonts w:ascii="Times New Roman" w:hAnsi="Times New Roman" w:cs="Times New Roman"/>
          <w:sz w:val="24"/>
          <w:szCs w:val="24"/>
        </w:rPr>
        <w:t xml:space="preserve">, W., Valenzuela, B., Gámez, L., &amp; Castillo, B. (2020). </w:t>
      </w:r>
      <w:r w:rsidRPr="00A429C8">
        <w:rPr>
          <w:rFonts w:ascii="Times New Roman" w:hAnsi="Times New Roman" w:cs="Times New Roman"/>
          <w:i/>
          <w:iCs/>
          <w:sz w:val="24"/>
          <w:szCs w:val="24"/>
        </w:rPr>
        <w:t xml:space="preserve">Gestión de Crédito del Programa de crédito impulsado por el Foro Miraflor en el Área de </w:t>
      </w:r>
      <w:proofErr w:type="gramStart"/>
      <w:r w:rsidRPr="00A429C8">
        <w:rPr>
          <w:rFonts w:ascii="Times New Roman" w:hAnsi="Times New Roman" w:cs="Times New Roman"/>
          <w:i/>
          <w:iCs/>
          <w:sz w:val="24"/>
          <w:szCs w:val="24"/>
        </w:rPr>
        <w:t xml:space="preserve">Miraflor  </w:t>
      </w:r>
      <w:proofErr w:type="spellStart"/>
      <w:r w:rsidRPr="00A429C8">
        <w:rPr>
          <w:rFonts w:ascii="Times New Roman" w:hAnsi="Times New Roman" w:cs="Times New Roman"/>
          <w:i/>
          <w:iCs/>
          <w:sz w:val="24"/>
          <w:szCs w:val="24"/>
        </w:rPr>
        <w:t>Moropotente</w:t>
      </w:r>
      <w:proofErr w:type="spellEnd"/>
      <w:proofErr w:type="gramEnd"/>
      <w:r w:rsidRPr="00A429C8">
        <w:rPr>
          <w:rFonts w:ascii="Times New Roman" w:hAnsi="Times New Roman" w:cs="Times New Roman"/>
          <w:i/>
          <w:iCs/>
          <w:sz w:val="24"/>
          <w:szCs w:val="24"/>
        </w:rPr>
        <w:t xml:space="preserve"> del municipio de Estelí</w:t>
      </w:r>
      <w:r w:rsidRPr="00A429C8">
        <w:rPr>
          <w:rFonts w:ascii="Times New Roman" w:hAnsi="Times New Roman" w:cs="Times New Roman"/>
          <w:sz w:val="24"/>
          <w:szCs w:val="24"/>
        </w:rPr>
        <w:t xml:space="preserve">. </w:t>
      </w:r>
      <w:r w:rsidRPr="00A429C8">
        <w:rPr>
          <w:rFonts w:ascii="Times New Roman" w:hAnsi="Times New Roman" w:cs="Times New Roman"/>
          <w:i/>
          <w:iCs/>
          <w:sz w:val="24"/>
          <w:szCs w:val="24"/>
        </w:rPr>
        <w:t>36</w:t>
      </w:r>
      <w:r w:rsidRPr="00A429C8">
        <w:rPr>
          <w:rFonts w:ascii="Times New Roman" w:hAnsi="Times New Roman" w:cs="Times New Roman"/>
          <w:sz w:val="24"/>
          <w:szCs w:val="24"/>
        </w:rPr>
        <w:t>.</w:t>
      </w:r>
    </w:p>
    <w:p w14:paraId="02072EBA" w14:textId="77777777" w:rsidR="008D3E2F" w:rsidRPr="00A429C8" w:rsidRDefault="008D3E2F" w:rsidP="00A429C8">
      <w:pPr>
        <w:pStyle w:val="Bibliografa"/>
        <w:spacing w:line="360" w:lineRule="auto"/>
        <w:jc w:val="both"/>
        <w:rPr>
          <w:rFonts w:ascii="Times New Roman" w:hAnsi="Times New Roman" w:cs="Times New Roman"/>
          <w:sz w:val="24"/>
          <w:szCs w:val="24"/>
        </w:rPr>
      </w:pPr>
      <w:r w:rsidRPr="00A429C8">
        <w:rPr>
          <w:rFonts w:ascii="Times New Roman" w:hAnsi="Times New Roman" w:cs="Times New Roman"/>
          <w:sz w:val="24"/>
          <w:szCs w:val="24"/>
        </w:rPr>
        <w:t xml:space="preserve">Gitman, L. J., &amp; </w:t>
      </w:r>
      <w:proofErr w:type="spellStart"/>
      <w:r w:rsidRPr="00A429C8">
        <w:rPr>
          <w:rFonts w:ascii="Times New Roman" w:hAnsi="Times New Roman" w:cs="Times New Roman"/>
          <w:sz w:val="24"/>
          <w:szCs w:val="24"/>
        </w:rPr>
        <w:t>Zutter</w:t>
      </w:r>
      <w:proofErr w:type="spellEnd"/>
      <w:r w:rsidRPr="00A429C8">
        <w:rPr>
          <w:rFonts w:ascii="Times New Roman" w:hAnsi="Times New Roman" w:cs="Times New Roman"/>
          <w:sz w:val="24"/>
          <w:szCs w:val="24"/>
        </w:rPr>
        <w:t xml:space="preserve">, C. J. (2016). </w:t>
      </w:r>
      <w:proofErr w:type="spellStart"/>
      <w:r w:rsidRPr="00A429C8">
        <w:rPr>
          <w:rFonts w:ascii="Times New Roman" w:hAnsi="Times New Roman" w:cs="Times New Roman"/>
          <w:i/>
          <w:iCs/>
          <w:sz w:val="24"/>
          <w:szCs w:val="24"/>
        </w:rPr>
        <w:t>Pricipios</w:t>
      </w:r>
      <w:proofErr w:type="spellEnd"/>
      <w:r w:rsidRPr="00A429C8">
        <w:rPr>
          <w:rFonts w:ascii="Times New Roman" w:hAnsi="Times New Roman" w:cs="Times New Roman"/>
          <w:i/>
          <w:iCs/>
          <w:sz w:val="24"/>
          <w:szCs w:val="24"/>
        </w:rPr>
        <w:t xml:space="preserve"> de Administración Financiera</w:t>
      </w:r>
      <w:r w:rsidRPr="00A429C8">
        <w:rPr>
          <w:rFonts w:ascii="Times New Roman" w:hAnsi="Times New Roman" w:cs="Times New Roman"/>
          <w:sz w:val="24"/>
          <w:szCs w:val="24"/>
        </w:rPr>
        <w:t xml:space="preserve"> (14.</w:t>
      </w:r>
      <w:r w:rsidRPr="00A429C8">
        <w:rPr>
          <w:rFonts w:ascii="Times New Roman" w:hAnsi="Times New Roman" w:cs="Times New Roman"/>
          <w:sz w:val="24"/>
          <w:szCs w:val="24"/>
          <w:vertAlign w:val="superscript"/>
        </w:rPr>
        <w:t>a</w:t>
      </w:r>
      <w:r w:rsidRPr="00A429C8">
        <w:rPr>
          <w:rFonts w:ascii="Times New Roman" w:hAnsi="Times New Roman" w:cs="Times New Roman"/>
          <w:sz w:val="24"/>
          <w:szCs w:val="24"/>
        </w:rPr>
        <w:t xml:space="preserve"> ed.). Pearson Educación.</w:t>
      </w:r>
    </w:p>
    <w:p w14:paraId="68984539" w14:textId="77777777" w:rsidR="008D3E2F" w:rsidRPr="00A429C8" w:rsidRDefault="008D3E2F" w:rsidP="00A429C8">
      <w:pPr>
        <w:pStyle w:val="Bibliografa"/>
        <w:spacing w:line="360" w:lineRule="auto"/>
        <w:jc w:val="both"/>
        <w:rPr>
          <w:rFonts w:ascii="Times New Roman" w:hAnsi="Times New Roman" w:cs="Times New Roman"/>
          <w:sz w:val="24"/>
          <w:szCs w:val="24"/>
        </w:rPr>
      </w:pPr>
      <w:r w:rsidRPr="00A429C8">
        <w:rPr>
          <w:rFonts w:ascii="Times New Roman" w:hAnsi="Times New Roman" w:cs="Times New Roman"/>
          <w:sz w:val="24"/>
          <w:szCs w:val="24"/>
        </w:rPr>
        <w:t xml:space="preserve">Gómez Fernández-Aguado, P., &amp; </w:t>
      </w:r>
      <w:proofErr w:type="spellStart"/>
      <w:r w:rsidRPr="00A429C8">
        <w:rPr>
          <w:rFonts w:ascii="Times New Roman" w:hAnsi="Times New Roman" w:cs="Times New Roman"/>
          <w:sz w:val="24"/>
          <w:szCs w:val="24"/>
        </w:rPr>
        <w:t>Partal</w:t>
      </w:r>
      <w:proofErr w:type="spellEnd"/>
      <w:r w:rsidRPr="00A429C8">
        <w:rPr>
          <w:rFonts w:ascii="Times New Roman" w:hAnsi="Times New Roman" w:cs="Times New Roman"/>
          <w:sz w:val="24"/>
          <w:szCs w:val="24"/>
        </w:rPr>
        <w:t xml:space="preserve"> Ureña, A. (2010). </w:t>
      </w:r>
      <w:r w:rsidRPr="00A429C8">
        <w:rPr>
          <w:rFonts w:ascii="Times New Roman" w:hAnsi="Times New Roman" w:cs="Times New Roman"/>
          <w:i/>
          <w:iCs/>
          <w:sz w:val="24"/>
          <w:szCs w:val="24"/>
        </w:rPr>
        <w:t>Gestión y control del riesgo de crédito en la banca</w:t>
      </w:r>
      <w:r w:rsidRPr="00A429C8">
        <w:rPr>
          <w:rFonts w:ascii="Times New Roman" w:hAnsi="Times New Roman" w:cs="Times New Roman"/>
          <w:sz w:val="24"/>
          <w:szCs w:val="24"/>
        </w:rPr>
        <w:t>. Delta Publicaciones. https://elibro.net/es/ereader/unitechn/169698?page=24</w:t>
      </w:r>
    </w:p>
    <w:p w14:paraId="34A49521" w14:textId="77777777" w:rsidR="008D3E2F" w:rsidRPr="00A429C8" w:rsidRDefault="008D3E2F" w:rsidP="00A429C8">
      <w:pPr>
        <w:pStyle w:val="Bibliografa"/>
        <w:spacing w:line="360" w:lineRule="auto"/>
        <w:jc w:val="both"/>
        <w:rPr>
          <w:rFonts w:ascii="Times New Roman" w:hAnsi="Times New Roman" w:cs="Times New Roman"/>
          <w:sz w:val="24"/>
          <w:szCs w:val="24"/>
        </w:rPr>
      </w:pPr>
      <w:r w:rsidRPr="00A429C8">
        <w:rPr>
          <w:rFonts w:ascii="Times New Roman" w:hAnsi="Times New Roman" w:cs="Times New Roman"/>
          <w:sz w:val="24"/>
          <w:szCs w:val="24"/>
        </w:rPr>
        <w:t xml:space="preserve">Gómez, M. (2009). </w:t>
      </w:r>
      <w:r w:rsidRPr="00A429C8">
        <w:rPr>
          <w:rFonts w:ascii="Times New Roman" w:hAnsi="Times New Roman" w:cs="Times New Roman"/>
          <w:i/>
          <w:iCs/>
          <w:sz w:val="24"/>
          <w:szCs w:val="24"/>
        </w:rPr>
        <w:t>Introducción a la Metodología de la Investigación Científica</w:t>
      </w:r>
      <w:r w:rsidRPr="00A429C8">
        <w:rPr>
          <w:rFonts w:ascii="Times New Roman" w:hAnsi="Times New Roman" w:cs="Times New Roman"/>
          <w:sz w:val="24"/>
          <w:szCs w:val="24"/>
        </w:rPr>
        <w:t xml:space="preserve"> (2.</w:t>
      </w:r>
      <w:r w:rsidRPr="00A429C8">
        <w:rPr>
          <w:rFonts w:ascii="Times New Roman" w:hAnsi="Times New Roman" w:cs="Times New Roman"/>
          <w:sz w:val="24"/>
          <w:szCs w:val="24"/>
          <w:vertAlign w:val="superscript"/>
        </w:rPr>
        <w:t>a</w:t>
      </w:r>
      <w:r w:rsidRPr="00A429C8">
        <w:rPr>
          <w:rFonts w:ascii="Times New Roman" w:hAnsi="Times New Roman" w:cs="Times New Roman"/>
          <w:sz w:val="24"/>
          <w:szCs w:val="24"/>
        </w:rPr>
        <w:t xml:space="preserve"> ed.). Editorial Brujas.</w:t>
      </w:r>
    </w:p>
    <w:p w14:paraId="28F9D00E" w14:textId="77777777" w:rsidR="008D3E2F" w:rsidRPr="00A429C8" w:rsidRDefault="008D3E2F" w:rsidP="00A429C8">
      <w:pPr>
        <w:pStyle w:val="Bibliografa"/>
        <w:spacing w:line="360" w:lineRule="auto"/>
        <w:jc w:val="both"/>
        <w:rPr>
          <w:rFonts w:ascii="Times New Roman" w:hAnsi="Times New Roman" w:cs="Times New Roman"/>
          <w:sz w:val="24"/>
          <w:szCs w:val="24"/>
        </w:rPr>
      </w:pPr>
      <w:r w:rsidRPr="00A429C8">
        <w:rPr>
          <w:rFonts w:ascii="Times New Roman" w:hAnsi="Times New Roman" w:cs="Times New Roman"/>
          <w:sz w:val="24"/>
          <w:szCs w:val="24"/>
        </w:rPr>
        <w:t xml:space="preserve">Greco, O. (2008). </w:t>
      </w:r>
      <w:r w:rsidRPr="00A429C8">
        <w:rPr>
          <w:rFonts w:ascii="Times New Roman" w:hAnsi="Times New Roman" w:cs="Times New Roman"/>
          <w:i/>
          <w:iCs/>
          <w:sz w:val="24"/>
          <w:szCs w:val="24"/>
        </w:rPr>
        <w:t>Diccionario de Finanzas</w:t>
      </w:r>
      <w:r w:rsidRPr="00A429C8">
        <w:rPr>
          <w:rFonts w:ascii="Times New Roman" w:hAnsi="Times New Roman" w:cs="Times New Roman"/>
          <w:sz w:val="24"/>
          <w:szCs w:val="24"/>
        </w:rPr>
        <w:t xml:space="preserve"> (2.</w:t>
      </w:r>
      <w:r w:rsidRPr="00A429C8">
        <w:rPr>
          <w:rFonts w:ascii="Times New Roman" w:hAnsi="Times New Roman" w:cs="Times New Roman"/>
          <w:sz w:val="24"/>
          <w:szCs w:val="24"/>
          <w:vertAlign w:val="superscript"/>
        </w:rPr>
        <w:t>a</w:t>
      </w:r>
      <w:r w:rsidRPr="00A429C8">
        <w:rPr>
          <w:rFonts w:ascii="Times New Roman" w:hAnsi="Times New Roman" w:cs="Times New Roman"/>
          <w:sz w:val="24"/>
          <w:szCs w:val="24"/>
        </w:rPr>
        <w:t xml:space="preserve"> ed.). </w:t>
      </w:r>
      <w:proofErr w:type="spellStart"/>
      <w:r w:rsidRPr="00A429C8">
        <w:rPr>
          <w:rFonts w:ascii="Times New Roman" w:hAnsi="Times New Roman" w:cs="Times New Roman"/>
          <w:sz w:val="24"/>
          <w:szCs w:val="24"/>
        </w:rPr>
        <w:t>Valleta</w:t>
      </w:r>
      <w:proofErr w:type="spellEnd"/>
      <w:r w:rsidRPr="00A429C8">
        <w:rPr>
          <w:rFonts w:ascii="Times New Roman" w:hAnsi="Times New Roman" w:cs="Times New Roman"/>
          <w:sz w:val="24"/>
          <w:szCs w:val="24"/>
        </w:rPr>
        <w:t xml:space="preserve"> Ediciones.</w:t>
      </w:r>
    </w:p>
    <w:p w14:paraId="12AF845A" w14:textId="77777777" w:rsidR="008D3E2F" w:rsidRPr="00A429C8" w:rsidRDefault="008D3E2F" w:rsidP="00A429C8">
      <w:pPr>
        <w:pStyle w:val="Bibliografa"/>
        <w:spacing w:line="360" w:lineRule="auto"/>
        <w:jc w:val="both"/>
        <w:rPr>
          <w:rFonts w:ascii="Times New Roman" w:hAnsi="Times New Roman" w:cs="Times New Roman"/>
          <w:sz w:val="24"/>
          <w:szCs w:val="24"/>
        </w:rPr>
      </w:pPr>
      <w:r w:rsidRPr="00A429C8">
        <w:rPr>
          <w:rFonts w:ascii="Times New Roman" w:hAnsi="Times New Roman" w:cs="Times New Roman"/>
          <w:sz w:val="24"/>
          <w:szCs w:val="24"/>
        </w:rPr>
        <w:t xml:space="preserve">Hernández, R. (2011). </w:t>
      </w:r>
      <w:r w:rsidRPr="00A429C8">
        <w:rPr>
          <w:rFonts w:ascii="Times New Roman" w:hAnsi="Times New Roman" w:cs="Times New Roman"/>
          <w:i/>
          <w:iCs/>
          <w:sz w:val="24"/>
          <w:szCs w:val="24"/>
        </w:rPr>
        <w:t>El proceso de investigación científica</w:t>
      </w:r>
      <w:r w:rsidRPr="00A429C8">
        <w:rPr>
          <w:rFonts w:ascii="Times New Roman" w:hAnsi="Times New Roman" w:cs="Times New Roman"/>
          <w:sz w:val="24"/>
          <w:szCs w:val="24"/>
        </w:rPr>
        <w:t>. Editorial Universitaria.</w:t>
      </w:r>
    </w:p>
    <w:p w14:paraId="72752D4F" w14:textId="77777777" w:rsidR="008D3E2F" w:rsidRPr="00A429C8" w:rsidRDefault="008D3E2F" w:rsidP="00A429C8">
      <w:pPr>
        <w:pStyle w:val="Bibliografa"/>
        <w:spacing w:line="360" w:lineRule="auto"/>
        <w:jc w:val="both"/>
        <w:rPr>
          <w:rFonts w:ascii="Times New Roman" w:hAnsi="Times New Roman" w:cs="Times New Roman"/>
          <w:sz w:val="24"/>
          <w:szCs w:val="24"/>
        </w:rPr>
      </w:pPr>
      <w:r w:rsidRPr="00A429C8">
        <w:rPr>
          <w:rFonts w:ascii="Times New Roman" w:hAnsi="Times New Roman" w:cs="Times New Roman"/>
          <w:sz w:val="24"/>
          <w:szCs w:val="24"/>
        </w:rPr>
        <w:t xml:space="preserve">Hernández, R., &amp; Mendoza, C. (2023). </w:t>
      </w:r>
      <w:r w:rsidRPr="00A429C8">
        <w:rPr>
          <w:rFonts w:ascii="Times New Roman" w:hAnsi="Times New Roman" w:cs="Times New Roman"/>
          <w:i/>
          <w:iCs/>
          <w:sz w:val="24"/>
          <w:szCs w:val="24"/>
        </w:rPr>
        <w:t>Metodología de la Investigación</w:t>
      </w:r>
      <w:r w:rsidRPr="00A429C8">
        <w:rPr>
          <w:rFonts w:ascii="Times New Roman" w:hAnsi="Times New Roman" w:cs="Times New Roman"/>
          <w:sz w:val="24"/>
          <w:szCs w:val="24"/>
        </w:rPr>
        <w:t xml:space="preserve"> (2.</w:t>
      </w:r>
      <w:r w:rsidRPr="00A429C8">
        <w:rPr>
          <w:rFonts w:ascii="Times New Roman" w:hAnsi="Times New Roman" w:cs="Times New Roman"/>
          <w:sz w:val="24"/>
          <w:szCs w:val="24"/>
          <w:vertAlign w:val="superscript"/>
        </w:rPr>
        <w:t>a</w:t>
      </w:r>
      <w:r w:rsidRPr="00A429C8">
        <w:rPr>
          <w:rFonts w:ascii="Times New Roman" w:hAnsi="Times New Roman" w:cs="Times New Roman"/>
          <w:sz w:val="24"/>
          <w:szCs w:val="24"/>
        </w:rPr>
        <w:t xml:space="preserve"> ed.). McGraw-Hill Interamericana.</w:t>
      </w:r>
    </w:p>
    <w:p w14:paraId="14582DE2" w14:textId="77777777" w:rsidR="008D3E2F" w:rsidRPr="00A429C8" w:rsidRDefault="008D3E2F" w:rsidP="00A429C8">
      <w:pPr>
        <w:pStyle w:val="Bibliografa"/>
        <w:spacing w:line="360" w:lineRule="auto"/>
        <w:jc w:val="both"/>
        <w:rPr>
          <w:rFonts w:ascii="Times New Roman" w:hAnsi="Times New Roman" w:cs="Times New Roman"/>
          <w:sz w:val="24"/>
          <w:szCs w:val="24"/>
        </w:rPr>
      </w:pPr>
      <w:r w:rsidRPr="00A429C8">
        <w:rPr>
          <w:rFonts w:ascii="Times New Roman" w:hAnsi="Times New Roman" w:cs="Times New Roman"/>
          <w:sz w:val="24"/>
          <w:szCs w:val="24"/>
        </w:rPr>
        <w:lastRenderedPageBreak/>
        <w:t xml:space="preserve">Hernández Sampieri, R., Fernández, C., &amp; Baptista, M. (2010). </w:t>
      </w:r>
      <w:r w:rsidRPr="00A429C8">
        <w:rPr>
          <w:rFonts w:ascii="Times New Roman" w:hAnsi="Times New Roman" w:cs="Times New Roman"/>
          <w:i/>
          <w:iCs/>
          <w:sz w:val="24"/>
          <w:szCs w:val="24"/>
        </w:rPr>
        <w:t>Metodología de la investigación</w:t>
      </w:r>
      <w:r w:rsidRPr="00A429C8">
        <w:rPr>
          <w:rFonts w:ascii="Times New Roman" w:hAnsi="Times New Roman" w:cs="Times New Roman"/>
          <w:sz w:val="24"/>
          <w:szCs w:val="24"/>
        </w:rPr>
        <w:t xml:space="preserve"> (5.</w:t>
      </w:r>
      <w:r w:rsidRPr="00A429C8">
        <w:rPr>
          <w:rFonts w:ascii="Times New Roman" w:hAnsi="Times New Roman" w:cs="Times New Roman"/>
          <w:sz w:val="24"/>
          <w:szCs w:val="24"/>
          <w:vertAlign w:val="superscript"/>
        </w:rPr>
        <w:t>a</w:t>
      </w:r>
      <w:r w:rsidRPr="00A429C8">
        <w:rPr>
          <w:rFonts w:ascii="Times New Roman" w:hAnsi="Times New Roman" w:cs="Times New Roman"/>
          <w:sz w:val="24"/>
          <w:szCs w:val="24"/>
        </w:rPr>
        <w:t xml:space="preserve"> ed.).</w:t>
      </w:r>
    </w:p>
    <w:p w14:paraId="15E4E616" w14:textId="77777777" w:rsidR="008D3E2F" w:rsidRPr="00A429C8" w:rsidRDefault="008D3E2F" w:rsidP="00A429C8">
      <w:pPr>
        <w:pStyle w:val="Bibliografa"/>
        <w:spacing w:line="360" w:lineRule="auto"/>
        <w:jc w:val="both"/>
        <w:rPr>
          <w:rFonts w:ascii="Times New Roman" w:hAnsi="Times New Roman" w:cs="Times New Roman"/>
          <w:sz w:val="24"/>
          <w:szCs w:val="24"/>
        </w:rPr>
      </w:pPr>
      <w:r w:rsidRPr="00A429C8">
        <w:rPr>
          <w:rFonts w:ascii="Times New Roman" w:hAnsi="Times New Roman" w:cs="Times New Roman"/>
          <w:sz w:val="24"/>
          <w:szCs w:val="24"/>
        </w:rPr>
        <w:t xml:space="preserve">Hinostroza Hermoza, H. (2022). </w:t>
      </w:r>
      <w:r w:rsidRPr="00A429C8">
        <w:rPr>
          <w:rFonts w:ascii="Times New Roman" w:hAnsi="Times New Roman" w:cs="Times New Roman"/>
          <w:i/>
          <w:iCs/>
          <w:sz w:val="24"/>
          <w:szCs w:val="24"/>
        </w:rPr>
        <w:t>Gestión crediticia y la morosidad del área de microfinanzas de la agencia Chorrillos del Banco Financiero del Perú, periodo 2017</w:t>
      </w:r>
      <w:r w:rsidRPr="00A429C8">
        <w:rPr>
          <w:rFonts w:ascii="Times New Roman" w:hAnsi="Times New Roman" w:cs="Times New Roman"/>
          <w:sz w:val="24"/>
          <w:szCs w:val="24"/>
        </w:rPr>
        <w:t>. Universidad Nacional Mayor de San Marcos.</w:t>
      </w:r>
    </w:p>
    <w:p w14:paraId="095B8933" w14:textId="77777777" w:rsidR="008D3E2F" w:rsidRPr="00A429C8" w:rsidRDefault="008D3E2F" w:rsidP="00A429C8">
      <w:pPr>
        <w:pStyle w:val="Bibliografa"/>
        <w:spacing w:line="360" w:lineRule="auto"/>
        <w:jc w:val="both"/>
        <w:rPr>
          <w:rFonts w:ascii="Times New Roman" w:hAnsi="Times New Roman" w:cs="Times New Roman"/>
          <w:sz w:val="24"/>
          <w:szCs w:val="24"/>
        </w:rPr>
      </w:pPr>
      <w:r w:rsidRPr="00A429C8">
        <w:rPr>
          <w:rFonts w:ascii="Times New Roman" w:hAnsi="Times New Roman" w:cs="Times New Roman"/>
          <w:sz w:val="24"/>
          <w:szCs w:val="24"/>
        </w:rPr>
        <w:t xml:space="preserve">Lara Rubio, J. (2010). </w:t>
      </w:r>
      <w:r w:rsidRPr="00A429C8">
        <w:rPr>
          <w:rFonts w:ascii="Times New Roman" w:hAnsi="Times New Roman" w:cs="Times New Roman"/>
          <w:i/>
          <w:iCs/>
          <w:sz w:val="24"/>
          <w:szCs w:val="24"/>
        </w:rPr>
        <w:t>La gestión del riesgo de crédito en las instituciones de microfinanzas</w:t>
      </w:r>
      <w:r w:rsidRPr="00A429C8">
        <w:rPr>
          <w:rFonts w:ascii="Times New Roman" w:hAnsi="Times New Roman" w:cs="Times New Roman"/>
          <w:sz w:val="24"/>
          <w:szCs w:val="24"/>
        </w:rPr>
        <w:t>.</w:t>
      </w:r>
    </w:p>
    <w:p w14:paraId="17AB2DA4" w14:textId="77777777" w:rsidR="008D3E2F" w:rsidRPr="00A429C8" w:rsidRDefault="008D3E2F" w:rsidP="00A429C8">
      <w:pPr>
        <w:pStyle w:val="Bibliografa"/>
        <w:spacing w:line="360" w:lineRule="auto"/>
        <w:jc w:val="both"/>
        <w:rPr>
          <w:rFonts w:ascii="Times New Roman" w:hAnsi="Times New Roman" w:cs="Times New Roman"/>
          <w:sz w:val="24"/>
          <w:szCs w:val="24"/>
        </w:rPr>
      </w:pPr>
      <w:r w:rsidRPr="00A429C8">
        <w:rPr>
          <w:rFonts w:ascii="Times New Roman" w:hAnsi="Times New Roman" w:cs="Times New Roman"/>
          <w:sz w:val="24"/>
          <w:szCs w:val="24"/>
        </w:rPr>
        <w:t xml:space="preserve">Martínez Abascal, E. (2017). </w:t>
      </w:r>
      <w:r w:rsidRPr="00A429C8">
        <w:rPr>
          <w:rFonts w:ascii="Times New Roman" w:hAnsi="Times New Roman" w:cs="Times New Roman"/>
          <w:i/>
          <w:iCs/>
          <w:sz w:val="24"/>
          <w:szCs w:val="24"/>
        </w:rPr>
        <w:t>Finanzas para directivos</w:t>
      </w:r>
      <w:r w:rsidRPr="00A429C8">
        <w:rPr>
          <w:rFonts w:ascii="Times New Roman" w:hAnsi="Times New Roman" w:cs="Times New Roman"/>
          <w:sz w:val="24"/>
          <w:szCs w:val="24"/>
        </w:rPr>
        <w:t xml:space="preserve"> (2.</w:t>
      </w:r>
      <w:r w:rsidRPr="00A429C8">
        <w:rPr>
          <w:rFonts w:ascii="Times New Roman" w:hAnsi="Times New Roman" w:cs="Times New Roman"/>
          <w:sz w:val="24"/>
          <w:szCs w:val="24"/>
          <w:vertAlign w:val="superscript"/>
        </w:rPr>
        <w:t>a</w:t>
      </w:r>
      <w:r w:rsidRPr="00A429C8">
        <w:rPr>
          <w:rFonts w:ascii="Times New Roman" w:hAnsi="Times New Roman" w:cs="Times New Roman"/>
          <w:sz w:val="24"/>
          <w:szCs w:val="24"/>
        </w:rPr>
        <w:t xml:space="preserve"> ed.). McGraw-Hill España.</w:t>
      </w:r>
    </w:p>
    <w:p w14:paraId="1D02A454" w14:textId="77777777" w:rsidR="008D3E2F" w:rsidRPr="00A429C8" w:rsidRDefault="008D3E2F" w:rsidP="00A429C8">
      <w:pPr>
        <w:pStyle w:val="Bibliografa"/>
        <w:spacing w:line="360" w:lineRule="auto"/>
        <w:jc w:val="both"/>
        <w:rPr>
          <w:rFonts w:ascii="Times New Roman" w:hAnsi="Times New Roman" w:cs="Times New Roman"/>
          <w:sz w:val="24"/>
          <w:szCs w:val="24"/>
        </w:rPr>
      </w:pPr>
      <w:r w:rsidRPr="00A429C8">
        <w:rPr>
          <w:rFonts w:ascii="Times New Roman" w:hAnsi="Times New Roman" w:cs="Times New Roman"/>
          <w:sz w:val="24"/>
          <w:szCs w:val="24"/>
        </w:rPr>
        <w:t xml:space="preserve">Martínez Contreras, L. (1969). </w:t>
      </w:r>
      <w:r w:rsidRPr="00A429C8">
        <w:rPr>
          <w:rFonts w:ascii="Times New Roman" w:hAnsi="Times New Roman" w:cs="Times New Roman"/>
          <w:i/>
          <w:iCs/>
          <w:sz w:val="24"/>
          <w:szCs w:val="24"/>
        </w:rPr>
        <w:t>Teoría Contable</w:t>
      </w:r>
      <w:r w:rsidRPr="00A429C8">
        <w:rPr>
          <w:rFonts w:ascii="Times New Roman" w:hAnsi="Times New Roman" w:cs="Times New Roman"/>
          <w:sz w:val="24"/>
          <w:szCs w:val="24"/>
        </w:rPr>
        <w:t>.</w:t>
      </w:r>
    </w:p>
    <w:p w14:paraId="0966E364" w14:textId="77777777" w:rsidR="008D3E2F" w:rsidRPr="00A429C8" w:rsidRDefault="008D3E2F" w:rsidP="00A429C8">
      <w:pPr>
        <w:pStyle w:val="Bibliografa"/>
        <w:spacing w:line="360" w:lineRule="auto"/>
        <w:jc w:val="both"/>
        <w:rPr>
          <w:rFonts w:ascii="Times New Roman" w:hAnsi="Times New Roman" w:cs="Times New Roman"/>
          <w:sz w:val="24"/>
          <w:szCs w:val="24"/>
        </w:rPr>
      </w:pPr>
      <w:r w:rsidRPr="00A429C8">
        <w:rPr>
          <w:rFonts w:ascii="Times New Roman" w:hAnsi="Times New Roman" w:cs="Times New Roman"/>
          <w:sz w:val="24"/>
          <w:szCs w:val="24"/>
        </w:rPr>
        <w:t xml:space="preserve">Martínez, E. (2020). </w:t>
      </w:r>
      <w:proofErr w:type="spellStart"/>
      <w:r w:rsidRPr="00A429C8">
        <w:rPr>
          <w:rFonts w:ascii="Times New Roman" w:hAnsi="Times New Roman" w:cs="Times New Roman"/>
          <w:i/>
          <w:iCs/>
          <w:sz w:val="24"/>
          <w:szCs w:val="24"/>
        </w:rPr>
        <w:t>Estadistica</w:t>
      </w:r>
      <w:proofErr w:type="spellEnd"/>
      <w:r w:rsidRPr="00A429C8">
        <w:rPr>
          <w:rFonts w:ascii="Times New Roman" w:hAnsi="Times New Roman" w:cs="Times New Roman"/>
          <w:sz w:val="24"/>
          <w:szCs w:val="24"/>
        </w:rPr>
        <w:t xml:space="preserve"> (Santiago de los Caballeros, Universidad Abierta para Adultos (UAPA)). Ediciones UAPA. 978-9945-580-89-1 Martínez, E. (2020). Estadística: </w:t>
      </w:r>
      <w:proofErr w:type="gramStart"/>
      <w:r w:rsidRPr="00A429C8">
        <w:rPr>
          <w:rFonts w:ascii="Times New Roman" w:hAnsi="Times New Roman" w:cs="Times New Roman"/>
          <w:sz w:val="24"/>
          <w:szCs w:val="24"/>
        </w:rPr>
        <w:t>( ed.</w:t>
      </w:r>
      <w:proofErr w:type="gramEnd"/>
      <w:r w:rsidRPr="00A429C8">
        <w:rPr>
          <w:rFonts w:ascii="Times New Roman" w:hAnsi="Times New Roman" w:cs="Times New Roman"/>
          <w:sz w:val="24"/>
          <w:szCs w:val="24"/>
        </w:rPr>
        <w:t>). Santiago de los Caballeros, Universidad Abierta para https://elibro.net/es/ereader/unitechn/175596?</w:t>
      </w:r>
    </w:p>
    <w:p w14:paraId="4B2E21A2" w14:textId="77777777" w:rsidR="008D3E2F" w:rsidRPr="00A429C8" w:rsidRDefault="008D3E2F" w:rsidP="00A429C8">
      <w:pPr>
        <w:pStyle w:val="Bibliografa"/>
        <w:spacing w:line="360" w:lineRule="auto"/>
        <w:jc w:val="both"/>
        <w:rPr>
          <w:rFonts w:ascii="Times New Roman" w:hAnsi="Times New Roman" w:cs="Times New Roman"/>
          <w:sz w:val="24"/>
          <w:szCs w:val="24"/>
          <w:lang w:val="en-US"/>
        </w:rPr>
      </w:pPr>
      <w:r w:rsidRPr="00A429C8">
        <w:rPr>
          <w:rFonts w:ascii="Times New Roman" w:hAnsi="Times New Roman" w:cs="Times New Roman"/>
          <w:sz w:val="24"/>
          <w:szCs w:val="24"/>
        </w:rPr>
        <w:t xml:space="preserve">Martínez, H. (2012). </w:t>
      </w:r>
      <w:r w:rsidRPr="00A429C8">
        <w:rPr>
          <w:rFonts w:ascii="Times New Roman" w:hAnsi="Times New Roman" w:cs="Times New Roman"/>
          <w:i/>
          <w:iCs/>
          <w:sz w:val="24"/>
          <w:szCs w:val="24"/>
        </w:rPr>
        <w:t>Metodología de la Investigación</w:t>
      </w:r>
      <w:r w:rsidRPr="00A429C8">
        <w:rPr>
          <w:rFonts w:ascii="Times New Roman" w:hAnsi="Times New Roman" w:cs="Times New Roman"/>
          <w:sz w:val="24"/>
          <w:szCs w:val="24"/>
        </w:rPr>
        <w:t xml:space="preserve">. </w:t>
      </w:r>
      <w:r w:rsidRPr="00A429C8">
        <w:rPr>
          <w:rFonts w:ascii="Times New Roman" w:hAnsi="Times New Roman" w:cs="Times New Roman"/>
          <w:sz w:val="24"/>
          <w:szCs w:val="24"/>
          <w:lang w:val="en-US"/>
        </w:rPr>
        <w:t xml:space="preserve">Cengage Learning </w:t>
      </w:r>
      <w:proofErr w:type="spellStart"/>
      <w:r w:rsidRPr="00A429C8">
        <w:rPr>
          <w:rFonts w:ascii="Times New Roman" w:hAnsi="Times New Roman" w:cs="Times New Roman"/>
          <w:sz w:val="24"/>
          <w:szCs w:val="24"/>
          <w:lang w:val="en-US"/>
        </w:rPr>
        <w:t>Editores</w:t>
      </w:r>
      <w:proofErr w:type="spellEnd"/>
      <w:r w:rsidRPr="00A429C8">
        <w:rPr>
          <w:rFonts w:ascii="Times New Roman" w:hAnsi="Times New Roman" w:cs="Times New Roman"/>
          <w:sz w:val="24"/>
          <w:szCs w:val="24"/>
          <w:lang w:val="en-US"/>
        </w:rPr>
        <w:t>, S.A. de C.V. http://latinoamerica.cengage.com</w:t>
      </w:r>
    </w:p>
    <w:p w14:paraId="43CD276E" w14:textId="77777777" w:rsidR="008D3E2F" w:rsidRPr="00A429C8" w:rsidRDefault="008D3E2F" w:rsidP="00A429C8">
      <w:pPr>
        <w:pStyle w:val="Bibliografa"/>
        <w:spacing w:line="360" w:lineRule="auto"/>
        <w:jc w:val="both"/>
        <w:rPr>
          <w:rFonts w:ascii="Times New Roman" w:hAnsi="Times New Roman" w:cs="Times New Roman"/>
          <w:sz w:val="24"/>
          <w:szCs w:val="24"/>
        </w:rPr>
      </w:pPr>
      <w:r w:rsidRPr="00A429C8">
        <w:rPr>
          <w:rFonts w:ascii="Times New Roman" w:hAnsi="Times New Roman" w:cs="Times New Roman"/>
          <w:sz w:val="24"/>
          <w:szCs w:val="24"/>
        </w:rPr>
        <w:t xml:space="preserve">Monroy, M., &amp; Nava, N. (2018). </w:t>
      </w:r>
      <w:r w:rsidRPr="00A429C8">
        <w:rPr>
          <w:rFonts w:ascii="Times New Roman" w:hAnsi="Times New Roman" w:cs="Times New Roman"/>
          <w:i/>
          <w:iCs/>
          <w:sz w:val="24"/>
          <w:szCs w:val="24"/>
        </w:rPr>
        <w:t>Metodología de la Investigación</w:t>
      </w:r>
      <w:r w:rsidRPr="00A429C8">
        <w:rPr>
          <w:rFonts w:ascii="Times New Roman" w:hAnsi="Times New Roman" w:cs="Times New Roman"/>
          <w:sz w:val="24"/>
          <w:szCs w:val="24"/>
        </w:rPr>
        <w:t xml:space="preserve"> (Vol. 0). Grupo Editorial Éxodo.</w:t>
      </w:r>
    </w:p>
    <w:p w14:paraId="306E9029" w14:textId="77777777" w:rsidR="008D3E2F" w:rsidRPr="00A429C8" w:rsidRDefault="008D3E2F" w:rsidP="00A429C8">
      <w:pPr>
        <w:pStyle w:val="Bibliografa"/>
        <w:spacing w:line="360" w:lineRule="auto"/>
        <w:jc w:val="both"/>
        <w:rPr>
          <w:rFonts w:ascii="Times New Roman" w:hAnsi="Times New Roman" w:cs="Times New Roman"/>
          <w:sz w:val="24"/>
          <w:szCs w:val="24"/>
        </w:rPr>
      </w:pPr>
      <w:proofErr w:type="spellStart"/>
      <w:r w:rsidRPr="00A429C8">
        <w:rPr>
          <w:rFonts w:ascii="Times New Roman" w:hAnsi="Times New Roman" w:cs="Times New Roman"/>
          <w:sz w:val="24"/>
          <w:szCs w:val="24"/>
        </w:rPr>
        <w:t>Muller</w:t>
      </w:r>
      <w:proofErr w:type="spellEnd"/>
      <w:r w:rsidRPr="00A429C8">
        <w:rPr>
          <w:rFonts w:ascii="Times New Roman" w:hAnsi="Times New Roman" w:cs="Times New Roman"/>
          <w:sz w:val="24"/>
          <w:szCs w:val="24"/>
        </w:rPr>
        <w:t xml:space="preserve">, H. (2020). </w:t>
      </w:r>
      <w:r w:rsidRPr="00A429C8">
        <w:rPr>
          <w:rFonts w:ascii="Times New Roman" w:hAnsi="Times New Roman" w:cs="Times New Roman"/>
          <w:i/>
          <w:iCs/>
          <w:sz w:val="24"/>
          <w:szCs w:val="24"/>
        </w:rPr>
        <w:t xml:space="preserve">Las </w:t>
      </w:r>
      <w:proofErr w:type="gramStart"/>
      <w:r w:rsidRPr="00A429C8">
        <w:rPr>
          <w:rFonts w:ascii="Times New Roman" w:hAnsi="Times New Roman" w:cs="Times New Roman"/>
          <w:i/>
          <w:iCs/>
          <w:sz w:val="24"/>
          <w:szCs w:val="24"/>
        </w:rPr>
        <w:t>microfinanzas  reguladas</w:t>
      </w:r>
      <w:proofErr w:type="gramEnd"/>
      <w:r w:rsidRPr="00A429C8">
        <w:rPr>
          <w:rFonts w:ascii="Times New Roman" w:hAnsi="Times New Roman" w:cs="Times New Roman"/>
          <w:i/>
          <w:iCs/>
          <w:sz w:val="24"/>
          <w:szCs w:val="24"/>
        </w:rPr>
        <w:t xml:space="preserve"> en Bolivia</w:t>
      </w:r>
      <w:r w:rsidRPr="00A429C8">
        <w:rPr>
          <w:rFonts w:ascii="Times New Roman" w:hAnsi="Times New Roman" w:cs="Times New Roman"/>
          <w:sz w:val="24"/>
          <w:szCs w:val="24"/>
        </w:rPr>
        <w:t>.</w:t>
      </w:r>
    </w:p>
    <w:p w14:paraId="1C9D4FA3" w14:textId="77777777" w:rsidR="008D3E2F" w:rsidRPr="00A429C8" w:rsidRDefault="008D3E2F" w:rsidP="00A429C8">
      <w:pPr>
        <w:pStyle w:val="Bibliografa"/>
        <w:spacing w:line="360" w:lineRule="auto"/>
        <w:jc w:val="both"/>
        <w:rPr>
          <w:rFonts w:ascii="Times New Roman" w:hAnsi="Times New Roman" w:cs="Times New Roman"/>
          <w:sz w:val="24"/>
          <w:szCs w:val="24"/>
        </w:rPr>
      </w:pPr>
      <w:r w:rsidRPr="00A429C8">
        <w:rPr>
          <w:rFonts w:ascii="Times New Roman" w:hAnsi="Times New Roman" w:cs="Times New Roman"/>
          <w:sz w:val="24"/>
          <w:szCs w:val="24"/>
        </w:rPr>
        <w:t xml:space="preserve">Nieto Cuadrado, F. X. (2021, junio). </w:t>
      </w:r>
      <w:r w:rsidRPr="00A429C8">
        <w:rPr>
          <w:rFonts w:ascii="Times New Roman" w:hAnsi="Times New Roman" w:cs="Times New Roman"/>
          <w:i/>
          <w:iCs/>
          <w:sz w:val="24"/>
          <w:szCs w:val="24"/>
        </w:rPr>
        <w:t xml:space="preserve">Operaciones crediticias de las microempresas en </w:t>
      </w:r>
      <w:proofErr w:type="gramStart"/>
      <w:r w:rsidRPr="00A429C8">
        <w:rPr>
          <w:rFonts w:ascii="Times New Roman" w:hAnsi="Times New Roman" w:cs="Times New Roman"/>
          <w:i/>
          <w:iCs/>
          <w:sz w:val="24"/>
          <w:szCs w:val="24"/>
        </w:rPr>
        <w:t>Ecuador,  previo</w:t>
      </w:r>
      <w:proofErr w:type="gramEnd"/>
      <w:r w:rsidRPr="00A429C8">
        <w:rPr>
          <w:rFonts w:ascii="Times New Roman" w:hAnsi="Times New Roman" w:cs="Times New Roman"/>
          <w:i/>
          <w:iCs/>
          <w:sz w:val="24"/>
          <w:szCs w:val="24"/>
        </w:rPr>
        <w:t xml:space="preserve"> a Emergencia Sanitaria</w:t>
      </w:r>
      <w:r w:rsidRPr="00A429C8">
        <w:rPr>
          <w:rFonts w:ascii="Times New Roman" w:hAnsi="Times New Roman" w:cs="Times New Roman"/>
          <w:sz w:val="24"/>
          <w:szCs w:val="24"/>
        </w:rPr>
        <w:t xml:space="preserve">. </w:t>
      </w:r>
      <w:r w:rsidRPr="00A429C8">
        <w:rPr>
          <w:rFonts w:ascii="Times New Roman" w:hAnsi="Times New Roman" w:cs="Times New Roman"/>
          <w:i/>
          <w:iCs/>
          <w:sz w:val="24"/>
          <w:szCs w:val="24"/>
        </w:rPr>
        <w:t>39</w:t>
      </w:r>
      <w:r w:rsidRPr="00A429C8">
        <w:rPr>
          <w:rFonts w:ascii="Times New Roman" w:hAnsi="Times New Roman" w:cs="Times New Roman"/>
          <w:sz w:val="24"/>
          <w:szCs w:val="24"/>
        </w:rPr>
        <w:t>, 37-52.</w:t>
      </w:r>
    </w:p>
    <w:p w14:paraId="5A04D26A" w14:textId="77777777" w:rsidR="008D3E2F" w:rsidRPr="00A429C8" w:rsidRDefault="008D3E2F" w:rsidP="00A429C8">
      <w:pPr>
        <w:pStyle w:val="Bibliografa"/>
        <w:spacing w:line="360" w:lineRule="auto"/>
        <w:jc w:val="both"/>
        <w:rPr>
          <w:rFonts w:ascii="Times New Roman" w:hAnsi="Times New Roman" w:cs="Times New Roman"/>
          <w:sz w:val="24"/>
          <w:szCs w:val="24"/>
        </w:rPr>
      </w:pPr>
      <w:r w:rsidRPr="00A429C8">
        <w:rPr>
          <w:rFonts w:ascii="Times New Roman" w:hAnsi="Times New Roman" w:cs="Times New Roman"/>
          <w:sz w:val="24"/>
          <w:szCs w:val="24"/>
        </w:rPr>
        <w:t xml:space="preserve">Nobles, T., &amp; </w:t>
      </w:r>
      <w:proofErr w:type="spellStart"/>
      <w:r w:rsidRPr="00A429C8">
        <w:rPr>
          <w:rFonts w:ascii="Times New Roman" w:hAnsi="Times New Roman" w:cs="Times New Roman"/>
          <w:sz w:val="24"/>
          <w:szCs w:val="24"/>
        </w:rPr>
        <w:t>Mattison</w:t>
      </w:r>
      <w:proofErr w:type="spellEnd"/>
      <w:r w:rsidRPr="00A429C8">
        <w:rPr>
          <w:rFonts w:ascii="Times New Roman" w:hAnsi="Times New Roman" w:cs="Times New Roman"/>
          <w:sz w:val="24"/>
          <w:szCs w:val="24"/>
        </w:rPr>
        <w:t xml:space="preserve">, B. (2016). </w:t>
      </w:r>
      <w:r w:rsidRPr="00A429C8">
        <w:rPr>
          <w:rFonts w:ascii="Times New Roman" w:hAnsi="Times New Roman" w:cs="Times New Roman"/>
          <w:i/>
          <w:iCs/>
          <w:sz w:val="24"/>
          <w:szCs w:val="24"/>
        </w:rPr>
        <w:t>Contabilidad de Horngren</w:t>
      </w:r>
      <w:r w:rsidRPr="00A429C8">
        <w:rPr>
          <w:rFonts w:ascii="Times New Roman" w:hAnsi="Times New Roman" w:cs="Times New Roman"/>
          <w:sz w:val="24"/>
          <w:szCs w:val="24"/>
        </w:rPr>
        <w:t xml:space="preserve"> (10.</w:t>
      </w:r>
      <w:r w:rsidRPr="00A429C8">
        <w:rPr>
          <w:rFonts w:ascii="Times New Roman" w:hAnsi="Times New Roman" w:cs="Times New Roman"/>
          <w:sz w:val="24"/>
          <w:szCs w:val="24"/>
          <w:vertAlign w:val="superscript"/>
        </w:rPr>
        <w:t>a</w:t>
      </w:r>
      <w:r w:rsidRPr="00A429C8">
        <w:rPr>
          <w:rFonts w:ascii="Times New Roman" w:hAnsi="Times New Roman" w:cs="Times New Roman"/>
          <w:sz w:val="24"/>
          <w:szCs w:val="24"/>
        </w:rPr>
        <w:t xml:space="preserve"> ed.). Pearson Educación.</w:t>
      </w:r>
    </w:p>
    <w:p w14:paraId="0609212D" w14:textId="77777777" w:rsidR="008D3E2F" w:rsidRPr="00A429C8" w:rsidRDefault="008D3E2F" w:rsidP="00A429C8">
      <w:pPr>
        <w:pStyle w:val="Bibliografa"/>
        <w:spacing w:line="360" w:lineRule="auto"/>
        <w:jc w:val="both"/>
        <w:rPr>
          <w:rFonts w:ascii="Times New Roman" w:hAnsi="Times New Roman" w:cs="Times New Roman"/>
          <w:sz w:val="24"/>
          <w:szCs w:val="24"/>
        </w:rPr>
      </w:pPr>
      <w:r w:rsidRPr="00A429C8">
        <w:rPr>
          <w:rFonts w:ascii="Times New Roman" w:hAnsi="Times New Roman" w:cs="Times New Roman"/>
          <w:sz w:val="24"/>
          <w:szCs w:val="24"/>
        </w:rPr>
        <w:t xml:space="preserve">Patiño, O. A. (2008, agosto). </w:t>
      </w:r>
      <w:r w:rsidRPr="00A429C8">
        <w:rPr>
          <w:rFonts w:ascii="Times New Roman" w:hAnsi="Times New Roman" w:cs="Times New Roman"/>
          <w:i/>
          <w:iCs/>
          <w:sz w:val="24"/>
          <w:szCs w:val="24"/>
        </w:rPr>
        <w:t>Microcrédito, historia y experiencias exitosas de su implementación en América Latina.</w:t>
      </w:r>
    </w:p>
    <w:p w14:paraId="274A67B5" w14:textId="77777777" w:rsidR="008D3E2F" w:rsidRPr="00A429C8" w:rsidRDefault="008D3E2F" w:rsidP="00A429C8">
      <w:pPr>
        <w:pStyle w:val="Bibliografa"/>
        <w:spacing w:line="360" w:lineRule="auto"/>
        <w:jc w:val="both"/>
        <w:rPr>
          <w:rFonts w:ascii="Times New Roman" w:hAnsi="Times New Roman" w:cs="Times New Roman"/>
          <w:sz w:val="24"/>
          <w:szCs w:val="24"/>
        </w:rPr>
      </w:pPr>
      <w:r w:rsidRPr="00A429C8">
        <w:rPr>
          <w:rFonts w:ascii="Times New Roman" w:hAnsi="Times New Roman" w:cs="Times New Roman"/>
          <w:sz w:val="24"/>
          <w:szCs w:val="24"/>
        </w:rPr>
        <w:t xml:space="preserve">Pedraza. (2001). </w:t>
      </w:r>
      <w:r w:rsidRPr="00A429C8">
        <w:rPr>
          <w:rFonts w:ascii="Times New Roman" w:hAnsi="Times New Roman" w:cs="Times New Roman"/>
          <w:i/>
          <w:iCs/>
          <w:sz w:val="24"/>
          <w:szCs w:val="24"/>
        </w:rPr>
        <w:t>Concepto de Congruencia Metodológica.</w:t>
      </w:r>
    </w:p>
    <w:p w14:paraId="6C79529C" w14:textId="77777777" w:rsidR="008D3E2F" w:rsidRPr="00A429C8" w:rsidRDefault="008D3E2F" w:rsidP="00A429C8">
      <w:pPr>
        <w:pStyle w:val="Bibliografa"/>
        <w:spacing w:line="360" w:lineRule="auto"/>
        <w:jc w:val="both"/>
        <w:rPr>
          <w:rFonts w:ascii="Times New Roman" w:hAnsi="Times New Roman" w:cs="Times New Roman"/>
          <w:sz w:val="24"/>
          <w:szCs w:val="24"/>
        </w:rPr>
      </w:pPr>
      <w:r w:rsidRPr="00A429C8">
        <w:rPr>
          <w:rFonts w:ascii="Times New Roman" w:hAnsi="Times New Roman" w:cs="Times New Roman"/>
          <w:sz w:val="24"/>
          <w:szCs w:val="24"/>
        </w:rPr>
        <w:t xml:space="preserve">Pedrosa, S. J. (2020, abril 1). </w:t>
      </w:r>
      <w:r w:rsidRPr="00A429C8">
        <w:rPr>
          <w:rFonts w:ascii="Times New Roman" w:hAnsi="Times New Roman" w:cs="Times New Roman"/>
          <w:i/>
          <w:iCs/>
          <w:sz w:val="24"/>
          <w:szCs w:val="24"/>
        </w:rPr>
        <w:t>Economipedia</w:t>
      </w:r>
      <w:r w:rsidRPr="00A429C8">
        <w:rPr>
          <w:rFonts w:ascii="Times New Roman" w:hAnsi="Times New Roman" w:cs="Times New Roman"/>
          <w:sz w:val="24"/>
          <w:szCs w:val="24"/>
        </w:rPr>
        <w:t>. https://economipedia.com/definiciones/morosidad.html</w:t>
      </w:r>
    </w:p>
    <w:p w14:paraId="05630BEF" w14:textId="77777777" w:rsidR="008D3E2F" w:rsidRPr="00A429C8" w:rsidRDefault="008D3E2F" w:rsidP="00A429C8">
      <w:pPr>
        <w:pStyle w:val="Bibliografa"/>
        <w:spacing w:line="360" w:lineRule="auto"/>
        <w:jc w:val="both"/>
        <w:rPr>
          <w:rFonts w:ascii="Times New Roman" w:hAnsi="Times New Roman" w:cs="Times New Roman"/>
          <w:sz w:val="24"/>
          <w:szCs w:val="24"/>
        </w:rPr>
      </w:pPr>
      <w:r w:rsidRPr="00A429C8">
        <w:rPr>
          <w:rFonts w:ascii="Times New Roman" w:hAnsi="Times New Roman" w:cs="Times New Roman"/>
          <w:sz w:val="24"/>
          <w:szCs w:val="24"/>
        </w:rPr>
        <w:t xml:space="preserve">Ramírez </w:t>
      </w:r>
      <w:proofErr w:type="spellStart"/>
      <w:r w:rsidRPr="00A429C8">
        <w:rPr>
          <w:rFonts w:ascii="Times New Roman" w:hAnsi="Times New Roman" w:cs="Times New Roman"/>
          <w:sz w:val="24"/>
          <w:szCs w:val="24"/>
        </w:rPr>
        <w:t>Virviescas</w:t>
      </w:r>
      <w:proofErr w:type="spellEnd"/>
      <w:r w:rsidRPr="00A429C8">
        <w:rPr>
          <w:rFonts w:ascii="Times New Roman" w:hAnsi="Times New Roman" w:cs="Times New Roman"/>
          <w:sz w:val="24"/>
          <w:szCs w:val="24"/>
        </w:rPr>
        <w:t xml:space="preserve">, N., &amp; Guevara Castañeda, D. (2021, junio). </w:t>
      </w:r>
      <w:r w:rsidRPr="00A429C8">
        <w:rPr>
          <w:rFonts w:ascii="Times New Roman" w:hAnsi="Times New Roman" w:cs="Times New Roman"/>
          <w:i/>
          <w:iCs/>
          <w:sz w:val="24"/>
          <w:szCs w:val="24"/>
        </w:rPr>
        <w:t xml:space="preserve">Las microfinanzas </w:t>
      </w:r>
      <w:proofErr w:type="gramStart"/>
      <w:r w:rsidRPr="00A429C8">
        <w:rPr>
          <w:rFonts w:ascii="Times New Roman" w:hAnsi="Times New Roman" w:cs="Times New Roman"/>
          <w:i/>
          <w:iCs/>
          <w:sz w:val="24"/>
          <w:szCs w:val="24"/>
        </w:rPr>
        <w:t>rurales  en</w:t>
      </w:r>
      <w:proofErr w:type="gramEnd"/>
      <w:r w:rsidRPr="00A429C8">
        <w:rPr>
          <w:rFonts w:ascii="Times New Roman" w:hAnsi="Times New Roman" w:cs="Times New Roman"/>
          <w:i/>
          <w:iCs/>
          <w:sz w:val="24"/>
          <w:szCs w:val="24"/>
        </w:rPr>
        <w:t xml:space="preserve"> Colombia y el proceso de  </w:t>
      </w:r>
      <w:proofErr w:type="spellStart"/>
      <w:r w:rsidRPr="00A429C8">
        <w:rPr>
          <w:rFonts w:ascii="Times New Roman" w:hAnsi="Times New Roman" w:cs="Times New Roman"/>
          <w:i/>
          <w:iCs/>
          <w:sz w:val="24"/>
          <w:szCs w:val="24"/>
        </w:rPr>
        <w:t>financiarización</w:t>
      </w:r>
      <w:proofErr w:type="spellEnd"/>
      <w:r w:rsidRPr="00A429C8">
        <w:rPr>
          <w:rFonts w:ascii="Times New Roman" w:hAnsi="Times New Roman" w:cs="Times New Roman"/>
          <w:i/>
          <w:iCs/>
          <w:sz w:val="24"/>
          <w:szCs w:val="24"/>
        </w:rPr>
        <w:t>: Un estudio de caso</w:t>
      </w:r>
      <w:r w:rsidRPr="00A429C8">
        <w:rPr>
          <w:rFonts w:ascii="Times New Roman" w:hAnsi="Times New Roman" w:cs="Times New Roman"/>
          <w:sz w:val="24"/>
          <w:szCs w:val="24"/>
        </w:rPr>
        <w:t xml:space="preserve">. </w:t>
      </w:r>
      <w:r w:rsidRPr="00A429C8">
        <w:rPr>
          <w:rFonts w:ascii="Times New Roman" w:hAnsi="Times New Roman" w:cs="Times New Roman"/>
          <w:i/>
          <w:iCs/>
          <w:sz w:val="24"/>
          <w:szCs w:val="24"/>
        </w:rPr>
        <w:t>40</w:t>
      </w:r>
      <w:r w:rsidRPr="00A429C8">
        <w:rPr>
          <w:rFonts w:ascii="Times New Roman" w:hAnsi="Times New Roman" w:cs="Times New Roman"/>
          <w:sz w:val="24"/>
          <w:szCs w:val="24"/>
        </w:rPr>
        <w:t>(71), 219-252.</w:t>
      </w:r>
    </w:p>
    <w:p w14:paraId="43CD7A9C" w14:textId="77777777" w:rsidR="008D3E2F" w:rsidRPr="00A429C8" w:rsidRDefault="008D3E2F" w:rsidP="00A429C8">
      <w:pPr>
        <w:pStyle w:val="Bibliografa"/>
        <w:spacing w:line="360" w:lineRule="auto"/>
        <w:jc w:val="both"/>
        <w:rPr>
          <w:rFonts w:ascii="Times New Roman" w:hAnsi="Times New Roman" w:cs="Times New Roman"/>
          <w:sz w:val="24"/>
          <w:szCs w:val="24"/>
        </w:rPr>
      </w:pPr>
      <w:proofErr w:type="spellStart"/>
      <w:r w:rsidRPr="00A429C8">
        <w:rPr>
          <w:rFonts w:ascii="Times New Roman" w:hAnsi="Times New Roman" w:cs="Times New Roman"/>
          <w:sz w:val="24"/>
          <w:szCs w:val="24"/>
        </w:rPr>
        <w:t>Rijalba</w:t>
      </w:r>
      <w:proofErr w:type="spellEnd"/>
      <w:r w:rsidRPr="00A429C8">
        <w:rPr>
          <w:rFonts w:ascii="Times New Roman" w:hAnsi="Times New Roman" w:cs="Times New Roman"/>
          <w:sz w:val="24"/>
          <w:szCs w:val="24"/>
        </w:rPr>
        <w:t xml:space="preserve"> Palacios, P. (2022). </w:t>
      </w:r>
      <w:r w:rsidRPr="00A429C8">
        <w:rPr>
          <w:rFonts w:ascii="Times New Roman" w:hAnsi="Times New Roman" w:cs="Times New Roman"/>
          <w:i/>
          <w:iCs/>
          <w:sz w:val="24"/>
          <w:szCs w:val="24"/>
        </w:rPr>
        <w:t xml:space="preserve">Microfinanzas, morosidad e inclusión financiera en la provincia de </w:t>
      </w:r>
      <w:proofErr w:type="spellStart"/>
      <w:r w:rsidRPr="00A429C8">
        <w:rPr>
          <w:rFonts w:ascii="Times New Roman" w:hAnsi="Times New Roman" w:cs="Times New Roman"/>
          <w:i/>
          <w:iCs/>
          <w:sz w:val="24"/>
          <w:szCs w:val="24"/>
        </w:rPr>
        <w:t>piura</w:t>
      </w:r>
      <w:proofErr w:type="spellEnd"/>
      <w:r w:rsidRPr="00A429C8">
        <w:rPr>
          <w:rFonts w:ascii="Times New Roman" w:hAnsi="Times New Roman" w:cs="Times New Roman"/>
          <w:i/>
          <w:iCs/>
          <w:sz w:val="24"/>
          <w:szCs w:val="24"/>
        </w:rPr>
        <w:t>, 2000 – 2018</w:t>
      </w:r>
      <w:r w:rsidRPr="00A429C8">
        <w:rPr>
          <w:rFonts w:ascii="Times New Roman" w:hAnsi="Times New Roman" w:cs="Times New Roman"/>
          <w:sz w:val="24"/>
          <w:szCs w:val="24"/>
        </w:rPr>
        <w:t>.</w:t>
      </w:r>
    </w:p>
    <w:p w14:paraId="3CE581A6" w14:textId="77777777" w:rsidR="008D3E2F" w:rsidRPr="00A429C8" w:rsidRDefault="008D3E2F" w:rsidP="00A429C8">
      <w:pPr>
        <w:pStyle w:val="Bibliografa"/>
        <w:spacing w:line="360" w:lineRule="auto"/>
        <w:jc w:val="both"/>
        <w:rPr>
          <w:rFonts w:ascii="Times New Roman" w:hAnsi="Times New Roman" w:cs="Times New Roman"/>
          <w:sz w:val="24"/>
          <w:szCs w:val="24"/>
        </w:rPr>
      </w:pPr>
      <w:r w:rsidRPr="00A429C8">
        <w:rPr>
          <w:rFonts w:ascii="Times New Roman" w:hAnsi="Times New Roman" w:cs="Times New Roman"/>
          <w:sz w:val="24"/>
          <w:szCs w:val="24"/>
        </w:rPr>
        <w:t xml:space="preserve">Rivera Licona, C. S. (2023, agosto 5). </w:t>
      </w:r>
      <w:r w:rsidRPr="00A429C8">
        <w:rPr>
          <w:rFonts w:ascii="Times New Roman" w:hAnsi="Times New Roman" w:cs="Times New Roman"/>
          <w:i/>
          <w:iCs/>
          <w:sz w:val="24"/>
          <w:szCs w:val="24"/>
        </w:rPr>
        <w:t>El Paradigma de la Gestión Del Riesgo Financiero Sistémico en la Regulación Bancaria Hondureña.</w:t>
      </w:r>
    </w:p>
    <w:p w14:paraId="4BAB8203" w14:textId="77777777" w:rsidR="008D3E2F" w:rsidRPr="00A429C8" w:rsidRDefault="008D3E2F" w:rsidP="00A429C8">
      <w:pPr>
        <w:pStyle w:val="Bibliografa"/>
        <w:spacing w:line="360" w:lineRule="auto"/>
        <w:jc w:val="both"/>
        <w:rPr>
          <w:rFonts w:ascii="Times New Roman" w:hAnsi="Times New Roman" w:cs="Times New Roman"/>
          <w:sz w:val="24"/>
          <w:szCs w:val="24"/>
        </w:rPr>
      </w:pPr>
      <w:r w:rsidRPr="00A429C8">
        <w:rPr>
          <w:rFonts w:ascii="Times New Roman" w:hAnsi="Times New Roman" w:cs="Times New Roman"/>
          <w:sz w:val="24"/>
          <w:szCs w:val="24"/>
          <w:lang w:val="en-US"/>
        </w:rPr>
        <w:t xml:space="preserve">Robbins, S. J., &amp; Coulter, M. (2018). </w:t>
      </w:r>
      <w:r w:rsidRPr="00A429C8">
        <w:rPr>
          <w:rFonts w:ascii="Times New Roman" w:hAnsi="Times New Roman" w:cs="Times New Roman"/>
          <w:i/>
          <w:iCs/>
          <w:sz w:val="24"/>
          <w:szCs w:val="24"/>
        </w:rPr>
        <w:t>Administración</w:t>
      </w:r>
      <w:r w:rsidRPr="00A429C8">
        <w:rPr>
          <w:rFonts w:ascii="Times New Roman" w:hAnsi="Times New Roman" w:cs="Times New Roman"/>
          <w:sz w:val="24"/>
          <w:szCs w:val="24"/>
        </w:rPr>
        <w:t xml:space="preserve"> (13.</w:t>
      </w:r>
      <w:r w:rsidRPr="00A429C8">
        <w:rPr>
          <w:rFonts w:ascii="Times New Roman" w:hAnsi="Times New Roman" w:cs="Times New Roman"/>
          <w:sz w:val="24"/>
          <w:szCs w:val="24"/>
          <w:vertAlign w:val="superscript"/>
        </w:rPr>
        <w:t>a</w:t>
      </w:r>
      <w:r w:rsidRPr="00A429C8">
        <w:rPr>
          <w:rFonts w:ascii="Times New Roman" w:hAnsi="Times New Roman" w:cs="Times New Roman"/>
          <w:sz w:val="24"/>
          <w:szCs w:val="24"/>
        </w:rPr>
        <w:t xml:space="preserve"> ed.). Pearson Educación.</w:t>
      </w:r>
    </w:p>
    <w:p w14:paraId="0DA79C96" w14:textId="77777777" w:rsidR="008D3E2F" w:rsidRPr="00A429C8" w:rsidRDefault="008D3E2F" w:rsidP="00A429C8">
      <w:pPr>
        <w:pStyle w:val="Bibliografa"/>
        <w:spacing w:line="360" w:lineRule="auto"/>
        <w:jc w:val="both"/>
        <w:rPr>
          <w:rFonts w:ascii="Times New Roman" w:hAnsi="Times New Roman" w:cs="Times New Roman"/>
          <w:sz w:val="24"/>
          <w:szCs w:val="24"/>
        </w:rPr>
      </w:pPr>
      <w:proofErr w:type="spellStart"/>
      <w:r w:rsidRPr="00A429C8">
        <w:rPr>
          <w:rFonts w:ascii="Times New Roman" w:hAnsi="Times New Roman" w:cs="Times New Roman"/>
          <w:sz w:val="24"/>
          <w:szCs w:val="24"/>
        </w:rPr>
        <w:lastRenderedPageBreak/>
        <w:t>Ruza</w:t>
      </w:r>
      <w:proofErr w:type="spellEnd"/>
      <w:r w:rsidRPr="00A429C8">
        <w:rPr>
          <w:rFonts w:ascii="Times New Roman" w:hAnsi="Times New Roman" w:cs="Times New Roman"/>
          <w:sz w:val="24"/>
          <w:szCs w:val="24"/>
        </w:rPr>
        <w:t xml:space="preserve">, C., &amp; </w:t>
      </w:r>
      <w:proofErr w:type="spellStart"/>
      <w:r w:rsidRPr="00A429C8">
        <w:rPr>
          <w:rFonts w:ascii="Times New Roman" w:hAnsi="Times New Roman" w:cs="Times New Roman"/>
          <w:sz w:val="24"/>
          <w:szCs w:val="24"/>
        </w:rPr>
        <w:t>Curbera</w:t>
      </w:r>
      <w:proofErr w:type="spellEnd"/>
      <w:r w:rsidRPr="00A429C8">
        <w:rPr>
          <w:rFonts w:ascii="Times New Roman" w:hAnsi="Times New Roman" w:cs="Times New Roman"/>
          <w:sz w:val="24"/>
          <w:szCs w:val="24"/>
        </w:rPr>
        <w:t xml:space="preserve">, P. (2013). </w:t>
      </w:r>
      <w:r w:rsidRPr="00A429C8">
        <w:rPr>
          <w:rFonts w:ascii="Times New Roman" w:hAnsi="Times New Roman" w:cs="Times New Roman"/>
          <w:i/>
          <w:iCs/>
          <w:sz w:val="24"/>
          <w:szCs w:val="24"/>
        </w:rPr>
        <w:t>El Riesgo de Crédito en Perspectiva</w:t>
      </w:r>
      <w:r w:rsidRPr="00A429C8">
        <w:rPr>
          <w:rFonts w:ascii="Times New Roman" w:hAnsi="Times New Roman" w:cs="Times New Roman"/>
          <w:sz w:val="24"/>
          <w:szCs w:val="24"/>
        </w:rPr>
        <w:t xml:space="preserve"> (1.</w:t>
      </w:r>
      <w:r w:rsidRPr="00A429C8">
        <w:rPr>
          <w:rFonts w:ascii="Times New Roman" w:hAnsi="Times New Roman" w:cs="Times New Roman"/>
          <w:sz w:val="24"/>
          <w:szCs w:val="24"/>
          <w:vertAlign w:val="superscript"/>
        </w:rPr>
        <w:t>a</w:t>
      </w:r>
      <w:r w:rsidRPr="00A429C8">
        <w:rPr>
          <w:rFonts w:ascii="Times New Roman" w:hAnsi="Times New Roman" w:cs="Times New Roman"/>
          <w:sz w:val="24"/>
          <w:szCs w:val="24"/>
        </w:rPr>
        <w:t xml:space="preserve"> ed.). (UNED - Universidad Nacional de Educación a Distancia.</w:t>
      </w:r>
    </w:p>
    <w:p w14:paraId="722EE4C1" w14:textId="77777777" w:rsidR="008D3E2F" w:rsidRPr="00A429C8" w:rsidRDefault="008D3E2F" w:rsidP="00A429C8">
      <w:pPr>
        <w:pStyle w:val="Bibliografa"/>
        <w:spacing w:line="360" w:lineRule="auto"/>
        <w:jc w:val="both"/>
        <w:rPr>
          <w:rFonts w:ascii="Times New Roman" w:hAnsi="Times New Roman" w:cs="Times New Roman"/>
          <w:sz w:val="24"/>
          <w:szCs w:val="24"/>
        </w:rPr>
      </w:pPr>
      <w:r w:rsidRPr="00A429C8">
        <w:rPr>
          <w:rFonts w:ascii="Times New Roman" w:hAnsi="Times New Roman" w:cs="Times New Roman"/>
          <w:sz w:val="24"/>
          <w:szCs w:val="24"/>
        </w:rPr>
        <w:t xml:space="preserve">Sánchez, R. (2021, abril). </w:t>
      </w:r>
      <w:r w:rsidRPr="00A429C8">
        <w:rPr>
          <w:rFonts w:ascii="Times New Roman" w:hAnsi="Times New Roman" w:cs="Times New Roman"/>
          <w:i/>
          <w:iCs/>
          <w:sz w:val="24"/>
          <w:szCs w:val="24"/>
        </w:rPr>
        <w:t>Microfinanzas en Honduras</w:t>
      </w:r>
      <w:r w:rsidRPr="00A429C8">
        <w:rPr>
          <w:rFonts w:ascii="Times New Roman" w:hAnsi="Times New Roman" w:cs="Times New Roman"/>
          <w:sz w:val="24"/>
          <w:szCs w:val="24"/>
        </w:rPr>
        <w:t>.</w:t>
      </w:r>
    </w:p>
    <w:p w14:paraId="0C0ABE25" w14:textId="77777777" w:rsidR="008D3E2F" w:rsidRPr="00A429C8" w:rsidRDefault="008D3E2F" w:rsidP="00A429C8">
      <w:pPr>
        <w:pStyle w:val="Bibliografa"/>
        <w:spacing w:line="360" w:lineRule="auto"/>
        <w:jc w:val="both"/>
        <w:rPr>
          <w:rFonts w:ascii="Times New Roman" w:hAnsi="Times New Roman" w:cs="Times New Roman"/>
          <w:sz w:val="24"/>
          <w:szCs w:val="24"/>
        </w:rPr>
      </w:pPr>
      <w:r w:rsidRPr="00A429C8">
        <w:rPr>
          <w:rFonts w:ascii="Times New Roman" w:hAnsi="Times New Roman" w:cs="Times New Roman"/>
          <w:sz w:val="24"/>
          <w:szCs w:val="24"/>
        </w:rPr>
        <w:t xml:space="preserve">Sánchez Retana, C. (2019, junio). </w:t>
      </w:r>
      <w:r w:rsidRPr="00A429C8">
        <w:rPr>
          <w:rFonts w:ascii="Times New Roman" w:hAnsi="Times New Roman" w:cs="Times New Roman"/>
          <w:i/>
          <w:iCs/>
          <w:sz w:val="24"/>
          <w:szCs w:val="24"/>
        </w:rPr>
        <w:t>Impacto de los créditos en las ganancias de las microempresas en Costa Rica</w:t>
      </w:r>
      <w:r w:rsidRPr="00A429C8">
        <w:rPr>
          <w:rFonts w:ascii="Times New Roman" w:hAnsi="Times New Roman" w:cs="Times New Roman"/>
          <w:sz w:val="24"/>
          <w:szCs w:val="24"/>
        </w:rPr>
        <w:t xml:space="preserve">. </w:t>
      </w:r>
      <w:r w:rsidRPr="00A429C8">
        <w:rPr>
          <w:rFonts w:ascii="Times New Roman" w:hAnsi="Times New Roman" w:cs="Times New Roman"/>
          <w:i/>
          <w:iCs/>
          <w:sz w:val="24"/>
          <w:szCs w:val="24"/>
        </w:rPr>
        <w:t>24</w:t>
      </w:r>
      <w:r w:rsidRPr="00A429C8">
        <w:rPr>
          <w:rFonts w:ascii="Times New Roman" w:hAnsi="Times New Roman" w:cs="Times New Roman"/>
          <w:sz w:val="24"/>
          <w:szCs w:val="24"/>
        </w:rPr>
        <w:t>(55), 1-22.</w:t>
      </w:r>
    </w:p>
    <w:p w14:paraId="132D5900" w14:textId="77777777" w:rsidR="008D3E2F" w:rsidRPr="00A429C8" w:rsidRDefault="008D3E2F" w:rsidP="00A429C8">
      <w:pPr>
        <w:pStyle w:val="Bibliografa"/>
        <w:spacing w:line="360" w:lineRule="auto"/>
        <w:jc w:val="both"/>
        <w:rPr>
          <w:rFonts w:ascii="Times New Roman" w:hAnsi="Times New Roman" w:cs="Times New Roman"/>
          <w:sz w:val="24"/>
          <w:szCs w:val="24"/>
        </w:rPr>
      </w:pPr>
      <w:r w:rsidRPr="00A429C8">
        <w:rPr>
          <w:rFonts w:ascii="Times New Roman" w:hAnsi="Times New Roman" w:cs="Times New Roman"/>
          <w:sz w:val="24"/>
          <w:szCs w:val="24"/>
        </w:rPr>
        <w:t xml:space="preserve">Soria </w:t>
      </w:r>
      <w:proofErr w:type="spellStart"/>
      <w:r w:rsidRPr="00A429C8">
        <w:rPr>
          <w:rFonts w:ascii="Times New Roman" w:hAnsi="Times New Roman" w:cs="Times New Roman"/>
          <w:sz w:val="24"/>
          <w:szCs w:val="24"/>
        </w:rPr>
        <w:t>Manitio</w:t>
      </w:r>
      <w:proofErr w:type="spellEnd"/>
      <w:r w:rsidRPr="00A429C8">
        <w:rPr>
          <w:rFonts w:ascii="Times New Roman" w:hAnsi="Times New Roman" w:cs="Times New Roman"/>
          <w:sz w:val="24"/>
          <w:szCs w:val="24"/>
        </w:rPr>
        <w:t xml:space="preserve">, N. K. (2021, abril 9). </w:t>
      </w:r>
      <w:r w:rsidRPr="00A429C8">
        <w:rPr>
          <w:rFonts w:ascii="Times New Roman" w:hAnsi="Times New Roman" w:cs="Times New Roman"/>
          <w:i/>
          <w:iCs/>
          <w:sz w:val="24"/>
          <w:szCs w:val="24"/>
        </w:rPr>
        <w:t xml:space="preserve">Determinantes de la morosidad en las microempresas en Ecuador: Análisis </w:t>
      </w:r>
      <w:proofErr w:type="gramStart"/>
      <w:r w:rsidRPr="00A429C8">
        <w:rPr>
          <w:rFonts w:ascii="Times New Roman" w:hAnsi="Times New Roman" w:cs="Times New Roman"/>
          <w:i/>
          <w:iCs/>
          <w:sz w:val="24"/>
          <w:szCs w:val="24"/>
        </w:rPr>
        <w:t>y  estudio</w:t>
      </w:r>
      <w:proofErr w:type="gramEnd"/>
      <w:r w:rsidRPr="00A429C8">
        <w:rPr>
          <w:rFonts w:ascii="Times New Roman" w:hAnsi="Times New Roman" w:cs="Times New Roman"/>
          <w:i/>
          <w:iCs/>
          <w:sz w:val="24"/>
          <w:szCs w:val="24"/>
        </w:rPr>
        <w:t xml:space="preserve"> Banco Central</w:t>
      </w:r>
      <w:r w:rsidRPr="00A429C8">
        <w:rPr>
          <w:rFonts w:ascii="Times New Roman" w:hAnsi="Times New Roman" w:cs="Times New Roman"/>
          <w:sz w:val="24"/>
          <w:szCs w:val="24"/>
        </w:rPr>
        <w:t>.</w:t>
      </w:r>
    </w:p>
    <w:p w14:paraId="4DBC1A62" w14:textId="77777777" w:rsidR="008D3E2F" w:rsidRPr="00A429C8" w:rsidRDefault="008D3E2F" w:rsidP="00A429C8">
      <w:pPr>
        <w:pStyle w:val="Bibliografa"/>
        <w:spacing w:line="360" w:lineRule="auto"/>
        <w:jc w:val="both"/>
        <w:rPr>
          <w:rFonts w:ascii="Times New Roman" w:hAnsi="Times New Roman" w:cs="Times New Roman"/>
          <w:sz w:val="24"/>
          <w:szCs w:val="24"/>
        </w:rPr>
      </w:pPr>
      <w:r w:rsidRPr="00A429C8">
        <w:rPr>
          <w:rFonts w:ascii="Times New Roman" w:hAnsi="Times New Roman" w:cs="Times New Roman"/>
          <w:sz w:val="24"/>
          <w:szCs w:val="24"/>
        </w:rPr>
        <w:t xml:space="preserve">Soria, N. (2021). </w:t>
      </w:r>
      <w:r w:rsidRPr="00A429C8">
        <w:rPr>
          <w:rFonts w:ascii="Times New Roman" w:hAnsi="Times New Roman" w:cs="Times New Roman"/>
          <w:i/>
          <w:iCs/>
          <w:sz w:val="24"/>
          <w:szCs w:val="24"/>
        </w:rPr>
        <w:t>Determinantes de la morosidad en las microempresas en Ecuador: Análisis y estudio Banco Central</w:t>
      </w:r>
      <w:r w:rsidRPr="00A429C8">
        <w:rPr>
          <w:rFonts w:ascii="Times New Roman" w:hAnsi="Times New Roman" w:cs="Times New Roman"/>
          <w:sz w:val="24"/>
          <w:szCs w:val="24"/>
        </w:rPr>
        <w:t xml:space="preserve">. </w:t>
      </w:r>
      <w:r w:rsidRPr="00A429C8">
        <w:rPr>
          <w:rFonts w:ascii="Times New Roman" w:hAnsi="Times New Roman" w:cs="Times New Roman"/>
          <w:i/>
          <w:iCs/>
          <w:sz w:val="24"/>
          <w:szCs w:val="24"/>
        </w:rPr>
        <w:t>6</w:t>
      </w:r>
      <w:r w:rsidRPr="00A429C8">
        <w:rPr>
          <w:rFonts w:ascii="Times New Roman" w:hAnsi="Times New Roman" w:cs="Times New Roman"/>
          <w:sz w:val="24"/>
          <w:szCs w:val="24"/>
        </w:rPr>
        <w:t>. https://doi.org/10.23857/fipcaec.v6i3.397</w:t>
      </w:r>
    </w:p>
    <w:p w14:paraId="444D0315" w14:textId="77777777" w:rsidR="008D3E2F" w:rsidRPr="00A429C8" w:rsidRDefault="008D3E2F" w:rsidP="00A429C8">
      <w:pPr>
        <w:pStyle w:val="Bibliografa"/>
        <w:spacing w:line="360" w:lineRule="auto"/>
        <w:jc w:val="both"/>
        <w:rPr>
          <w:rFonts w:ascii="Times New Roman" w:hAnsi="Times New Roman" w:cs="Times New Roman"/>
          <w:sz w:val="24"/>
          <w:szCs w:val="24"/>
        </w:rPr>
      </w:pPr>
      <w:r w:rsidRPr="00A429C8">
        <w:rPr>
          <w:rFonts w:ascii="Times New Roman" w:hAnsi="Times New Roman" w:cs="Times New Roman"/>
          <w:sz w:val="24"/>
          <w:szCs w:val="24"/>
        </w:rPr>
        <w:t xml:space="preserve">UNAH, &amp; EQUIFAX. (2024, abril). </w:t>
      </w:r>
      <w:r w:rsidRPr="00A429C8">
        <w:rPr>
          <w:rFonts w:ascii="Times New Roman" w:hAnsi="Times New Roman" w:cs="Times New Roman"/>
          <w:i/>
          <w:iCs/>
          <w:sz w:val="24"/>
          <w:szCs w:val="24"/>
        </w:rPr>
        <w:t>2do. Estudio del Comportamiento de Crédito de los Hondureños 2023</w:t>
      </w:r>
      <w:r w:rsidRPr="00A429C8">
        <w:rPr>
          <w:rFonts w:ascii="Times New Roman" w:hAnsi="Times New Roman" w:cs="Times New Roman"/>
          <w:sz w:val="24"/>
          <w:szCs w:val="24"/>
        </w:rPr>
        <w:t>.</w:t>
      </w:r>
    </w:p>
    <w:p w14:paraId="597C2288" w14:textId="77777777" w:rsidR="008D3E2F" w:rsidRPr="00A429C8" w:rsidRDefault="008D3E2F" w:rsidP="00A429C8">
      <w:pPr>
        <w:pStyle w:val="Bibliografa"/>
        <w:spacing w:line="360" w:lineRule="auto"/>
        <w:jc w:val="both"/>
        <w:rPr>
          <w:rFonts w:ascii="Times New Roman" w:hAnsi="Times New Roman" w:cs="Times New Roman"/>
          <w:sz w:val="24"/>
          <w:szCs w:val="24"/>
        </w:rPr>
      </w:pPr>
      <w:r w:rsidRPr="00A429C8">
        <w:rPr>
          <w:rFonts w:ascii="Times New Roman" w:hAnsi="Times New Roman" w:cs="Times New Roman"/>
          <w:sz w:val="24"/>
          <w:szCs w:val="24"/>
        </w:rPr>
        <w:t xml:space="preserve">UNAH, &amp; EQUIFAX. (09/22). </w:t>
      </w:r>
      <w:r w:rsidRPr="00A429C8">
        <w:rPr>
          <w:rFonts w:ascii="Times New Roman" w:hAnsi="Times New Roman" w:cs="Times New Roman"/>
          <w:i/>
          <w:iCs/>
          <w:sz w:val="24"/>
          <w:szCs w:val="24"/>
        </w:rPr>
        <w:t>1er. Estudio del Comportamiento de Crédito de los Hondureños 2020-2022</w:t>
      </w:r>
      <w:r w:rsidRPr="00A429C8">
        <w:rPr>
          <w:rFonts w:ascii="Times New Roman" w:hAnsi="Times New Roman" w:cs="Times New Roman"/>
          <w:sz w:val="24"/>
          <w:szCs w:val="24"/>
        </w:rPr>
        <w:t>.</w:t>
      </w:r>
    </w:p>
    <w:p w14:paraId="0A459673" w14:textId="77777777" w:rsidR="008D3E2F" w:rsidRPr="00A429C8" w:rsidRDefault="008D3E2F" w:rsidP="00A429C8">
      <w:pPr>
        <w:pStyle w:val="Bibliografa"/>
        <w:spacing w:line="360" w:lineRule="auto"/>
        <w:jc w:val="both"/>
        <w:rPr>
          <w:rFonts w:ascii="Times New Roman" w:hAnsi="Times New Roman" w:cs="Times New Roman"/>
          <w:sz w:val="24"/>
          <w:szCs w:val="24"/>
        </w:rPr>
      </w:pPr>
      <w:r w:rsidRPr="00A429C8">
        <w:rPr>
          <w:rFonts w:ascii="Times New Roman" w:hAnsi="Times New Roman" w:cs="Times New Roman"/>
          <w:sz w:val="24"/>
          <w:szCs w:val="24"/>
        </w:rPr>
        <w:t xml:space="preserve">Useche, M., Artigas, W., Queipo, B., &amp; Édison, P. (2019). </w:t>
      </w:r>
      <w:r w:rsidRPr="00A429C8">
        <w:rPr>
          <w:rFonts w:ascii="Times New Roman" w:hAnsi="Times New Roman" w:cs="Times New Roman"/>
          <w:i/>
          <w:iCs/>
          <w:sz w:val="24"/>
          <w:szCs w:val="24"/>
        </w:rPr>
        <w:t xml:space="preserve">Técnicas e Instrumentos de recolección de datos </w:t>
      </w:r>
      <w:proofErr w:type="spellStart"/>
      <w:r w:rsidRPr="00A429C8">
        <w:rPr>
          <w:rFonts w:ascii="Times New Roman" w:hAnsi="Times New Roman" w:cs="Times New Roman"/>
          <w:i/>
          <w:iCs/>
          <w:sz w:val="24"/>
          <w:szCs w:val="24"/>
        </w:rPr>
        <w:t>cuali</w:t>
      </w:r>
      <w:proofErr w:type="spellEnd"/>
      <w:r w:rsidRPr="00A429C8">
        <w:rPr>
          <w:rFonts w:ascii="Times New Roman" w:hAnsi="Times New Roman" w:cs="Times New Roman"/>
          <w:i/>
          <w:iCs/>
          <w:sz w:val="24"/>
          <w:szCs w:val="24"/>
        </w:rPr>
        <w:t>-cuantitativos</w:t>
      </w:r>
      <w:r w:rsidRPr="00A429C8">
        <w:rPr>
          <w:rFonts w:ascii="Times New Roman" w:hAnsi="Times New Roman" w:cs="Times New Roman"/>
          <w:sz w:val="24"/>
          <w:szCs w:val="24"/>
        </w:rPr>
        <w:t xml:space="preserve"> (1.</w:t>
      </w:r>
      <w:r w:rsidRPr="00A429C8">
        <w:rPr>
          <w:rFonts w:ascii="Times New Roman" w:hAnsi="Times New Roman" w:cs="Times New Roman"/>
          <w:sz w:val="24"/>
          <w:szCs w:val="24"/>
          <w:vertAlign w:val="superscript"/>
        </w:rPr>
        <w:t>a</w:t>
      </w:r>
      <w:r w:rsidRPr="00A429C8">
        <w:rPr>
          <w:rFonts w:ascii="Times New Roman" w:hAnsi="Times New Roman" w:cs="Times New Roman"/>
          <w:sz w:val="24"/>
          <w:szCs w:val="24"/>
        </w:rPr>
        <w:t xml:space="preserve"> ed.). Gente Nueva.</w:t>
      </w:r>
    </w:p>
    <w:p w14:paraId="2AA9617E" w14:textId="77777777" w:rsidR="008D3E2F" w:rsidRPr="00A429C8" w:rsidRDefault="008D3E2F" w:rsidP="00A429C8">
      <w:pPr>
        <w:pStyle w:val="Bibliografa"/>
        <w:spacing w:line="360" w:lineRule="auto"/>
        <w:jc w:val="both"/>
        <w:rPr>
          <w:rFonts w:ascii="Times New Roman" w:hAnsi="Times New Roman" w:cs="Times New Roman"/>
          <w:sz w:val="24"/>
          <w:szCs w:val="24"/>
        </w:rPr>
      </w:pPr>
      <w:r w:rsidRPr="00A429C8">
        <w:rPr>
          <w:rFonts w:ascii="Times New Roman" w:hAnsi="Times New Roman" w:cs="Times New Roman"/>
          <w:sz w:val="24"/>
          <w:szCs w:val="24"/>
        </w:rPr>
        <w:t xml:space="preserve">Vega Hernández, J. I., Moreno Treviño, J. O., &amp; Farfán Pérez, L. (2023, noviembre). </w:t>
      </w:r>
      <w:r w:rsidRPr="00A429C8">
        <w:rPr>
          <w:rFonts w:ascii="Times New Roman" w:hAnsi="Times New Roman" w:cs="Times New Roman"/>
          <w:i/>
          <w:iCs/>
          <w:sz w:val="24"/>
          <w:szCs w:val="24"/>
        </w:rPr>
        <w:t xml:space="preserve">Determinantes del uso de crédito de los </w:t>
      </w:r>
      <w:proofErr w:type="gramStart"/>
      <w:r w:rsidRPr="00A429C8">
        <w:rPr>
          <w:rFonts w:ascii="Times New Roman" w:hAnsi="Times New Roman" w:cs="Times New Roman"/>
          <w:i/>
          <w:iCs/>
          <w:sz w:val="24"/>
          <w:szCs w:val="24"/>
        </w:rPr>
        <w:t>hogares  mexicanos</w:t>
      </w:r>
      <w:proofErr w:type="gramEnd"/>
      <w:r w:rsidRPr="00A429C8">
        <w:rPr>
          <w:rFonts w:ascii="Times New Roman" w:hAnsi="Times New Roman" w:cs="Times New Roman"/>
          <w:i/>
          <w:iCs/>
          <w:sz w:val="24"/>
          <w:szCs w:val="24"/>
        </w:rPr>
        <w:t>: Un análisis simultáneo por tipo de  instrumento</w:t>
      </w:r>
      <w:r w:rsidRPr="00A429C8">
        <w:rPr>
          <w:rFonts w:ascii="Times New Roman" w:hAnsi="Times New Roman" w:cs="Times New Roman"/>
          <w:sz w:val="24"/>
          <w:szCs w:val="24"/>
        </w:rPr>
        <w:t>.</w:t>
      </w:r>
    </w:p>
    <w:p w14:paraId="3F0DDC97" w14:textId="77777777" w:rsidR="008D3E2F" w:rsidRPr="00A429C8" w:rsidRDefault="008D3E2F" w:rsidP="00A429C8">
      <w:pPr>
        <w:pStyle w:val="Bibliografa"/>
        <w:spacing w:line="360" w:lineRule="auto"/>
        <w:jc w:val="both"/>
        <w:rPr>
          <w:rFonts w:ascii="Times New Roman" w:hAnsi="Times New Roman" w:cs="Times New Roman"/>
          <w:sz w:val="24"/>
          <w:szCs w:val="24"/>
        </w:rPr>
      </w:pPr>
      <w:r w:rsidRPr="00A429C8">
        <w:rPr>
          <w:rFonts w:ascii="Times New Roman" w:hAnsi="Times New Roman" w:cs="Times New Roman"/>
          <w:sz w:val="24"/>
          <w:szCs w:val="24"/>
        </w:rPr>
        <w:t xml:space="preserve">Vera, B., &amp; Lugo, S. (2016). </w:t>
      </w:r>
      <w:r w:rsidRPr="00A429C8">
        <w:rPr>
          <w:rFonts w:ascii="Times New Roman" w:hAnsi="Times New Roman" w:cs="Times New Roman"/>
          <w:i/>
          <w:iCs/>
          <w:sz w:val="24"/>
          <w:szCs w:val="24"/>
        </w:rPr>
        <w:t>Matriz de consistencia metodológica</w:t>
      </w:r>
      <w:r w:rsidRPr="00A429C8">
        <w:rPr>
          <w:rFonts w:ascii="Times New Roman" w:hAnsi="Times New Roman" w:cs="Times New Roman"/>
          <w:sz w:val="24"/>
          <w:szCs w:val="24"/>
        </w:rPr>
        <w:t>.</w:t>
      </w:r>
    </w:p>
    <w:p w14:paraId="11D46114" w14:textId="77777777" w:rsidR="008D3E2F" w:rsidRPr="00A429C8" w:rsidRDefault="008D3E2F" w:rsidP="00A429C8">
      <w:pPr>
        <w:pStyle w:val="Bibliografa"/>
        <w:spacing w:line="360" w:lineRule="auto"/>
        <w:jc w:val="both"/>
        <w:rPr>
          <w:rFonts w:ascii="Times New Roman" w:hAnsi="Times New Roman" w:cs="Times New Roman"/>
          <w:sz w:val="24"/>
          <w:szCs w:val="24"/>
        </w:rPr>
      </w:pPr>
      <w:proofErr w:type="spellStart"/>
      <w:r w:rsidRPr="00A429C8">
        <w:rPr>
          <w:rFonts w:ascii="Times New Roman" w:hAnsi="Times New Roman" w:cs="Times New Roman"/>
          <w:sz w:val="24"/>
          <w:szCs w:val="24"/>
        </w:rPr>
        <w:t>Westreicher</w:t>
      </w:r>
      <w:proofErr w:type="spellEnd"/>
      <w:r w:rsidRPr="00A429C8">
        <w:rPr>
          <w:rFonts w:ascii="Times New Roman" w:hAnsi="Times New Roman" w:cs="Times New Roman"/>
          <w:sz w:val="24"/>
          <w:szCs w:val="24"/>
        </w:rPr>
        <w:t xml:space="preserve">, G. (2018, marzo 20). </w:t>
      </w:r>
      <w:r w:rsidRPr="00A429C8">
        <w:rPr>
          <w:rFonts w:ascii="Times New Roman" w:hAnsi="Times New Roman" w:cs="Times New Roman"/>
          <w:i/>
          <w:iCs/>
          <w:sz w:val="24"/>
          <w:szCs w:val="24"/>
        </w:rPr>
        <w:t>Economipedia</w:t>
      </w:r>
      <w:r w:rsidRPr="00A429C8">
        <w:rPr>
          <w:rFonts w:ascii="Times New Roman" w:hAnsi="Times New Roman" w:cs="Times New Roman"/>
          <w:sz w:val="24"/>
          <w:szCs w:val="24"/>
        </w:rPr>
        <w:t>. https://economipedia.com/definiciones/cuota-de-un-credito.html</w:t>
      </w:r>
    </w:p>
    <w:p w14:paraId="52C547BD" w14:textId="24E8CDDF" w:rsidR="00640979" w:rsidRDefault="000F6563" w:rsidP="00A429C8">
      <w:pPr>
        <w:spacing w:line="360" w:lineRule="auto"/>
        <w:jc w:val="both"/>
        <w:rPr>
          <w:rFonts w:ascii="Times New Roman" w:hAnsi="Times New Roman" w:cs="Times New Roman"/>
          <w:sz w:val="24"/>
          <w:szCs w:val="24"/>
        </w:rPr>
      </w:pPr>
      <w:r w:rsidRPr="00A429C8">
        <w:rPr>
          <w:rFonts w:ascii="Times New Roman" w:hAnsi="Times New Roman" w:cs="Times New Roman"/>
          <w:sz w:val="24"/>
          <w:szCs w:val="24"/>
        </w:rPr>
        <w:fldChar w:fldCharType="end"/>
      </w:r>
      <w:r w:rsidR="00640979" w:rsidRPr="00346C5C">
        <w:br w:type="page"/>
      </w:r>
    </w:p>
    <w:p w14:paraId="3966912B" w14:textId="46EEC304" w:rsidR="00640979" w:rsidRDefault="00640979" w:rsidP="00804083">
      <w:pPr>
        <w:pStyle w:val="Ttulo1"/>
        <w:spacing w:before="0" w:after="120" w:line="360" w:lineRule="auto"/>
      </w:pPr>
      <w:bookmarkStart w:id="403" w:name="_Toc474331205"/>
      <w:bookmarkStart w:id="404" w:name="_Toc474331408"/>
      <w:bookmarkStart w:id="405" w:name="_Toc166705852"/>
      <w:bookmarkStart w:id="406" w:name="_Toc175171482"/>
      <w:r>
        <w:lastRenderedPageBreak/>
        <w:t>ANEXOS</w:t>
      </w:r>
      <w:bookmarkEnd w:id="403"/>
      <w:bookmarkEnd w:id="404"/>
      <w:bookmarkEnd w:id="405"/>
      <w:bookmarkEnd w:id="406"/>
    </w:p>
    <w:p w14:paraId="2FB0B2CB" w14:textId="0A6F5E4A" w:rsidR="00865CC4" w:rsidRDefault="008C7725" w:rsidP="003B5C63">
      <w:pPr>
        <w:pStyle w:val="Ttulo2"/>
        <w:spacing w:line="360" w:lineRule="auto"/>
        <w:ind w:left="357" w:hanging="357"/>
        <w:rPr>
          <w:lang w:val="es-MX"/>
        </w:rPr>
      </w:pPr>
      <w:bookmarkStart w:id="407" w:name="_Toc474331206"/>
      <w:bookmarkStart w:id="408" w:name="_Toc474331409"/>
      <w:bookmarkStart w:id="409" w:name="_Toc166705853"/>
      <w:bookmarkStart w:id="410" w:name="_Toc175171483"/>
      <w:r w:rsidRPr="000E2A5D">
        <w:rPr>
          <w:lang w:val="es-MX"/>
        </w:rPr>
        <w:t xml:space="preserve">ANEXO 1 </w:t>
      </w:r>
      <w:bookmarkEnd w:id="407"/>
      <w:bookmarkEnd w:id="408"/>
      <w:r>
        <w:rPr>
          <w:lang w:val="es-MX"/>
        </w:rPr>
        <w:t>VALIDACIÓN DE INSTRUMENTO DE INVESTIGACIÓN</w:t>
      </w:r>
      <w:bookmarkEnd w:id="409"/>
      <w:bookmarkEnd w:id="410"/>
    </w:p>
    <w:p w14:paraId="6D80FA19" w14:textId="5BF2055B" w:rsidR="00865CC4" w:rsidRPr="005C64F1" w:rsidRDefault="005C64F1" w:rsidP="005C64F1">
      <w:pPr>
        <w:pStyle w:val="NormalWeb"/>
        <w:jc w:val="center"/>
      </w:pPr>
      <w:r>
        <w:rPr>
          <w:noProof/>
        </w:rPr>
        <w:drawing>
          <wp:inline distT="0" distB="0" distL="0" distR="0" wp14:anchorId="45D8F56B" wp14:editId="52590E7C">
            <wp:extent cx="5886450" cy="7400593"/>
            <wp:effectExtent l="0" t="0" r="0" b="0"/>
            <wp:docPr id="241920096" name="Imagen 9" descr="Texto, Cart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1920096" name="Imagen 9" descr="Texto, Carta&#10;&#10;Descripción generada automáticamente"/>
                    <pic:cNvPicPr>
                      <a:picLocks noChangeAspect="1" noChangeArrowheads="1"/>
                    </pic:cNvPicPr>
                  </pic:nvPicPr>
                  <pic:blipFill rotWithShape="1">
                    <a:blip r:embed="rId47">
                      <a:extLst>
                        <a:ext uri="{28A0092B-C50C-407E-A947-70E740481C1C}">
                          <a14:useLocalDpi xmlns:a14="http://schemas.microsoft.com/office/drawing/2010/main" val="0"/>
                        </a:ext>
                      </a:extLst>
                    </a:blip>
                    <a:srcRect l="10256" t="5446" r="12661" b="7032"/>
                    <a:stretch/>
                  </pic:blipFill>
                  <pic:spPr bwMode="auto">
                    <a:xfrm>
                      <a:off x="0" y="0"/>
                      <a:ext cx="5910606" cy="7430962"/>
                    </a:xfrm>
                    <a:prstGeom prst="rect">
                      <a:avLst/>
                    </a:prstGeom>
                    <a:noFill/>
                    <a:ln>
                      <a:noFill/>
                    </a:ln>
                    <a:extLst>
                      <a:ext uri="{53640926-AAD7-44D8-BBD7-CCE9431645EC}">
                        <a14:shadowObscured xmlns:a14="http://schemas.microsoft.com/office/drawing/2010/main"/>
                      </a:ext>
                    </a:extLst>
                  </pic:spPr>
                </pic:pic>
              </a:graphicData>
            </a:graphic>
          </wp:inline>
        </w:drawing>
      </w:r>
    </w:p>
    <w:p w14:paraId="57F91A36" w14:textId="510AD54F" w:rsidR="00F560FD" w:rsidRDefault="00865CC4" w:rsidP="00865CC4">
      <w:pPr>
        <w:pStyle w:val="Ttulo2"/>
        <w:spacing w:line="360" w:lineRule="auto"/>
        <w:ind w:left="357" w:hanging="357"/>
        <w:rPr>
          <w:lang w:val="es-MX"/>
        </w:rPr>
      </w:pPr>
      <w:bookmarkStart w:id="411" w:name="_Toc175171484"/>
      <w:r w:rsidRPr="000E2A5D">
        <w:rPr>
          <w:lang w:val="es-MX"/>
        </w:rPr>
        <w:lastRenderedPageBreak/>
        <w:t xml:space="preserve">ANEXO </w:t>
      </w:r>
      <w:r>
        <w:rPr>
          <w:lang w:val="es-MX"/>
        </w:rPr>
        <w:t>2.</w:t>
      </w:r>
      <w:r w:rsidRPr="000E2A5D">
        <w:rPr>
          <w:lang w:val="es-MX"/>
        </w:rPr>
        <w:t xml:space="preserve"> </w:t>
      </w:r>
      <w:r>
        <w:rPr>
          <w:lang w:val="es-MX"/>
        </w:rPr>
        <w:t>VALIDACIÓN DE INSTRUMENTO DE INVESTIGACIÓN</w:t>
      </w:r>
      <w:bookmarkEnd w:id="411"/>
    </w:p>
    <w:p w14:paraId="5A3B3E7D" w14:textId="163FD69B" w:rsidR="00966047" w:rsidRDefault="000D6597" w:rsidP="00F02D9A">
      <w:pPr>
        <w:pStyle w:val="TextoPrincipal"/>
        <w:ind w:firstLine="0"/>
        <w:rPr>
          <w:lang w:val="es-MX"/>
        </w:rPr>
      </w:pPr>
      <w:r>
        <w:rPr>
          <w:noProof/>
        </w:rPr>
        <w:drawing>
          <wp:inline distT="0" distB="0" distL="0" distR="0" wp14:anchorId="7124F06A" wp14:editId="5CE0A0CE">
            <wp:extent cx="5920740" cy="7496175"/>
            <wp:effectExtent l="0" t="0" r="3810" b="9525"/>
            <wp:docPr id="715742103" name="Imagen 18" descr="Diagrama, Dibujo de ingenierí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15742103" name="Imagen 18" descr="Diagrama, Dibujo de ingeniería&#10;&#10;Descripción generada automáticamente"/>
                    <pic:cNvPicPr>
                      <a:picLocks noChangeAspect="1" noChangeArrowheads="1"/>
                    </pic:cNvPicPr>
                  </pic:nvPicPr>
                  <pic:blipFill rotWithShape="1">
                    <a:blip r:embed="rId48">
                      <a:extLst>
                        <a:ext uri="{28A0092B-C50C-407E-A947-70E740481C1C}">
                          <a14:useLocalDpi xmlns:a14="http://schemas.microsoft.com/office/drawing/2010/main" val="0"/>
                        </a:ext>
                      </a:extLst>
                    </a:blip>
                    <a:srcRect l="6250" t="9660" r="10898" b="7743"/>
                    <a:stretch/>
                  </pic:blipFill>
                  <pic:spPr bwMode="auto">
                    <a:xfrm>
                      <a:off x="0" y="0"/>
                      <a:ext cx="5939007" cy="7519303"/>
                    </a:xfrm>
                    <a:prstGeom prst="rect">
                      <a:avLst/>
                    </a:prstGeom>
                    <a:noFill/>
                    <a:ln>
                      <a:noFill/>
                    </a:ln>
                    <a:extLst>
                      <a:ext uri="{53640926-AAD7-44D8-BBD7-CCE9431645EC}">
                        <a14:shadowObscured xmlns:a14="http://schemas.microsoft.com/office/drawing/2010/main"/>
                      </a:ext>
                    </a:extLst>
                  </pic:spPr>
                </pic:pic>
              </a:graphicData>
            </a:graphic>
          </wp:inline>
        </w:drawing>
      </w:r>
    </w:p>
    <w:p w14:paraId="383D6195" w14:textId="3FB8CBD4" w:rsidR="00966047" w:rsidRDefault="00966047" w:rsidP="00626A91">
      <w:pPr>
        <w:pStyle w:val="Ttulo2"/>
        <w:spacing w:line="360" w:lineRule="auto"/>
        <w:ind w:left="357" w:hanging="357"/>
        <w:rPr>
          <w:lang w:val="es-MX"/>
        </w:rPr>
      </w:pPr>
      <w:bookmarkStart w:id="412" w:name="_Toc175171485"/>
      <w:r w:rsidRPr="000E2A5D">
        <w:rPr>
          <w:lang w:val="es-MX"/>
        </w:rPr>
        <w:lastRenderedPageBreak/>
        <w:t xml:space="preserve">ANEXO </w:t>
      </w:r>
      <w:r w:rsidR="00865CC4">
        <w:rPr>
          <w:lang w:val="es-MX"/>
        </w:rPr>
        <w:t>3.</w:t>
      </w:r>
      <w:r w:rsidR="00EC1F62">
        <w:rPr>
          <w:lang w:val="es-MX"/>
        </w:rPr>
        <w:t xml:space="preserve"> </w:t>
      </w:r>
      <w:r w:rsidR="00626A91">
        <w:rPr>
          <w:lang w:val="es-MX"/>
        </w:rPr>
        <w:t>ESTADO DE RESULTADOS DE MICROFINANCIERA “XYZ”</w:t>
      </w:r>
      <w:bookmarkEnd w:id="412"/>
    </w:p>
    <w:p w14:paraId="563BEB1F" w14:textId="1CDEBC30" w:rsidR="00EC1F62" w:rsidRDefault="00B458E2">
      <w:pPr>
        <w:widowControl/>
        <w:spacing w:after="160" w:line="259" w:lineRule="auto"/>
        <w:rPr>
          <w:rFonts w:ascii="Times New Roman" w:hAnsi="Times New Roman" w:cs="Times New Roman"/>
          <w:sz w:val="24"/>
          <w:szCs w:val="24"/>
          <w:lang w:val="es-MX"/>
        </w:rPr>
      </w:pPr>
      <w:r w:rsidRPr="00B458E2">
        <w:rPr>
          <w:noProof/>
        </w:rPr>
        <w:drawing>
          <wp:inline distT="0" distB="0" distL="0" distR="0" wp14:anchorId="6410C870" wp14:editId="75CFB6F0">
            <wp:extent cx="5943600" cy="6067425"/>
            <wp:effectExtent l="0" t="0" r="0" b="9525"/>
            <wp:docPr id="848877802"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49">
                      <a:extLst>
                        <a:ext uri="{28A0092B-C50C-407E-A947-70E740481C1C}">
                          <a14:useLocalDpi xmlns:a14="http://schemas.microsoft.com/office/drawing/2010/main" val="0"/>
                        </a:ext>
                      </a:extLst>
                    </a:blip>
                    <a:srcRect t="1546"/>
                    <a:stretch/>
                  </pic:blipFill>
                  <pic:spPr bwMode="auto">
                    <a:xfrm>
                      <a:off x="0" y="0"/>
                      <a:ext cx="5943600" cy="6067425"/>
                    </a:xfrm>
                    <a:prstGeom prst="rect">
                      <a:avLst/>
                    </a:prstGeom>
                    <a:noFill/>
                    <a:ln>
                      <a:noFill/>
                    </a:ln>
                    <a:extLst>
                      <a:ext uri="{53640926-AAD7-44D8-BBD7-CCE9431645EC}">
                        <a14:shadowObscured xmlns:a14="http://schemas.microsoft.com/office/drawing/2010/main"/>
                      </a:ext>
                    </a:extLst>
                  </pic:spPr>
                </pic:pic>
              </a:graphicData>
            </a:graphic>
          </wp:inline>
        </w:drawing>
      </w:r>
      <w:r w:rsidR="00EC1F62">
        <w:rPr>
          <w:lang w:val="es-MX"/>
        </w:rPr>
        <w:br w:type="page"/>
      </w:r>
    </w:p>
    <w:p w14:paraId="23206626" w14:textId="279E7CDC" w:rsidR="00626A91" w:rsidRDefault="00EC1F62" w:rsidP="00EC1F62">
      <w:pPr>
        <w:pStyle w:val="Ttulo2"/>
        <w:spacing w:line="360" w:lineRule="auto"/>
        <w:ind w:left="357" w:hanging="357"/>
        <w:rPr>
          <w:lang w:val="es-MX"/>
        </w:rPr>
      </w:pPr>
      <w:bookmarkStart w:id="413" w:name="_Toc175171486"/>
      <w:r w:rsidRPr="000E2A5D">
        <w:rPr>
          <w:lang w:val="es-MX"/>
        </w:rPr>
        <w:lastRenderedPageBreak/>
        <w:t xml:space="preserve">ANEXO </w:t>
      </w:r>
      <w:r w:rsidR="00865CC4">
        <w:rPr>
          <w:lang w:val="es-MX"/>
        </w:rPr>
        <w:t>4.</w:t>
      </w:r>
      <w:r>
        <w:rPr>
          <w:lang w:val="es-MX"/>
        </w:rPr>
        <w:t xml:space="preserve"> </w:t>
      </w:r>
      <w:r w:rsidR="00626A91">
        <w:rPr>
          <w:lang w:val="es-MX"/>
        </w:rPr>
        <w:t>BALANCE GENERAL DE MICROFINANCIERA “XYZ”</w:t>
      </w:r>
      <w:bookmarkEnd w:id="413"/>
    </w:p>
    <w:p w14:paraId="0628D9CB" w14:textId="57500B8C" w:rsidR="00626A91" w:rsidRDefault="005C64F1">
      <w:pPr>
        <w:widowControl/>
        <w:spacing w:after="160" w:line="259" w:lineRule="auto"/>
        <w:rPr>
          <w:rFonts w:ascii="Times New Roman" w:eastAsia="Times New Roman" w:hAnsi="Times New Roman"/>
          <w:b/>
          <w:bCs/>
          <w:sz w:val="24"/>
          <w:szCs w:val="32"/>
          <w:lang w:val="es-MX"/>
        </w:rPr>
      </w:pPr>
      <w:r w:rsidRPr="005C64F1">
        <w:rPr>
          <w:noProof/>
        </w:rPr>
        <w:drawing>
          <wp:inline distT="0" distB="0" distL="0" distR="0" wp14:anchorId="606103DB" wp14:editId="6BD4EAB9">
            <wp:extent cx="5943600" cy="7800975"/>
            <wp:effectExtent l="0" t="0" r="0" b="9525"/>
            <wp:docPr id="814270960"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50">
                      <a:extLst>
                        <a:ext uri="{28A0092B-C50C-407E-A947-70E740481C1C}">
                          <a14:useLocalDpi xmlns:a14="http://schemas.microsoft.com/office/drawing/2010/main" val="0"/>
                        </a:ext>
                      </a:extLst>
                    </a:blip>
                    <a:srcRect t="967"/>
                    <a:stretch/>
                  </pic:blipFill>
                  <pic:spPr bwMode="auto">
                    <a:xfrm>
                      <a:off x="0" y="0"/>
                      <a:ext cx="5943600" cy="7800975"/>
                    </a:xfrm>
                    <a:prstGeom prst="rect">
                      <a:avLst/>
                    </a:prstGeom>
                    <a:noFill/>
                    <a:ln>
                      <a:noFill/>
                    </a:ln>
                    <a:extLst>
                      <a:ext uri="{53640926-AAD7-44D8-BBD7-CCE9431645EC}">
                        <a14:shadowObscured xmlns:a14="http://schemas.microsoft.com/office/drawing/2010/main"/>
                      </a:ext>
                    </a:extLst>
                  </pic:spPr>
                </pic:pic>
              </a:graphicData>
            </a:graphic>
          </wp:inline>
        </w:drawing>
      </w:r>
      <w:r w:rsidR="00626A91">
        <w:rPr>
          <w:lang w:val="es-MX"/>
        </w:rPr>
        <w:br w:type="page"/>
      </w:r>
    </w:p>
    <w:p w14:paraId="1B7E3958" w14:textId="3844A45C" w:rsidR="00626A91" w:rsidRDefault="00626A91" w:rsidP="00626A91">
      <w:pPr>
        <w:pStyle w:val="Ttulo2"/>
        <w:spacing w:line="360" w:lineRule="auto"/>
        <w:ind w:left="357" w:hanging="357"/>
        <w:rPr>
          <w:lang w:val="es-MX"/>
        </w:rPr>
      </w:pPr>
      <w:bookmarkStart w:id="414" w:name="_Toc175171487"/>
      <w:r w:rsidRPr="000E2A5D">
        <w:rPr>
          <w:lang w:val="es-MX"/>
        </w:rPr>
        <w:lastRenderedPageBreak/>
        <w:t xml:space="preserve">ANEXO </w:t>
      </w:r>
      <w:r>
        <w:rPr>
          <w:lang w:val="es-MX"/>
        </w:rPr>
        <w:t>5. CARTA DE COMPROMISO PARA ASESORÍA TEMÁTICA</w:t>
      </w:r>
      <w:bookmarkEnd w:id="414"/>
    </w:p>
    <w:p w14:paraId="0D900EF7" w14:textId="774489B1" w:rsidR="00F02D9A" w:rsidRPr="005C64F1" w:rsidRDefault="005C64F1" w:rsidP="005C64F1">
      <w:pPr>
        <w:pStyle w:val="NormalWeb"/>
        <w:jc w:val="center"/>
      </w:pPr>
      <w:r>
        <w:rPr>
          <w:noProof/>
        </w:rPr>
        <w:drawing>
          <wp:inline distT="0" distB="0" distL="0" distR="0" wp14:anchorId="79498594" wp14:editId="084A13CF">
            <wp:extent cx="5924550" cy="7771548"/>
            <wp:effectExtent l="0" t="0" r="0" b="1270"/>
            <wp:docPr id="624179064" name="Imagen 7" descr="Texto, Cart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24179064" name="Imagen 7" descr="Texto, Carta&#10;&#10;Descripción generada automáticamente"/>
                    <pic:cNvPicPr>
                      <a:picLocks noChangeAspect="1" noChangeArrowheads="1"/>
                    </pic:cNvPicPr>
                  </pic:nvPicPr>
                  <pic:blipFill rotWithShape="1">
                    <a:blip r:embed="rId51">
                      <a:extLst>
                        <a:ext uri="{28A0092B-C50C-407E-A947-70E740481C1C}">
                          <a14:useLocalDpi xmlns:a14="http://schemas.microsoft.com/office/drawing/2010/main" val="0"/>
                        </a:ext>
                      </a:extLst>
                    </a:blip>
                    <a:srcRect l="10096" t="4954" r="11539" b="7867"/>
                    <a:stretch/>
                  </pic:blipFill>
                  <pic:spPr bwMode="auto">
                    <a:xfrm>
                      <a:off x="0" y="0"/>
                      <a:ext cx="5950142" cy="7805119"/>
                    </a:xfrm>
                    <a:prstGeom prst="rect">
                      <a:avLst/>
                    </a:prstGeom>
                    <a:noFill/>
                    <a:ln>
                      <a:noFill/>
                    </a:ln>
                    <a:extLst>
                      <a:ext uri="{53640926-AAD7-44D8-BBD7-CCE9431645EC}">
                        <a14:shadowObscured xmlns:a14="http://schemas.microsoft.com/office/drawing/2010/main"/>
                      </a:ext>
                    </a:extLst>
                  </pic:spPr>
                </pic:pic>
              </a:graphicData>
            </a:graphic>
          </wp:inline>
        </w:drawing>
      </w:r>
    </w:p>
    <w:sectPr w:rsidR="00F02D9A" w:rsidRPr="005C64F1" w:rsidSect="00E56179">
      <w:pgSz w:w="12240" w:h="15840" w:code="1"/>
      <w:pgMar w:top="1440" w:right="1440" w:bottom="1440"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6E4BC060" w14:textId="77777777" w:rsidR="008E06A6" w:rsidRDefault="008E06A6" w:rsidP="002313B9">
      <w:r>
        <w:separator/>
      </w:r>
    </w:p>
    <w:p w14:paraId="6B20094D" w14:textId="77777777" w:rsidR="008E06A6" w:rsidRDefault="008E06A6"/>
  </w:endnote>
  <w:endnote w:type="continuationSeparator" w:id="0">
    <w:p w14:paraId="0D467123" w14:textId="77777777" w:rsidR="008E06A6" w:rsidRDefault="008E06A6" w:rsidP="002313B9">
      <w:r>
        <w:continuationSeparator/>
      </w:r>
    </w:p>
    <w:p w14:paraId="626F0F00" w14:textId="77777777" w:rsidR="008E06A6" w:rsidRDefault="008E06A6"/>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Arial">
    <w:panose1 w:val="020B0604020202020204"/>
    <w:charset w:val="00"/>
    <w:family w:val="swiss"/>
    <w:pitch w:val="variable"/>
    <w:sig w:usb0="E0002EFF" w:usb1="C000785B" w:usb2="00000009" w:usb3="00000000" w:csb0="000001FF" w:csb1="00000000"/>
  </w:font>
  <w:font w:name="Times">
    <w:panose1 w:val="02020603050405020304"/>
    <w:charset w:val="00"/>
    <w:family w:val="roman"/>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27DB66B" w14:textId="76CAC22D" w:rsidR="002F29AD" w:rsidRDefault="002F29AD">
    <w:pPr>
      <w:pStyle w:val="Piedepgina"/>
      <w:jc w:val="right"/>
    </w:pPr>
  </w:p>
  <w:p w14:paraId="6D4F061F" w14:textId="77777777" w:rsidR="002F29AD" w:rsidRDefault="002F29AD">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1464847913"/>
      <w:docPartObj>
        <w:docPartGallery w:val="Page Numbers (Bottom of Page)"/>
        <w:docPartUnique/>
      </w:docPartObj>
    </w:sdtPr>
    <w:sdtContent>
      <w:p w14:paraId="37E7501E" w14:textId="2118F40D" w:rsidR="002F29AD" w:rsidRDefault="002F29AD">
        <w:pPr>
          <w:pStyle w:val="Piedepgina"/>
          <w:jc w:val="right"/>
        </w:pPr>
        <w:r>
          <w:fldChar w:fldCharType="begin"/>
        </w:r>
        <w:r>
          <w:instrText>PAGE   \* MERGEFORMAT</w:instrText>
        </w:r>
        <w:r>
          <w:fldChar w:fldCharType="separate"/>
        </w:r>
        <w:r w:rsidR="00A900CC" w:rsidRPr="00A900CC">
          <w:rPr>
            <w:noProof/>
            <w:lang w:val="es-ES"/>
          </w:rPr>
          <w:t>20</w:t>
        </w:r>
        <w:r>
          <w:fldChar w:fldCharType="end"/>
        </w:r>
      </w:p>
    </w:sdtContent>
  </w:sdt>
  <w:p w14:paraId="3FF94EF6" w14:textId="77777777" w:rsidR="002F29AD" w:rsidRDefault="002F29AD">
    <w:pPr>
      <w:pStyle w:val="Piedepgin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368295968"/>
      <w:docPartObj>
        <w:docPartGallery w:val="Page Numbers (Bottom of Page)"/>
        <w:docPartUnique/>
      </w:docPartObj>
    </w:sdtPr>
    <w:sdtContent>
      <w:p w14:paraId="5D894BA5" w14:textId="0D35A5EC" w:rsidR="00E27301" w:rsidRDefault="00E27301">
        <w:pPr>
          <w:pStyle w:val="Piedepgina"/>
          <w:jc w:val="right"/>
        </w:pPr>
        <w:r>
          <w:fldChar w:fldCharType="begin"/>
        </w:r>
        <w:r>
          <w:instrText>PAGE   \* MERGEFORMAT</w:instrText>
        </w:r>
        <w:r>
          <w:fldChar w:fldCharType="separate"/>
        </w:r>
        <w:r w:rsidRPr="00A900CC">
          <w:rPr>
            <w:noProof/>
            <w:lang w:val="es-ES"/>
          </w:rPr>
          <w:t>20</w:t>
        </w:r>
        <w:r>
          <w:fldChar w:fldCharType="end"/>
        </w:r>
      </w:p>
    </w:sdtContent>
  </w:sdt>
  <w:p w14:paraId="7727D6C0" w14:textId="77777777" w:rsidR="00E27301" w:rsidRDefault="00E27301">
    <w:pPr>
      <w:pStyle w:val="Piedepgina"/>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1691870104"/>
      <w:docPartObj>
        <w:docPartGallery w:val="Page Numbers (Bottom of Page)"/>
        <w:docPartUnique/>
      </w:docPartObj>
    </w:sdtPr>
    <w:sdtContent>
      <w:p w14:paraId="5C264AEF" w14:textId="6764EE48" w:rsidR="00B754DE" w:rsidRDefault="00B754DE">
        <w:pPr>
          <w:pStyle w:val="Piedepgina"/>
          <w:jc w:val="right"/>
        </w:pPr>
        <w:r>
          <w:fldChar w:fldCharType="begin"/>
        </w:r>
        <w:r>
          <w:instrText>PAGE   \* MERGEFORMAT</w:instrText>
        </w:r>
        <w:r>
          <w:fldChar w:fldCharType="separate"/>
        </w:r>
        <w:r w:rsidRPr="00A900CC">
          <w:rPr>
            <w:noProof/>
            <w:lang w:val="es-ES"/>
          </w:rPr>
          <w:t>20</w:t>
        </w:r>
        <w:r>
          <w:fldChar w:fldCharType="end"/>
        </w:r>
      </w:p>
    </w:sdtContent>
  </w:sdt>
  <w:p w14:paraId="441598F4" w14:textId="77777777" w:rsidR="00B754DE" w:rsidRDefault="00B754DE">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47C62B25" w14:textId="77777777" w:rsidR="008E06A6" w:rsidRDefault="008E06A6" w:rsidP="002313B9">
      <w:r>
        <w:separator/>
      </w:r>
    </w:p>
    <w:p w14:paraId="18720A9C" w14:textId="77777777" w:rsidR="008E06A6" w:rsidRDefault="008E06A6"/>
  </w:footnote>
  <w:footnote w:type="continuationSeparator" w:id="0">
    <w:p w14:paraId="2D958482" w14:textId="77777777" w:rsidR="008E06A6" w:rsidRDefault="008E06A6" w:rsidP="002313B9">
      <w:r>
        <w:continuationSeparator/>
      </w:r>
    </w:p>
    <w:p w14:paraId="5C094638" w14:textId="77777777" w:rsidR="008E06A6" w:rsidRDefault="008E06A6"/>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3487FC3"/>
    <w:multiLevelType w:val="multilevel"/>
    <w:tmpl w:val="5B149A8C"/>
    <w:lvl w:ilvl="0">
      <w:start w:val="1"/>
      <w:numFmt w:val="decimal"/>
      <w:lvlText w:val="%1."/>
      <w:lvlJc w:val="left"/>
      <w:pPr>
        <w:tabs>
          <w:tab w:val="num" w:pos="720"/>
        </w:tabs>
        <w:ind w:left="720" w:hanging="360"/>
      </w:pPr>
    </w:lvl>
    <w:lvl w:ilvl="1">
      <w:start w:val="1"/>
      <w:numFmt w:val="bullet"/>
      <w:lvlText w:val=""/>
      <w:lvlJc w:val="left"/>
      <w:pPr>
        <w:tabs>
          <w:tab w:val="num" w:pos="1440"/>
        </w:tabs>
        <w:ind w:left="1440" w:hanging="360"/>
      </w:pPr>
      <w:rPr>
        <w:rFonts w:ascii="Symbol" w:hAnsi="Symbol"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07A90C21"/>
    <w:multiLevelType w:val="multilevel"/>
    <w:tmpl w:val="1CD0D07A"/>
    <w:lvl w:ilvl="0">
      <w:start w:val="3"/>
      <w:numFmt w:val="decimal"/>
      <w:lvlText w:val="%1."/>
      <w:lvlJc w:val="left"/>
      <w:pPr>
        <w:ind w:left="540" w:hanging="540"/>
      </w:pPr>
      <w:rPr>
        <w:rFonts w:hint="default"/>
      </w:rPr>
    </w:lvl>
    <w:lvl w:ilvl="1">
      <w:start w:val="1"/>
      <w:numFmt w:val="decimal"/>
      <w:lvlText w:val="%1.%2."/>
      <w:lvlJc w:val="left"/>
      <w:pPr>
        <w:ind w:left="540" w:hanging="540"/>
      </w:pPr>
      <w:rPr>
        <w:rFonts w:hint="default"/>
      </w:rPr>
    </w:lvl>
    <w:lvl w:ilvl="2">
      <w:start w:val="3"/>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 w15:restartNumberingAfterBreak="0">
    <w:nsid w:val="10DE4E5D"/>
    <w:multiLevelType w:val="hybridMultilevel"/>
    <w:tmpl w:val="0CC8D650"/>
    <w:lvl w:ilvl="0" w:tplc="480A0001">
      <w:start w:val="1"/>
      <w:numFmt w:val="bullet"/>
      <w:lvlText w:val=""/>
      <w:lvlJc w:val="left"/>
      <w:pPr>
        <w:ind w:left="720" w:hanging="360"/>
      </w:pPr>
      <w:rPr>
        <w:rFonts w:ascii="Symbol" w:hAnsi="Symbol" w:hint="default"/>
      </w:rPr>
    </w:lvl>
    <w:lvl w:ilvl="1" w:tplc="480A0003" w:tentative="1">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3" w15:restartNumberingAfterBreak="0">
    <w:nsid w:val="16206CC1"/>
    <w:multiLevelType w:val="hybridMultilevel"/>
    <w:tmpl w:val="139493E6"/>
    <w:lvl w:ilvl="0" w:tplc="480A0001">
      <w:start w:val="1"/>
      <w:numFmt w:val="bullet"/>
      <w:lvlText w:val=""/>
      <w:lvlJc w:val="left"/>
      <w:pPr>
        <w:ind w:left="720" w:hanging="360"/>
      </w:pPr>
      <w:rPr>
        <w:rFonts w:ascii="Symbol" w:hAnsi="Symbol" w:hint="default"/>
      </w:rPr>
    </w:lvl>
    <w:lvl w:ilvl="1" w:tplc="480A0003" w:tentative="1">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4" w15:restartNumberingAfterBreak="0">
    <w:nsid w:val="16335C8A"/>
    <w:multiLevelType w:val="hybridMultilevel"/>
    <w:tmpl w:val="B5D8A632"/>
    <w:lvl w:ilvl="0" w:tplc="480A0001">
      <w:start w:val="1"/>
      <w:numFmt w:val="bullet"/>
      <w:lvlText w:val=""/>
      <w:lvlJc w:val="left"/>
      <w:pPr>
        <w:ind w:left="720" w:hanging="360"/>
      </w:pPr>
      <w:rPr>
        <w:rFonts w:ascii="Symbol" w:hAnsi="Symbol" w:hint="default"/>
      </w:rPr>
    </w:lvl>
    <w:lvl w:ilvl="1" w:tplc="480A0003" w:tentative="1">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5" w15:restartNumberingAfterBreak="0">
    <w:nsid w:val="1A585D70"/>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15:restartNumberingAfterBreak="0">
    <w:nsid w:val="1B4B3BF9"/>
    <w:multiLevelType w:val="multilevel"/>
    <w:tmpl w:val="1B029E8E"/>
    <w:lvl w:ilvl="0">
      <w:start w:val="5"/>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7" w15:restartNumberingAfterBreak="0">
    <w:nsid w:val="1B803895"/>
    <w:multiLevelType w:val="hybridMultilevel"/>
    <w:tmpl w:val="6E8091B6"/>
    <w:lvl w:ilvl="0" w:tplc="480A0001">
      <w:start w:val="1"/>
      <w:numFmt w:val="bullet"/>
      <w:lvlText w:val=""/>
      <w:lvlJc w:val="left"/>
      <w:pPr>
        <w:ind w:left="1386" w:hanging="360"/>
      </w:pPr>
      <w:rPr>
        <w:rFonts w:ascii="Symbol" w:hAnsi="Symbol" w:hint="default"/>
      </w:rPr>
    </w:lvl>
    <w:lvl w:ilvl="1" w:tplc="480A0003" w:tentative="1">
      <w:start w:val="1"/>
      <w:numFmt w:val="bullet"/>
      <w:lvlText w:val="o"/>
      <w:lvlJc w:val="left"/>
      <w:pPr>
        <w:ind w:left="2106" w:hanging="360"/>
      </w:pPr>
      <w:rPr>
        <w:rFonts w:ascii="Courier New" w:hAnsi="Courier New" w:cs="Courier New" w:hint="default"/>
      </w:rPr>
    </w:lvl>
    <w:lvl w:ilvl="2" w:tplc="480A0005" w:tentative="1">
      <w:start w:val="1"/>
      <w:numFmt w:val="bullet"/>
      <w:lvlText w:val=""/>
      <w:lvlJc w:val="left"/>
      <w:pPr>
        <w:ind w:left="2826" w:hanging="360"/>
      </w:pPr>
      <w:rPr>
        <w:rFonts w:ascii="Wingdings" w:hAnsi="Wingdings" w:hint="default"/>
      </w:rPr>
    </w:lvl>
    <w:lvl w:ilvl="3" w:tplc="480A0001" w:tentative="1">
      <w:start w:val="1"/>
      <w:numFmt w:val="bullet"/>
      <w:lvlText w:val=""/>
      <w:lvlJc w:val="left"/>
      <w:pPr>
        <w:ind w:left="3546" w:hanging="360"/>
      </w:pPr>
      <w:rPr>
        <w:rFonts w:ascii="Symbol" w:hAnsi="Symbol" w:hint="default"/>
      </w:rPr>
    </w:lvl>
    <w:lvl w:ilvl="4" w:tplc="480A0003" w:tentative="1">
      <w:start w:val="1"/>
      <w:numFmt w:val="bullet"/>
      <w:lvlText w:val="o"/>
      <w:lvlJc w:val="left"/>
      <w:pPr>
        <w:ind w:left="4266" w:hanging="360"/>
      </w:pPr>
      <w:rPr>
        <w:rFonts w:ascii="Courier New" w:hAnsi="Courier New" w:cs="Courier New" w:hint="default"/>
      </w:rPr>
    </w:lvl>
    <w:lvl w:ilvl="5" w:tplc="480A0005" w:tentative="1">
      <w:start w:val="1"/>
      <w:numFmt w:val="bullet"/>
      <w:lvlText w:val=""/>
      <w:lvlJc w:val="left"/>
      <w:pPr>
        <w:ind w:left="4986" w:hanging="360"/>
      </w:pPr>
      <w:rPr>
        <w:rFonts w:ascii="Wingdings" w:hAnsi="Wingdings" w:hint="default"/>
      </w:rPr>
    </w:lvl>
    <w:lvl w:ilvl="6" w:tplc="480A0001" w:tentative="1">
      <w:start w:val="1"/>
      <w:numFmt w:val="bullet"/>
      <w:lvlText w:val=""/>
      <w:lvlJc w:val="left"/>
      <w:pPr>
        <w:ind w:left="5706" w:hanging="360"/>
      </w:pPr>
      <w:rPr>
        <w:rFonts w:ascii="Symbol" w:hAnsi="Symbol" w:hint="default"/>
      </w:rPr>
    </w:lvl>
    <w:lvl w:ilvl="7" w:tplc="480A0003" w:tentative="1">
      <w:start w:val="1"/>
      <w:numFmt w:val="bullet"/>
      <w:lvlText w:val="o"/>
      <w:lvlJc w:val="left"/>
      <w:pPr>
        <w:ind w:left="6426" w:hanging="360"/>
      </w:pPr>
      <w:rPr>
        <w:rFonts w:ascii="Courier New" w:hAnsi="Courier New" w:cs="Courier New" w:hint="default"/>
      </w:rPr>
    </w:lvl>
    <w:lvl w:ilvl="8" w:tplc="480A0005" w:tentative="1">
      <w:start w:val="1"/>
      <w:numFmt w:val="bullet"/>
      <w:lvlText w:val=""/>
      <w:lvlJc w:val="left"/>
      <w:pPr>
        <w:ind w:left="7146" w:hanging="360"/>
      </w:pPr>
      <w:rPr>
        <w:rFonts w:ascii="Wingdings" w:hAnsi="Wingdings" w:hint="default"/>
      </w:rPr>
    </w:lvl>
  </w:abstractNum>
  <w:abstractNum w:abstractNumId="8" w15:restartNumberingAfterBreak="0">
    <w:nsid w:val="1C2035E1"/>
    <w:multiLevelType w:val="multilevel"/>
    <w:tmpl w:val="5C88505C"/>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9" w15:restartNumberingAfterBreak="0">
    <w:nsid w:val="1D80725D"/>
    <w:multiLevelType w:val="hybridMultilevel"/>
    <w:tmpl w:val="E526A362"/>
    <w:lvl w:ilvl="0" w:tplc="480A0001">
      <w:start w:val="1"/>
      <w:numFmt w:val="bullet"/>
      <w:lvlText w:val=""/>
      <w:lvlJc w:val="left"/>
      <w:pPr>
        <w:ind w:left="720" w:hanging="360"/>
      </w:pPr>
      <w:rPr>
        <w:rFonts w:ascii="Symbol" w:hAnsi="Symbol" w:hint="default"/>
      </w:rPr>
    </w:lvl>
    <w:lvl w:ilvl="1" w:tplc="480A0003" w:tentative="1">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10" w15:restartNumberingAfterBreak="0">
    <w:nsid w:val="1ED513C7"/>
    <w:multiLevelType w:val="hybridMultilevel"/>
    <w:tmpl w:val="B7BC262A"/>
    <w:lvl w:ilvl="0" w:tplc="480A000F">
      <w:start w:val="1"/>
      <w:numFmt w:val="decimal"/>
      <w:lvlText w:val="%1."/>
      <w:lvlJc w:val="left"/>
      <w:pPr>
        <w:ind w:left="720" w:hanging="360"/>
      </w:pPr>
    </w:lvl>
    <w:lvl w:ilvl="1" w:tplc="480A0019" w:tentative="1">
      <w:start w:val="1"/>
      <w:numFmt w:val="lowerLetter"/>
      <w:lvlText w:val="%2."/>
      <w:lvlJc w:val="left"/>
      <w:pPr>
        <w:ind w:left="1440" w:hanging="360"/>
      </w:pPr>
    </w:lvl>
    <w:lvl w:ilvl="2" w:tplc="480A001B" w:tentative="1">
      <w:start w:val="1"/>
      <w:numFmt w:val="lowerRoman"/>
      <w:lvlText w:val="%3."/>
      <w:lvlJc w:val="right"/>
      <w:pPr>
        <w:ind w:left="2160" w:hanging="180"/>
      </w:pPr>
    </w:lvl>
    <w:lvl w:ilvl="3" w:tplc="480A000F" w:tentative="1">
      <w:start w:val="1"/>
      <w:numFmt w:val="decimal"/>
      <w:lvlText w:val="%4."/>
      <w:lvlJc w:val="left"/>
      <w:pPr>
        <w:ind w:left="2880" w:hanging="360"/>
      </w:pPr>
    </w:lvl>
    <w:lvl w:ilvl="4" w:tplc="480A0019" w:tentative="1">
      <w:start w:val="1"/>
      <w:numFmt w:val="lowerLetter"/>
      <w:lvlText w:val="%5."/>
      <w:lvlJc w:val="left"/>
      <w:pPr>
        <w:ind w:left="3600" w:hanging="360"/>
      </w:pPr>
    </w:lvl>
    <w:lvl w:ilvl="5" w:tplc="480A001B" w:tentative="1">
      <w:start w:val="1"/>
      <w:numFmt w:val="lowerRoman"/>
      <w:lvlText w:val="%6."/>
      <w:lvlJc w:val="right"/>
      <w:pPr>
        <w:ind w:left="4320" w:hanging="180"/>
      </w:pPr>
    </w:lvl>
    <w:lvl w:ilvl="6" w:tplc="480A000F" w:tentative="1">
      <w:start w:val="1"/>
      <w:numFmt w:val="decimal"/>
      <w:lvlText w:val="%7."/>
      <w:lvlJc w:val="left"/>
      <w:pPr>
        <w:ind w:left="5040" w:hanging="360"/>
      </w:pPr>
    </w:lvl>
    <w:lvl w:ilvl="7" w:tplc="480A0019" w:tentative="1">
      <w:start w:val="1"/>
      <w:numFmt w:val="lowerLetter"/>
      <w:lvlText w:val="%8."/>
      <w:lvlJc w:val="left"/>
      <w:pPr>
        <w:ind w:left="5760" w:hanging="360"/>
      </w:pPr>
    </w:lvl>
    <w:lvl w:ilvl="8" w:tplc="480A001B" w:tentative="1">
      <w:start w:val="1"/>
      <w:numFmt w:val="lowerRoman"/>
      <w:lvlText w:val="%9."/>
      <w:lvlJc w:val="right"/>
      <w:pPr>
        <w:ind w:left="6480" w:hanging="180"/>
      </w:pPr>
    </w:lvl>
  </w:abstractNum>
  <w:abstractNum w:abstractNumId="11" w15:restartNumberingAfterBreak="0">
    <w:nsid w:val="239C4905"/>
    <w:multiLevelType w:val="hybridMultilevel"/>
    <w:tmpl w:val="FA0A09C4"/>
    <w:lvl w:ilvl="0" w:tplc="480A0001">
      <w:start w:val="1"/>
      <w:numFmt w:val="bullet"/>
      <w:lvlText w:val=""/>
      <w:lvlJc w:val="left"/>
      <w:pPr>
        <w:ind w:left="720" w:hanging="360"/>
      </w:pPr>
      <w:rPr>
        <w:rFonts w:ascii="Symbol" w:hAnsi="Symbol" w:hint="default"/>
      </w:rPr>
    </w:lvl>
    <w:lvl w:ilvl="1" w:tplc="480A0003" w:tentative="1">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12" w15:restartNumberingAfterBreak="0">
    <w:nsid w:val="261A6422"/>
    <w:multiLevelType w:val="hybridMultilevel"/>
    <w:tmpl w:val="5B681C36"/>
    <w:lvl w:ilvl="0" w:tplc="AA5E4772">
      <w:start w:val="1"/>
      <w:numFmt w:val="decimal"/>
      <w:lvlText w:val="%1)"/>
      <w:lvlJc w:val="left"/>
      <w:pPr>
        <w:ind w:left="383" w:hanging="262"/>
      </w:pPr>
      <w:rPr>
        <w:rFonts w:ascii="Times New Roman" w:eastAsia="Times New Roman" w:hAnsi="Times New Roman" w:hint="default"/>
        <w:w w:val="99"/>
        <w:sz w:val="24"/>
        <w:szCs w:val="24"/>
      </w:rPr>
    </w:lvl>
    <w:lvl w:ilvl="1" w:tplc="70E80F78">
      <w:start w:val="1"/>
      <w:numFmt w:val="bullet"/>
      <w:lvlText w:val="•"/>
      <w:lvlJc w:val="left"/>
      <w:pPr>
        <w:ind w:left="1310" w:hanging="262"/>
      </w:pPr>
      <w:rPr>
        <w:rFonts w:hint="default"/>
      </w:rPr>
    </w:lvl>
    <w:lvl w:ilvl="2" w:tplc="ED6ABD80">
      <w:start w:val="1"/>
      <w:numFmt w:val="bullet"/>
      <w:lvlText w:val="•"/>
      <w:lvlJc w:val="left"/>
      <w:pPr>
        <w:ind w:left="2240" w:hanging="262"/>
      </w:pPr>
      <w:rPr>
        <w:rFonts w:hint="default"/>
      </w:rPr>
    </w:lvl>
    <w:lvl w:ilvl="3" w:tplc="5C5A3EFA">
      <w:start w:val="1"/>
      <w:numFmt w:val="bullet"/>
      <w:lvlText w:val="•"/>
      <w:lvlJc w:val="left"/>
      <w:pPr>
        <w:ind w:left="3170" w:hanging="262"/>
      </w:pPr>
      <w:rPr>
        <w:rFonts w:hint="default"/>
      </w:rPr>
    </w:lvl>
    <w:lvl w:ilvl="4" w:tplc="616CCDD6">
      <w:start w:val="1"/>
      <w:numFmt w:val="bullet"/>
      <w:lvlText w:val="•"/>
      <w:lvlJc w:val="left"/>
      <w:pPr>
        <w:ind w:left="4100" w:hanging="262"/>
      </w:pPr>
      <w:rPr>
        <w:rFonts w:hint="default"/>
      </w:rPr>
    </w:lvl>
    <w:lvl w:ilvl="5" w:tplc="0E56616A">
      <w:start w:val="1"/>
      <w:numFmt w:val="bullet"/>
      <w:lvlText w:val="•"/>
      <w:lvlJc w:val="left"/>
      <w:pPr>
        <w:ind w:left="5030" w:hanging="262"/>
      </w:pPr>
      <w:rPr>
        <w:rFonts w:hint="default"/>
      </w:rPr>
    </w:lvl>
    <w:lvl w:ilvl="6" w:tplc="82CAE104">
      <w:start w:val="1"/>
      <w:numFmt w:val="bullet"/>
      <w:lvlText w:val="•"/>
      <w:lvlJc w:val="left"/>
      <w:pPr>
        <w:ind w:left="5960" w:hanging="262"/>
      </w:pPr>
      <w:rPr>
        <w:rFonts w:hint="default"/>
      </w:rPr>
    </w:lvl>
    <w:lvl w:ilvl="7" w:tplc="E8D0EFF8">
      <w:start w:val="1"/>
      <w:numFmt w:val="bullet"/>
      <w:lvlText w:val="•"/>
      <w:lvlJc w:val="left"/>
      <w:pPr>
        <w:ind w:left="6890" w:hanging="262"/>
      </w:pPr>
      <w:rPr>
        <w:rFonts w:hint="default"/>
      </w:rPr>
    </w:lvl>
    <w:lvl w:ilvl="8" w:tplc="A67C68C2">
      <w:start w:val="1"/>
      <w:numFmt w:val="bullet"/>
      <w:lvlText w:val="•"/>
      <w:lvlJc w:val="left"/>
      <w:pPr>
        <w:ind w:left="7820" w:hanging="262"/>
      </w:pPr>
      <w:rPr>
        <w:rFonts w:hint="default"/>
      </w:rPr>
    </w:lvl>
  </w:abstractNum>
  <w:abstractNum w:abstractNumId="13" w15:restartNumberingAfterBreak="0">
    <w:nsid w:val="2C307525"/>
    <w:multiLevelType w:val="hybridMultilevel"/>
    <w:tmpl w:val="DF34708C"/>
    <w:lvl w:ilvl="0" w:tplc="480A0001">
      <w:start w:val="1"/>
      <w:numFmt w:val="bullet"/>
      <w:lvlText w:val=""/>
      <w:lvlJc w:val="left"/>
      <w:pPr>
        <w:ind w:left="1428" w:hanging="360"/>
      </w:pPr>
      <w:rPr>
        <w:rFonts w:ascii="Symbol" w:hAnsi="Symbol" w:hint="default"/>
      </w:rPr>
    </w:lvl>
    <w:lvl w:ilvl="1" w:tplc="480A0003" w:tentative="1">
      <w:start w:val="1"/>
      <w:numFmt w:val="bullet"/>
      <w:lvlText w:val="o"/>
      <w:lvlJc w:val="left"/>
      <w:pPr>
        <w:ind w:left="2148" w:hanging="360"/>
      </w:pPr>
      <w:rPr>
        <w:rFonts w:ascii="Courier New" w:hAnsi="Courier New" w:cs="Courier New" w:hint="default"/>
      </w:rPr>
    </w:lvl>
    <w:lvl w:ilvl="2" w:tplc="480A0005" w:tentative="1">
      <w:start w:val="1"/>
      <w:numFmt w:val="bullet"/>
      <w:lvlText w:val=""/>
      <w:lvlJc w:val="left"/>
      <w:pPr>
        <w:ind w:left="2868" w:hanging="360"/>
      </w:pPr>
      <w:rPr>
        <w:rFonts w:ascii="Wingdings" w:hAnsi="Wingdings" w:hint="default"/>
      </w:rPr>
    </w:lvl>
    <w:lvl w:ilvl="3" w:tplc="480A0001" w:tentative="1">
      <w:start w:val="1"/>
      <w:numFmt w:val="bullet"/>
      <w:lvlText w:val=""/>
      <w:lvlJc w:val="left"/>
      <w:pPr>
        <w:ind w:left="3588" w:hanging="360"/>
      </w:pPr>
      <w:rPr>
        <w:rFonts w:ascii="Symbol" w:hAnsi="Symbol" w:hint="default"/>
      </w:rPr>
    </w:lvl>
    <w:lvl w:ilvl="4" w:tplc="480A0003" w:tentative="1">
      <w:start w:val="1"/>
      <w:numFmt w:val="bullet"/>
      <w:lvlText w:val="o"/>
      <w:lvlJc w:val="left"/>
      <w:pPr>
        <w:ind w:left="4308" w:hanging="360"/>
      </w:pPr>
      <w:rPr>
        <w:rFonts w:ascii="Courier New" w:hAnsi="Courier New" w:cs="Courier New" w:hint="default"/>
      </w:rPr>
    </w:lvl>
    <w:lvl w:ilvl="5" w:tplc="480A0005" w:tentative="1">
      <w:start w:val="1"/>
      <w:numFmt w:val="bullet"/>
      <w:lvlText w:val=""/>
      <w:lvlJc w:val="left"/>
      <w:pPr>
        <w:ind w:left="5028" w:hanging="360"/>
      </w:pPr>
      <w:rPr>
        <w:rFonts w:ascii="Wingdings" w:hAnsi="Wingdings" w:hint="default"/>
      </w:rPr>
    </w:lvl>
    <w:lvl w:ilvl="6" w:tplc="480A0001" w:tentative="1">
      <w:start w:val="1"/>
      <w:numFmt w:val="bullet"/>
      <w:lvlText w:val=""/>
      <w:lvlJc w:val="left"/>
      <w:pPr>
        <w:ind w:left="5748" w:hanging="360"/>
      </w:pPr>
      <w:rPr>
        <w:rFonts w:ascii="Symbol" w:hAnsi="Symbol" w:hint="default"/>
      </w:rPr>
    </w:lvl>
    <w:lvl w:ilvl="7" w:tplc="480A0003" w:tentative="1">
      <w:start w:val="1"/>
      <w:numFmt w:val="bullet"/>
      <w:lvlText w:val="o"/>
      <w:lvlJc w:val="left"/>
      <w:pPr>
        <w:ind w:left="6468" w:hanging="360"/>
      </w:pPr>
      <w:rPr>
        <w:rFonts w:ascii="Courier New" w:hAnsi="Courier New" w:cs="Courier New" w:hint="default"/>
      </w:rPr>
    </w:lvl>
    <w:lvl w:ilvl="8" w:tplc="480A0005" w:tentative="1">
      <w:start w:val="1"/>
      <w:numFmt w:val="bullet"/>
      <w:lvlText w:val=""/>
      <w:lvlJc w:val="left"/>
      <w:pPr>
        <w:ind w:left="7188" w:hanging="360"/>
      </w:pPr>
      <w:rPr>
        <w:rFonts w:ascii="Wingdings" w:hAnsi="Wingdings" w:hint="default"/>
      </w:rPr>
    </w:lvl>
  </w:abstractNum>
  <w:abstractNum w:abstractNumId="14" w15:restartNumberingAfterBreak="0">
    <w:nsid w:val="2F755377"/>
    <w:multiLevelType w:val="hybridMultilevel"/>
    <w:tmpl w:val="47B09F5C"/>
    <w:lvl w:ilvl="0" w:tplc="480A0001">
      <w:start w:val="1"/>
      <w:numFmt w:val="bullet"/>
      <w:lvlText w:val=""/>
      <w:lvlJc w:val="left"/>
      <w:pPr>
        <w:ind w:left="1440" w:hanging="360"/>
      </w:pPr>
      <w:rPr>
        <w:rFonts w:ascii="Symbol" w:hAnsi="Symbol" w:hint="default"/>
      </w:rPr>
    </w:lvl>
    <w:lvl w:ilvl="1" w:tplc="480A0003" w:tentative="1">
      <w:start w:val="1"/>
      <w:numFmt w:val="bullet"/>
      <w:lvlText w:val="o"/>
      <w:lvlJc w:val="left"/>
      <w:pPr>
        <w:ind w:left="2160" w:hanging="360"/>
      </w:pPr>
      <w:rPr>
        <w:rFonts w:ascii="Courier New" w:hAnsi="Courier New" w:cs="Courier New" w:hint="default"/>
      </w:rPr>
    </w:lvl>
    <w:lvl w:ilvl="2" w:tplc="480A0005" w:tentative="1">
      <w:start w:val="1"/>
      <w:numFmt w:val="bullet"/>
      <w:lvlText w:val=""/>
      <w:lvlJc w:val="left"/>
      <w:pPr>
        <w:ind w:left="2880" w:hanging="360"/>
      </w:pPr>
      <w:rPr>
        <w:rFonts w:ascii="Wingdings" w:hAnsi="Wingdings" w:hint="default"/>
      </w:rPr>
    </w:lvl>
    <w:lvl w:ilvl="3" w:tplc="480A0001" w:tentative="1">
      <w:start w:val="1"/>
      <w:numFmt w:val="bullet"/>
      <w:lvlText w:val=""/>
      <w:lvlJc w:val="left"/>
      <w:pPr>
        <w:ind w:left="3600" w:hanging="360"/>
      </w:pPr>
      <w:rPr>
        <w:rFonts w:ascii="Symbol" w:hAnsi="Symbol" w:hint="default"/>
      </w:rPr>
    </w:lvl>
    <w:lvl w:ilvl="4" w:tplc="480A0003" w:tentative="1">
      <w:start w:val="1"/>
      <w:numFmt w:val="bullet"/>
      <w:lvlText w:val="o"/>
      <w:lvlJc w:val="left"/>
      <w:pPr>
        <w:ind w:left="4320" w:hanging="360"/>
      </w:pPr>
      <w:rPr>
        <w:rFonts w:ascii="Courier New" w:hAnsi="Courier New" w:cs="Courier New" w:hint="default"/>
      </w:rPr>
    </w:lvl>
    <w:lvl w:ilvl="5" w:tplc="480A0005" w:tentative="1">
      <w:start w:val="1"/>
      <w:numFmt w:val="bullet"/>
      <w:lvlText w:val=""/>
      <w:lvlJc w:val="left"/>
      <w:pPr>
        <w:ind w:left="5040" w:hanging="360"/>
      </w:pPr>
      <w:rPr>
        <w:rFonts w:ascii="Wingdings" w:hAnsi="Wingdings" w:hint="default"/>
      </w:rPr>
    </w:lvl>
    <w:lvl w:ilvl="6" w:tplc="480A0001" w:tentative="1">
      <w:start w:val="1"/>
      <w:numFmt w:val="bullet"/>
      <w:lvlText w:val=""/>
      <w:lvlJc w:val="left"/>
      <w:pPr>
        <w:ind w:left="5760" w:hanging="360"/>
      </w:pPr>
      <w:rPr>
        <w:rFonts w:ascii="Symbol" w:hAnsi="Symbol" w:hint="default"/>
      </w:rPr>
    </w:lvl>
    <w:lvl w:ilvl="7" w:tplc="480A0003" w:tentative="1">
      <w:start w:val="1"/>
      <w:numFmt w:val="bullet"/>
      <w:lvlText w:val="o"/>
      <w:lvlJc w:val="left"/>
      <w:pPr>
        <w:ind w:left="6480" w:hanging="360"/>
      </w:pPr>
      <w:rPr>
        <w:rFonts w:ascii="Courier New" w:hAnsi="Courier New" w:cs="Courier New" w:hint="default"/>
      </w:rPr>
    </w:lvl>
    <w:lvl w:ilvl="8" w:tplc="480A0005" w:tentative="1">
      <w:start w:val="1"/>
      <w:numFmt w:val="bullet"/>
      <w:lvlText w:val=""/>
      <w:lvlJc w:val="left"/>
      <w:pPr>
        <w:ind w:left="7200" w:hanging="360"/>
      </w:pPr>
      <w:rPr>
        <w:rFonts w:ascii="Wingdings" w:hAnsi="Wingdings" w:hint="default"/>
      </w:rPr>
    </w:lvl>
  </w:abstractNum>
  <w:abstractNum w:abstractNumId="15" w15:restartNumberingAfterBreak="0">
    <w:nsid w:val="334215CD"/>
    <w:multiLevelType w:val="hybridMultilevel"/>
    <w:tmpl w:val="0F129A08"/>
    <w:lvl w:ilvl="0" w:tplc="480A000F">
      <w:start w:val="1"/>
      <w:numFmt w:val="decimal"/>
      <w:lvlText w:val="%1."/>
      <w:lvlJc w:val="left"/>
      <w:pPr>
        <w:ind w:left="1440" w:hanging="360"/>
      </w:pPr>
    </w:lvl>
    <w:lvl w:ilvl="1" w:tplc="480A0019" w:tentative="1">
      <w:start w:val="1"/>
      <w:numFmt w:val="lowerLetter"/>
      <w:lvlText w:val="%2."/>
      <w:lvlJc w:val="left"/>
      <w:pPr>
        <w:ind w:left="2160" w:hanging="360"/>
      </w:pPr>
    </w:lvl>
    <w:lvl w:ilvl="2" w:tplc="480A001B" w:tentative="1">
      <w:start w:val="1"/>
      <w:numFmt w:val="lowerRoman"/>
      <w:lvlText w:val="%3."/>
      <w:lvlJc w:val="right"/>
      <w:pPr>
        <w:ind w:left="2880" w:hanging="180"/>
      </w:pPr>
    </w:lvl>
    <w:lvl w:ilvl="3" w:tplc="480A000F" w:tentative="1">
      <w:start w:val="1"/>
      <w:numFmt w:val="decimal"/>
      <w:lvlText w:val="%4."/>
      <w:lvlJc w:val="left"/>
      <w:pPr>
        <w:ind w:left="3600" w:hanging="360"/>
      </w:pPr>
    </w:lvl>
    <w:lvl w:ilvl="4" w:tplc="480A0019" w:tentative="1">
      <w:start w:val="1"/>
      <w:numFmt w:val="lowerLetter"/>
      <w:lvlText w:val="%5."/>
      <w:lvlJc w:val="left"/>
      <w:pPr>
        <w:ind w:left="4320" w:hanging="360"/>
      </w:pPr>
    </w:lvl>
    <w:lvl w:ilvl="5" w:tplc="480A001B" w:tentative="1">
      <w:start w:val="1"/>
      <w:numFmt w:val="lowerRoman"/>
      <w:lvlText w:val="%6."/>
      <w:lvlJc w:val="right"/>
      <w:pPr>
        <w:ind w:left="5040" w:hanging="180"/>
      </w:pPr>
    </w:lvl>
    <w:lvl w:ilvl="6" w:tplc="480A000F" w:tentative="1">
      <w:start w:val="1"/>
      <w:numFmt w:val="decimal"/>
      <w:lvlText w:val="%7."/>
      <w:lvlJc w:val="left"/>
      <w:pPr>
        <w:ind w:left="5760" w:hanging="360"/>
      </w:pPr>
    </w:lvl>
    <w:lvl w:ilvl="7" w:tplc="480A0019" w:tentative="1">
      <w:start w:val="1"/>
      <w:numFmt w:val="lowerLetter"/>
      <w:lvlText w:val="%8."/>
      <w:lvlJc w:val="left"/>
      <w:pPr>
        <w:ind w:left="6480" w:hanging="360"/>
      </w:pPr>
    </w:lvl>
    <w:lvl w:ilvl="8" w:tplc="480A001B" w:tentative="1">
      <w:start w:val="1"/>
      <w:numFmt w:val="lowerRoman"/>
      <w:lvlText w:val="%9."/>
      <w:lvlJc w:val="right"/>
      <w:pPr>
        <w:ind w:left="7200" w:hanging="180"/>
      </w:pPr>
    </w:lvl>
  </w:abstractNum>
  <w:abstractNum w:abstractNumId="16" w15:restartNumberingAfterBreak="0">
    <w:nsid w:val="334641CA"/>
    <w:multiLevelType w:val="multilevel"/>
    <w:tmpl w:val="522003F6"/>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7" w15:restartNumberingAfterBreak="0">
    <w:nsid w:val="436775C8"/>
    <w:multiLevelType w:val="hybridMultilevel"/>
    <w:tmpl w:val="9DB0D478"/>
    <w:lvl w:ilvl="0" w:tplc="480A000B">
      <w:start w:val="1"/>
      <w:numFmt w:val="bullet"/>
      <w:lvlText w:val=""/>
      <w:lvlJc w:val="left"/>
      <w:pPr>
        <w:ind w:left="720" w:hanging="360"/>
      </w:pPr>
      <w:rPr>
        <w:rFonts w:ascii="Wingdings" w:hAnsi="Wingdings" w:hint="default"/>
      </w:rPr>
    </w:lvl>
    <w:lvl w:ilvl="1" w:tplc="480A0003" w:tentative="1">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18" w15:restartNumberingAfterBreak="0">
    <w:nsid w:val="4908697D"/>
    <w:multiLevelType w:val="hybridMultilevel"/>
    <w:tmpl w:val="A51A7062"/>
    <w:lvl w:ilvl="0" w:tplc="480A000F">
      <w:start w:val="1"/>
      <w:numFmt w:val="decimal"/>
      <w:lvlText w:val="%1."/>
      <w:lvlJc w:val="left"/>
      <w:pPr>
        <w:ind w:left="720" w:hanging="360"/>
      </w:pPr>
      <w:rPr>
        <w:rFonts w:hint="default"/>
      </w:rPr>
    </w:lvl>
    <w:lvl w:ilvl="1" w:tplc="480A0019" w:tentative="1">
      <w:start w:val="1"/>
      <w:numFmt w:val="lowerLetter"/>
      <w:lvlText w:val="%2."/>
      <w:lvlJc w:val="left"/>
      <w:pPr>
        <w:ind w:left="1440" w:hanging="360"/>
      </w:pPr>
    </w:lvl>
    <w:lvl w:ilvl="2" w:tplc="480A001B" w:tentative="1">
      <w:start w:val="1"/>
      <w:numFmt w:val="lowerRoman"/>
      <w:lvlText w:val="%3."/>
      <w:lvlJc w:val="right"/>
      <w:pPr>
        <w:ind w:left="2160" w:hanging="180"/>
      </w:pPr>
    </w:lvl>
    <w:lvl w:ilvl="3" w:tplc="480A000F" w:tentative="1">
      <w:start w:val="1"/>
      <w:numFmt w:val="decimal"/>
      <w:lvlText w:val="%4."/>
      <w:lvlJc w:val="left"/>
      <w:pPr>
        <w:ind w:left="2880" w:hanging="360"/>
      </w:pPr>
    </w:lvl>
    <w:lvl w:ilvl="4" w:tplc="480A0019" w:tentative="1">
      <w:start w:val="1"/>
      <w:numFmt w:val="lowerLetter"/>
      <w:lvlText w:val="%5."/>
      <w:lvlJc w:val="left"/>
      <w:pPr>
        <w:ind w:left="3600" w:hanging="360"/>
      </w:pPr>
    </w:lvl>
    <w:lvl w:ilvl="5" w:tplc="480A001B" w:tentative="1">
      <w:start w:val="1"/>
      <w:numFmt w:val="lowerRoman"/>
      <w:lvlText w:val="%6."/>
      <w:lvlJc w:val="right"/>
      <w:pPr>
        <w:ind w:left="4320" w:hanging="180"/>
      </w:pPr>
    </w:lvl>
    <w:lvl w:ilvl="6" w:tplc="480A000F" w:tentative="1">
      <w:start w:val="1"/>
      <w:numFmt w:val="decimal"/>
      <w:lvlText w:val="%7."/>
      <w:lvlJc w:val="left"/>
      <w:pPr>
        <w:ind w:left="5040" w:hanging="360"/>
      </w:pPr>
    </w:lvl>
    <w:lvl w:ilvl="7" w:tplc="480A0019" w:tentative="1">
      <w:start w:val="1"/>
      <w:numFmt w:val="lowerLetter"/>
      <w:lvlText w:val="%8."/>
      <w:lvlJc w:val="left"/>
      <w:pPr>
        <w:ind w:left="5760" w:hanging="360"/>
      </w:pPr>
    </w:lvl>
    <w:lvl w:ilvl="8" w:tplc="480A001B" w:tentative="1">
      <w:start w:val="1"/>
      <w:numFmt w:val="lowerRoman"/>
      <w:lvlText w:val="%9."/>
      <w:lvlJc w:val="right"/>
      <w:pPr>
        <w:ind w:left="6480" w:hanging="180"/>
      </w:pPr>
    </w:lvl>
  </w:abstractNum>
  <w:abstractNum w:abstractNumId="19" w15:restartNumberingAfterBreak="0">
    <w:nsid w:val="49B32F73"/>
    <w:multiLevelType w:val="hybridMultilevel"/>
    <w:tmpl w:val="0F64F674"/>
    <w:lvl w:ilvl="0" w:tplc="480A0001">
      <w:start w:val="1"/>
      <w:numFmt w:val="bullet"/>
      <w:lvlText w:val=""/>
      <w:lvlJc w:val="left"/>
      <w:pPr>
        <w:ind w:left="720" w:hanging="360"/>
      </w:pPr>
      <w:rPr>
        <w:rFonts w:ascii="Symbol" w:hAnsi="Symbol" w:hint="default"/>
      </w:rPr>
    </w:lvl>
    <w:lvl w:ilvl="1" w:tplc="480A0003" w:tentative="1">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20" w15:restartNumberingAfterBreak="0">
    <w:nsid w:val="4DC713FD"/>
    <w:multiLevelType w:val="hybridMultilevel"/>
    <w:tmpl w:val="0C30F7D6"/>
    <w:lvl w:ilvl="0" w:tplc="480A000F">
      <w:start w:val="1"/>
      <w:numFmt w:val="decimal"/>
      <w:lvlText w:val="%1."/>
      <w:lvlJc w:val="left"/>
      <w:pPr>
        <w:ind w:left="720" w:hanging="360"/>
      </w:pPr>
    </w:lvl>
    <w:lvl w:ilvl="1" w:tplc="480A0019" w:tentative="1">
      <w:start w:val="1"/>
      <w:numFmt w:val="lowerLetter"/>
      <w:lvlText w:val="%2."/>
      <w:lvlJc w:val="left"/>
      <w:pPr>
        <w:ind w:left="1440" w:hanging="360"/>
      </w:pPr>
    </w:lvl>
    <w:lvl w:ilvl="2" w:tplc="480A001B" w:tentative="1">
      <w:start w:val="1"/>
      <w:numFmt w:val="lowerRoman"/>
      <w:lvlText w:val="%3."/>
      <w:lvlJc w:val="right"/>
      <w:pPr>
        <w:ind w:left="2160" w:hanging="180"/>
      </w:pPr>
    </w:lvl>
    <w:lvl w:ilvl="3" w:tplc="480A000F" w:tentative="1">
      <w:start w:val="1"/>
      <w:numFmt w:val="decimal"/>
      <w:lvlText w:val="%4."/>
      <w:lvlJc w:val="left"/>
      <w:pPr>
        <w:ind w:left="2880" w:hanging="360"/>
      </w:pPr>
    </w:lvl>
    <w:lvl w:ilvl="4" w:tplc="480A0019" w:tentative="1">
      <w:start w:val="1"/>
      <w:numFmt w:val="lowerLetter"/>
      <w:lvlText w:val="%5."/>
      <w:lvlJc w:val="left"/>
      <w:pPr>
        <w:ind w:left="3600" w:hanging="360"/>
      </w:pPr>
    </w:lvl>
    <w:lvl w:ilvl="5" w:tplc="480A001B" w:tentative="1">
      <w:start w:val="1"/>
      <w:numFmt w:val="lowerRoman"/>
      <w:lvlText w:val="%6."/>
      <w:lvlJc w:val="right"/>
      <w:pPr>
        <w:ind w:left="4320" w:hanging="180"/>
      </w:pPr>
    </w:lvl>
    <w:lvl w:ilvl="6" w:tplc="480A000F" w:tentative="1">
      <w:start w:val="1"/>
      <w:numFmt w:val="decimal"/>
      <w:lvlText w:val="%7."/>
      <w:lvlJc w:val="left"/>
      <w:pPr>
        <w:ind w:left="5040" w:hanging="360"/>
      </w:pPr>
    </w:lvl>
    <w:lvl w:ilvl="7" w:tplc="480A0019" w:tentative="1">
      <w:start w:val="1"/>
      <w:numFmt w:val="lowerLetter"/>
      <w:lvlText w:val="%8."/>
      <w:lvlJc w:val="left"/>
      <w:pPr>
        <w:ind w:left="5760" w:hanging="360"/>
      </w:pPr>
    </w:lvl>
    <w:lvl w:ilvl="8" w:tplc="480A001B" w:tentative="1">
      <w:start w:val="1"/>
      <w:numFmt w:val="lowerRoman"/>
      <w:lvlText w:val="%9."/>
      <w:lvlJc w:val="right"/>
      <w:pPr>
        <w:ind w:left="6480" w:hanging="180"/>
      </w:pPr>
    </w:lvl>
  </w:abstractNum>
  <w:abstractNum w:abstractNumId="21" w15:restartNumberingAfterBreak="0">
    <w:nsid w:val="579E23BA"/>
    <w:multiLevelType w:val="multilevel"/>
    <w:tmpl w:val="8B80233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2" w15:restartNumberingAfterBreak="0">
    <w:nsid w:val="57DC6058"/>
    <w:multiLevelType w:val="multilevel"/>
    <w:tmpl w:val="94C258B4"/>
    <w:lvl w:ilvl="0">
      <w:start w:val="3"/>
      <w:numFmt w:val="decimal"/>
      <w:lvlText w:val="%1."/>
      <w:lvlJc w:val="left"/>
      <w:pPr>
        <w:ind w:left="360" w:hanging="360"/>
      </w:pPr>
      <w:rPr>
        <w:rFonts w:hint="default"/>
      </w:rPr>
    </w:lvl>
    <w:lvl w:ilvl="1">
      <w:start w:val="5"/>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3" w15:restartNumberingAfterBreak="0">
    <w:nsid w:val="58D2434C"/>
    <w:multiLevelType w:val="hybridMultilevel"/>
    <w:tmpl w:val="E618D266"/>
    <w:lvl w:ilvl="0" w:tplc="480A000F">
      <w:start w:val="1"/>
      <w:numFmt w:val="decimal"/>
      <w:lvlText w:val="%1."/>
      <w:lvlJc w:val="left"/>
      <w:pPr>
        <w:ind w:left="720" w:hanging="360"/>
      </w:pPr>
    </w:lvl>
    <w:lvl w:ilvl="1" w:tplc="480A0019" w:tentative="1">
      <w:start w:val="1"/>
      <w:numFmt w:val="lowerLetter"/>
      <w:lvlText w:val="%2."/>
      <w:lvlJc w:val="left"/>
      <w:pPr>
        <w:ind w:left="1440" w:hanging="360"/>
      </w:pPr>
    </w:lvl>
    <w:lvl w:ilvl="2" w:tplc="480A001B" w:tentative="1">
      <w:start w:val="1"/>
      <w:numFmt w:val="lowerRoman"/>
      <w:lvlText w:val="%3."/>
      <w:lvlJc w:val="right"/>
      <w:pPr>
        <w:ind w:left="2160" w:hanging="180"/>
      </w:pPr>
    </w:lvl>
    <w:lvl w:ilvl="3" w:tplc="480A000F" w:tentative="1">
      <w:start w:val="1"/>
      <w:numFmt w:val="decimal"/>
      <w:lvlText w:val="%4."/>
      <w:lvlJc w:val="left"/>
      <w:pPr>
        <w:ind w:left="2880" w:hanging="360"/>
      </w:pPr>
    </w:lvl>
    <w:lvl w:ilvl="4" w:tplc="480A0019" w:tentative="1">
      <w:start w:val="1"/>
      <w:numFmt w:val="lowerLetter"/>
      <w:lvlText w:val="%5."/>
      <w:lvlJc w:val="left"/>
      <w:pPr>
        <w:ind w:left="3600" w:hanging="360"/>
      </w:pPr>
    </w:lvl>
    <w:lvl w:ilvl="5" w:tplc="480A001B" w:tentative="1">
      <w:start w:val="1"/>
      <w:numFmt w:val="lowerRoman"/>
      <w:lvlText w:val="%6."/>
      <w:lvlJc w:val="right"/>
      <w:pPr>
        <w:ind w:left="4320" w:hanging="180"/>
      </w:pPr>
    </w:lvl>
    <w:lvl w:ilvl="6" w:tplc="480A000F" w:tentative="1">
      <w:start w:val="1"/>
      <w:numFmt w:val="decimal"/>
      <w:lvlText w:val="%7."/>
      <w:lvlJc w:val="left"/>
      <w:pPr>
        <w:ind w:left="5040" w:hanging="360"/>
      </w:pPr>
    </w:lvl>
    <w:lvl w:ilvl="7" w:tplc="480A0019" w:tentative="1">
      <w:start w:val="1"/>
      <w:numFmt w:val="lowerLetter"/>
      <w:lvlText w:val="%8."/>
      <w:lvlJc w:val="left"/>
      <w:pPr>
        <w:ind w:left="5760" w:hanging="360"/>
      </w:pPr>
    </w:lvl>
    <w:lvl w:ilvl="8" w:tplc="480A001B" w:tentative="1">
      <w:start w:val="1"/>
      <w:numFmt w:val="lowerRoman"/>
      <w:lvlText w:val="%9."/>
      <w:lvlJc w:val="right"/>
      <w:pPr>
        <w:ind w:left="6480" w:hanging="180"/>
      </w:pPr>
    </w:lvl>
  </w:abstractNum>
  <w:abstractNum w:abstractNumId="24" w15:restartNumberingAfterBreak="0">
    <w:nsid w:val="5A9020CE"/>
    <w:multiLevelType w:val="multilevel"/>
    <w:tmpl w:val="6CFA13F8"/>
    <w:lvl w:ilvl="0">
      <w:start w:val="3"/>
      <w:numFmt w:val="decimal"/>
      <w:lvlText w:val="%1."/>
      <w:lvlJc w:val="left"/>
      <w:pPr>
        <w:ind w:left="540" w:hanging="540"/>
      </w:pPr>
      <w:rPr>
        <w:rFonts w:hint="default"/>
      </w:rPr>
    </w:lvl>
    <w:lvl w:ilvl="1">
      <w:start w:val="3"/>
      <w:numFmt w:val="decimal"/>
      <w:lvlText w:val="%1.%2."/>
      <w:lvlJc w:val="left"/>
      <w:pPr>
        <w:ind w:left="540" w:hanging="54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5" w15:restartNumberingAfterBreak="0">
    <w:nsid w:val="5E4A1728"/>
    <w:multiLevelType w:val="multilevel"/>
    <w:tmpl w:val="1458E614"/>
    <w:lvl w:ilvl="0">
      <w:start w:val="2"/>
      <w:numFmt w:val="decimal"/>
      <w:lvlText w:val="%1."/>
      <w:lvlJc w:val="left"/>
      <w:pPr>
        <w:ind w:left="540" w:hanging="540"/>
      </w:pPr>
      <w:rPr>
        <w:rFonts w:hint="default"/>
      </w:rPr>
    </w:lvl>
    <w:lvl w:ilvl="1">
      <w:start w:val="3"/>
      <w:numFmt w:val="decimal"/>
      <w:lvlText w:val="%1.%2."/>
      <w:lvlJc w:val="left"/>
      <w:pPr>
        <w:ind w:left="540" w:hanging="54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6" w15:restartNumberingAfterBreak="0">
    <w:nsid w:val="5E965961"/>
    <w:multiLevelType w:val="hybridMultilevel"/>
    <w:tmpl w:val="3AC06AD4"/>
    <w:lvl w:ilvl="0" w:tplc="480A0001">
      <w:start w:val="1"/>
      <w:numFmt w:val="bullet"/>
      <w:lvlText w:val=""/>
      <w:lvlJc w:val="left"/>
      <w:pPr>
        <w:ind w:left="720" w:hanging="360"/>
      </w:pPr>
      <w:rPr>
        <w:rFonts w:ascii="Symbol" w:hAnsi="Symbol" w:hint="default"/>
      </w:rPr>
    </w:lvl>
    <w:lvl w:ilvl="1" w:tplc="480A0003" w:tentative="1">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27" w15:restartNumberingAfterBreak="0">
    <w:nsid w:val="61607111"/>
    <w:multiLevelType w:val="multilevel"/>
    <w:tmpl w:val="FF309D60"/>
    <w:lvl w:ilvl="0">
      <w:start w:val="1"/>
      <w:numFmt w:val="decimal"/>
      <w:lvlText w:val="%1."/>
      <w:lvlJc w:val="left"/>
      <w:pPr>
        <w:ind w:left="720" w:hanging="360"/>
      </w:pPr>
    </w:lvl>
    <w:lvl w:ilvl="1">
      <w:start w:val="4"/>
      <w:numFmt w:val="decimal"/>
      <w:isLgl/>
      <w:lvlText w:val="%1.%2."/>
      <w:lvlJc w:val="left"/>
      <w:pPr>
        <w:ind w:left="1245" w:hanging="765"/>
      </w:pPr>
      <w:rPr>
        <w:rFonts w:hint="default"/>
      </w:rPr>
    </w:lvl>
    <w:lvl w:ilvl="2">
      <w:start w:val="2"/>
      <w:numFmt w:val="decimal"/>
      <w:isLgl/>
      <w:lvlText w:val="%1.%2.%3."/>
      <w:lvlJc w:val="left"/>
      <w:pPr>
        <w:ind w:left="1365" w:hanging="765"/>
      </w:pPr>
      <w:rPr>
        <w:rFonts w:hint="default"/>
      </w:rPr>
    </w:lvl>
    <w:lvl w:ilvl="3">
      <w:start w:val="1"/>
      <w:numFmt w:val="decimal"/>
      <w:isLgl/>
      <w:lvlText w:val="%1.%2.%3.%4."/>
      <w:lvlJc w:val="left"/>
      <w:pPr>
        <w:ind w:left="1485" w:hanging="765"/>
      </w:pPr>
      <w:rPr>
        <w:rFonts w:hint="default"/>
      </w:rPr>
    </w:lvl>
    <w:lvl w:ilvl="4">
      <w:start w:val="1"/>
      <w:numFmt w:val="decimal"/>
      <w:isLgl/>
      <w:lvlText w:val="%1.%2.%3.%4.%5."/>
      <w:lvlJc w:val="left"/>
      <w:pPr>
        <w:ind w:left="1920" w:hanging="1080"/>
      </w:pPr>
      <w:rPr>
        <w:rFonts w:hint="default"/>
      </w:rPr>
    </w:lvl>
    <w:lvl w:ilvl="5">
      <w:start w:val="1"/>
      <w:numFmt w:val="decimal"/>
      <w:isLgl/>
      <w:lvlText w:val="%1.%2.%3.%4.%5.%6."/>
      <w:lvlJc w:val="left"/>
      <w:pPr>
        <w:ind w:left="2040" w:hanging="1080"/>
      </w:pPr>
      <w:rPr>
        <w:rFonts w:hint="default"/>
      </w:rPr>
    </w:lvl>
    <w:lvl w:ilvl="6">
      <w:start w:val="1"/>
      <w:numFmt w:val="decimal"/>
      <w:isLgl/>
      <w:lvlText w:val="%1.%2.%3.%4.%5.%6.%7."/>
      <w:lvlJc w:val="left"/>
      <w:pPr>
        <w:ind w:left="2520" w:hanging="1440"/>
      </w:pPr>
      <w:rPr>
        <w:rFonts w:hint="default"/>
      </w:rPr>
    </w:lvl>
    <w:lvl w:ilvl="7">
      <w:start w:val="1"/>
      <w:numFmt w:val="decimal"/>
      <w:isLgl/>
      <w:lvlText w:val="%1.%2.%3.%4.%5.%6.%7.%8."/>
      <w:lvlJc w:val="left"/>
      <w:pPr>
        <w:ind w:left="2640" w:hanging="1440"/>
      </w:pPr>
      <w:rPr>
        <w:rFonts w:hint="default"/>
      </w:rPr>
    </w:lvl>
    <w:lvl w:ilvl="8">
      <w:start w:val="1"/>
      <w:numFmt w:val="decimal"/>
      <w:isLgl/>
      <w:lvlText w:val="%1.%2.%3.%4.%5.%6.%7.%8.%9."/>
      <w:lvlJc w:val="left"/>
      <w:pPr>
        <w:ind w:left="3120" w:hanging="1800"/>
      </w:pPr>
      <w:rPr>
        <w:rFonts w:hint="default"/>
      </w:rPr>
    </w:lvl>
  </w:abstractNum>
  <w:abstractNum w:abstractNumId="28" w15:restartNumberingAfterBreak="0">
    <w:nsid w:val="6A0C1396"/>
    <w:multiLevelType w:val="hybridMultilevel"/>
    <w:tmpl w:val="6C1A9CA4"/>
    <w:lvl w:ilvl="0" w:tplc="4E0C7776">
      <w:start w:val="1"/>
      <w:numFmt w:val="decimal"/>
      <w:lvlText w:val="%1)"/>
      <w:lvlJc w:val="left"/>
      <w:pPr>
        <w:ind w:left="1080" w:hanging="360"/>
      </w:pPr>
      <w:rPr>
        <w:rFonts w:hint="default"/>
      </w:rPr>
    </w:lvl>
    <w:lvl w:ilvl="1" w:tplc="580A0019" w:tentative="1">
      <w:start w:val="1"/>
      <w:numFmt w:val="lowerLetter"/>
      <w:lvlText w:val="%2."/>
      <w:lvlJc w:val="left"/>
      <w:pPr>
        <w:ind w:left="1800" w:hanging="360"/>
      </w:pPr>
    </w:lvl>
    <w:lvl w:ilvl="2" w:tplc="580A001B" w:tentative="1">
      <w:start w:val="1"/>
      <w:numFmt w:val="lowerRoman"/>
      <w:lvlText w:val="%3."/>
      <w:lvlJc w:val="right"/>
      <w:pPr>
        <w:ind w:left="2520" w:hanging="180"/>
      </w:pPr>
    </w:lvl>
    <w:lvl w:ilvl="3" w:tplc="580A000F" w:tentative="1">
      <w:start w:val="1"/>
      <w:numFmt w:val="decimal"/>
      <w:lvlText w:val="%4."/>
      <w:lvlJc w:val="left"/>
      <w:pPr>
        <w:ind w:left="3240" w:hanging="360"/>
      </w:pPr>
    </w:lvl>
    <w:lvl w:ilvl="4" w:tplc="580A0019" w:tentative="1">
      <w:start w:val="1"/>
      <w:numFmt w:val="lowerLetter"/>
      <w:lvlText w:val="%5."/>
      <w:lvlJc w:val="left"/>
      <w:pPr>
        <w:ind w:left="3960" w:hanging="360"/>
      </w:pPr>
    </w:lvl>
    <w:lvl w:ilvl="5" w:tplc="580A001B" w:tentative="1">
      <w:start w:val="1"/>
      <w:numFmt w:val="lowerRoman"/>
      <w:lvlText w:val="%6."/>
      <w:lvlJc w:val="right"/>
      <w:pPr>
        <w:ind w:left="4680" w:hanging="180"/>
      </w:pPr>
    </w:lvl>
    <w:lvl w:ilvl="6" w:tplc="580A000F" w:tentative="1">
      <w:start w:val="1"/>
      <w:numFmt w:val="decimal"/>
      <w:lvlText w:val="%7."/>
      <w:lvlJc w:val="left"/>
      <w:pPr>
        <w:ind w:left="5400" w:hanging="360"/>
      </w:pPr>
    </w:lvl>
    <w:lvl w:ilvl="7" w:tplc="580A0019" w:tentative="1">
      <w:start w:val="1"/>
      <w:numFmt w:val="lowerLetter"/>
      <w:lvlText w:val="%8."/>
      <w:lvlJc w:val="left"/>
      <w:pPr>
        <w:ind w:left="6120" w:hanging="360"/>
      </w:pPr>
    </w:lvl>
    <w:lvl w:ilvl="8" w:tplc="580A001B" w:tentative="1">
      <w:start w:val="1"/>
      <w:numFmt w:val="lowerRoman"/>
      <w:lvlText w:val="%9."/>
      <w:lvlJc w:val="right"/>
      <w:pPr>
        <w:ind w:left="6840" w:hanging="180"/>
      </w:pPr>
    </w:lvl>
  </w:abstractNum>
  <w:abstractNum w:abstractNumId="29" w15:restartNumberingAfterBreak="0">
    <w:nsid w:val="6AD83FB6"/>
    <w:multiLevelType w:val="hybridMultilevel"/>
    <w:tmpl w:val="EB863466"/>
    <w:lvl w:ilvl="0" w:tplc="480A0001">
      <w:start w:val="1"/>
      <w:numFmt w:val="bullet"/>
      <w:lvlText w:val=""/>
      <w:lvlJc w:val="left"/>
      <w:pPr>
        <w:ind w:left="720" w:hanging="360"/>
      </w:pPr>
      <w:rPr>
        <w:rFonts w:ascii="Symbol" w:hAnsi="Symbol" w:hint="default"/>
      </w:rPr>
    </w:lvl>
    <w:lvl w:ilvl="1" w:tplc="480A0003" w:tentative="1">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30" w15:restartNumberingAfterBreak="0">
    <w:nsid w:val="711042F2"/>
    <w:multiLevelType w:val="hybridMultilevel"/>
    <w:tmpl w:val="1B5AA3A4"/>
    <w:lvl w:ilvl="0" w:tplc="480A0001">
      <w:start w:val="1"/>
      <w:numFmt w:val="bullet"/>
      <w:lvlText w:val=""/>
      <w:lvlJc w:val="left"/>
      <w:pPr>
        <w:ind w:left="720" w:hanging="360"/>
      </w:pPr>
      <w:rPr>
        <w:rFonts w:ascii="Symbol" w:hAnsi="Symbol" w:hint="default"/>
      </w:rPr>
    </w:lvl>
    <w:lvl w:ilvl="1" w:tplc="480A0003" w:tentative="1">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31" w15:restartNumberingAfterBreak="0">
    <w:nsid w:val="71727BF8"/>
    <w:multiLevelType w:val="hybridMultilevel"/>
    <w:tmpl w:val="4E685E80"/>
    <w:lvl w:ilvl="0" w:tplc="480A0001">
      <w:start w:val="1"/>
      <w:numFmt w:val="bullet"/>
      <w:lvlText w:val=""/>
      <w:lvlJc w:val="left"/>
      <w:pPr>
        <w:ind w:left="720" w:hanging="360"/>
      </w:pPr>
      <w:rPr>
        <w:rFonts w:ascii="Symbol" w:hAnsi="Symbol" w:hint="default"/>
      </w:rPr>
    </w:lvl>
    <w:lvl w:ilvl="1" w:tplc="480A0003" w:tentative="1">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32" w15:restartNumberingAfterBreak="0">
    <w:nsid w:val="72C83164"/>
    <w:multiLevelType w:val="hybridMultilevel"/>
    <w:tmpl w:val="251034A6"/>
    <w:lvl w:ilvl="0" w:tplc="480A0001">
      <w:start w:val="1"/>
      <w:numFmt w:val="bullet"/>
      <w:lvlText w:val=""/>
      <w:lvlJc w:val="left"/>
      <w:pPr>
        <w:ind w:left="720" w:hanging="360"/>
      </w:pPr>
      <w:rPr>
        <w:rFonts w:ascii="Symbol" w:hAnsi="Symbol" w:hint="default"/>
      </w:rPr>
    </w:lvl>
    <w:lvl w:ilvl="1" w:tplc="480A0003" w:tentative="1">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33" w15:restartNumberingAfterBreak="0">
    <w:nsid w:val="75D83F7F"/>
    <w:multiLevelType w:val="multilevel"/>
    <w:tmpl w:val="63E0164C"/>
    <w:lvl w:ilvl="0">
      <w:start w:val="3"/>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num w:numId="1" w16cid:durableId="1356955236">
    <w:abstractNumId w:val="12"/>
  </w:num>
  <w:num w:numId="2" w16cid:durableId="1067411477">
    <w:abstractNumId w:val="16"/>
  </w:num>
  <w:num w:numId="3" w16cid:durableId="864516487">
    <w:abstractNumId w:val="14"/>
  </w:num>
  <w:num w:numId="4" w16cid:durableId="2029328611">
    <w:abstractNumId w:val="7"/>
  </w:num>
  <w:num w:numId="5" w16cid:durableId="997225122">
    <w:abstractNumId w:val="5"/>
  </w:num>
  <w:num w:numId="6" w16cid:durableId="383800744">
    <w:abstractNumId w:val="8"/>
  </w:num>
  <w:num w:numId="7" w16cid:durableId="454371986">
    <w:abstractNumId w:val="25"/>
  </w:num>
  <w:num w:numId="8" w16cid:durableId="2111465700">
    <w:abstractNumId w:val="1"/>
  </w:num>
  <w:num w:numId="9" w16cid:durableId="550507131">
    <w:abstractNumId w:val="24"/>
  </w:num>
  <w:num w:numId="10" w16cid:durableId="874776852">
    <w:abstractNumId w:val="6"/>
  </w:num>
  <w:num w:numId="11" w16cid:durableId="659308374">
    <w:abstractNumId w:val="33"/>
  </w:num>
  <w:num w:numId="12" w16cid:durableId="101269682">
    <w:abstractNumId w:val="22"/>
  </w:num>
  <w:num w:numId="13" w16cid:durableId="2110271167">
    <w:abstractNumId w:val="10"/>
  </w:num>
  <w:num w:numId="14" w16cid:durableId="1901669533">
    <w:abstractNumId w:val="17"/>
  </w:num>
  <w:num w:numId="15" w16cid:durableId="1751540509">
    <w:abstractNumId w:val="2"/>
  </w:num>
  <w:num w:numId="16" w16cid:durableId="736779102">
    <w:abstractNumId w:val="30"/>
  </w:num>
  <w:num w:numId="17" w16cid:durableId="1249999006">
    <w:abstractNumId w:val="9"/>
  </w:num>
  <w:num w:numId="18" w16cid:durableId="439883182">
    <w:abstractNumId w:val="26"/>
  </w:num>
  <w:num w:numId="19" w16cid:durableId="881942617">
    <w:abstractNumId w:val="31"/>
  </w:num>
  <w:num w:numId="20" w16cid:durableId="406414864">
    <w:abstractNumId w:val="28"/>
  </w:num>
  <w:num w:numId="21" w16cid:durableId="1283609708">
    <w:abstractNumId w:val="29"/>
  </w:num>
  <w:num w:numId="22" w16cid:durableId="2110276885">
    <w:abstractNumId w:val="32"/>
  </w:num>
  <w:num w:numId="23" w16cid:durableId="1833527343">
    <w:abstractNumId w:val="4"/>
  </w:num>
  <w:num w:numId="24" w16cid:durableId="1958415659">
    <w:abstractNumId w:val="23"/>
  </w:num>
  <w:num w:numId="25" w16cid:durableId="572542658">
    <w:abstractNumId w:val="11"/>
  </w:num>
  <w:num w:numId="26" w16cid:durableId="350618004">
    <w:abstractNumId w:val="19"/>
  </w:num>
  <w:num w:numId="27" w16cid:durableId="1274554799">
    <w:abstractNumId w:val="18"/>
  </w:num>
  <w:num w:numId="28" w16cid:durableId="1533882427">
    <w:abstractNumId w:val="3"/>
  </w:num>
  <w:num w:numId="29" w16cid:durableId="1161699634">
    <w:abstractNumId w:val="13"/>
  </w:num>
  <w:num w:numId="30" w16cid:durableId="833567960">
    <w:abstractNumId w:val="0"/>
  </w:num>
  <w:num w:numId="31" w16cid:durableId="1087265645">
    <w:abstractNumId w:val="21"/>
  </w:num>
  <w:num w:numId="32" w16cid:durableId="1253050039">
    <w:abstractNumId w:val="20"/>
  </w:num>
  <w:num w:numId="33" w16cid:durableId="529731383">
    <w:abstractNumId w:val="27"/>
  </w:num>
  <w:num w:numId="34" w16cid:durableId="911818043">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D5C9B"/>
    <w:rsid w:val="000017C3"/>
    <w:rsid w:val="00004BF0"/>
    <w:rsid w:val="00006E81"/>
    <w:rsid w:val="00010858"/>
    <w:rsid w:val="00010965"/>
    <w:rsid w:val="00011A9D"/>
    <w:rsid w:val="00011C92"/>
    <w:rsid w:val="0001218F"/>
    <w:rsid w:val="0001332C"/>
    <w:rsid w:val="000143FD"/>
    <w:rsid w:val="000174DD"/>
    <w:rsid w:val="00017A26"/>
    <w:rsid w:val="00020078"/>
    <w:rsid w:val="00023E27"/>
    <w:rsid w:val="000245A2"/>
    <w:rsid w:val="00025389"/>
    <w:rsid w:val="00033FAE"/>
    <w:rsid w:val="0004058D"/>
    <w:rsid w:val="00042453"/>
    <w:rsid w:val="00043715"/>
    <w:rsid w:val="000530B7"/>
    <w:rsid w:val="00053731"/>
    <w:rsid w:val="0005688F"/>
    <w:rsid w:val="00057D9F"/>
    <w:rsid w:val="00060B58"/>
    <w:rsid w:val="000611E2"/>
    <w:rsid w:val="00064AC6"/>
    <w:rsid w:val="000656F4"/>
    <w:rsid w:val="00065D71"/>
    <w:rsid w:val="00071E34"/>
    <w:rsid w:val="00074F3A"/>
    <w:rsid w:val="0007706C"/>
    <w:rsid w:val="00080242"/>
    <w:rsid w:val="0008172E"/>
    <w:rsid w:val="00083E8E"/>
    <w:rsid w:val="00084E01"/>
    <w:rsid w:val="00085903"/>
    <w:rsid w:val="00086703"/>
    <w:rsid w:val="0008691B"/>
    <w:rsid w:val="00087450"/>
    <w:rsid w:val="000917CF"/>
    <w:rsid w:val="00092237"/>
    <w:rsid w:val="000932CA"/>
    <w:rsid w:val="000937D3"/>
    <w:rsid w:val="00093A92"/>
    <w:rsid w:val="00094985"/>
    <w:rsid w:val="00094D56"/>
    <w:rsid w:val="00095E34"/>
    <w:rsid w:val="000A2B78"/>
    <w:rsid w:val="000A2BB8"/>
    <w:rsid w:val="000A3A8B"/>
    <w:rsid w:val="000A4165"/>
    <w:rsid w:val="000A4AD5"/>
    <w:rsid w:val="000A571F"/>
    <w:rsid w:val="000A7473"/>
    <w:rsid w:val="000A7605"/>
    <w:rsid w:val="000B17A2"/>
    <w:rsid w:val="000B1E21"/>
    <w:rsid w:val="000B4B2D"/>
    <w:rsid w:val="000C0959"/>
    <w:rsid w:val="000C1A25"/>
    <w:rsid w:val="000C1E0B"/>
    <w:rsid w:val="000C40F8"/>
    <w:rsid w:val="000C5C59"/>
    <w:rsid w:val="000D1738"/>
    <w:rsid w:val="000D1A6E"/>
    <w:rsid w:val="000D1C99"/>
    <w:rsid w:val="000D1C9B"/>
    <w:rsid w:val="000D6597"/>
    <w:rsid w:val="000D75DC"/>
    <w:rsid w:val="000D76EB"/>
    <w:rsid w:val="000D7C63"/>
    <w:rsid w:val="000E09E4"/>
    <w:rsid w:val="000E0BE4"/>
    <w:rsid w:val="000E166E"/>
    <w:rsid w:val="000E2A5D"/>
    <w:rsid w:val="000F486A"/>
    <w:rsid w:val="000F6563"/>
    <w:rsid w:val="000F6F4C"/>
    <w:rsid w:val="000F76FF"/>
    <w:rsid w:val="000F77D2"/>
    <w:rsid w:val="0010050B"/>
    <w:rsid w:val="00101CE4"/>
    <w:rsid w:val="001033CC"/>
    <w:rsid w:val="0010433A"/>
    <w:rsid w:val="001062F0"/>
    <w:rsid w:val="0010645D"/>
    <w:rsid w:val="00107429"/>
    <w:rsid w:val="00107668"/>
    <w:rsid w:val="00110714"/>
    <w:rsid w:val="001113C1"/>
    <w:rsid w:val="00123A08"/>
    <w:rsid w:val="0012424C"/>
    <w:rsid w:val="0012504C"/>
    <w:rsid w:val="001264D9"/>
    <w:rsid w:val="00130620"/>
    <w:rsid w:val="00144583"/>
    <w:rsid w:val="0014683D"/>
    <w:rsid w:val="00147F0F"/>
    <w:rsid w:val="001510F4"/>
    <w:rsid w:val="00151798"/>
    <w:rsid w:val="00152297"/>
    <w:rsid w:val="00154CF6"/>
    <w:rsid w:val="001577CD"/>
    <w:rsid w:val="00157E17"/>
    <w:rsid w:val="001639D9"/>
    <w:rsid w:val="00164039"/>
    <w:rsid w:val="00166343"/>
    <w:rsid w:val="00171F3D"/>
    <w:rsid w:val="0017270F"/>
    <w:rsid w:val="00172B0E"/>
    <w:rsid w:val="001732C7"/>
    <w:rsid w:val="00180F9A"/>
    <w:rsid w:val="0018133F"/>
    <w:rsid w:val="0018163E"/>
    <w:rsid w:val="00182D8C"/>
    <w:rsid w:val="00190067"/>
    <w:rsid w:val="001947F1"/>
    <w:rsid w:val="00195CA2"/>
    <w:rsid w:val="00195E89"/>
    <w:rsid w:val="00196D64"/>
    <w:rsid w:val="00196FB7"/>
    <w:rsid w:val="001A153D"/>
    <w:rsid w:val="001A2EA3"/>
    <w:rsid w:val="001A4EDE"/>
    <w:rsid w:val="001A6A8B"/>
    <w:rsid w:val="001B17F4"/>
    <w:rsid w:val="001B202F"/>
    <w:rsid w:val="001B22DF"/>
    <w:rsid w:val="001B369B"/>
    <w:rsid w:val="001B3F33"/>
    <w:rsid w:val="001B50B6"/>
    <w:rsid w:val="001B6830"/>
    <w:rsid w:val="001C002F"/>
    <w:rsid w:val="001C26FB"/>
    <w:rsid w:val="001C3484"/>
    <w:rsid w:val="001C3A72"/>
    <w:rsid w:val="001C4088"/>
    <w:rsid w:val="001C4805"/>
    <w:rsid w:val="001C4AFD"/>
    <w:rsid w:val="001C60DE"/>
    <w:rsid w:val="001C7852"/>
    <w:rsid w:val="001D0FF7"/>
    <w:rsid w:val="001D4D5E"/>
    <w:rsid w:val="001D706A"/>
    <w:rsid w:val="001E2585"/>
    <w:rsid w:val="001E32EB"/>
    <w:rsid w:val="001E3FCF"/>
    <w:rsid w:val="001E4EB3"/>
    <w:rsid w:val="001E5B6D"/>
    <w:rsid w:val="001E5F3B"/>
    <w:rsid w:val="001F1BE3"/>
    <w:rsid w:val="001F262B"/>
    <w:rsid w:val="001F37B0"/>
    <w:rsid w:val="001F3C67"/>
    <w:rsid w:val="001F6960"/>
    <w:rsid w:val="001F6CA1"/>
    <w:rsid w:val="001F6F8B"/>
    <w:rsid w:val="001F79C0"/>
    <w:rsid w:val="00202F71"/>
    <w:rsid w:val="00204BA7"/>
    <w:rsid w:val="00206FB8"/>
    <w:rsid w:val="00210E95"/>
    <w:rsid w:val="00211E86"/>
    <w:rsid w:val="00214642"/>
    <w:rsid w:val="00214ED3"/>
    <w:rsid w:val="0021570C"/>
    <w:rsid w:val="002175E2"/>
    <w:rsid w:val="00221F32"/>
    <w:rsid w:val="002251B5"/>
    <w:rsid w:val="00225526"/>
    <w:rsid w:val="00227446"/>
    <w:rsid w:val="002313B9"/>
    <w:rsid w:val="00234BF9"/>
    <w:rsid w:val="002365A6"/>
    <w:rsid w:val="002372CE"/>
    <w:rsid w:val="00242169"/>
    <w:rsid w:val="00243016"/>
    <w:rsid w:val="00244962"/>
    <w:rsid w:val="00245144"/>
    <w:rsid w:val="002458B6"/>
    <w:rsid w:val="00250CA0"/>
    <w:rsid w:val="00251978"/>
    <w:rsid w:val="00253A07"/>
    <w:rsid w:val="00254BC8"/>
    <w:rsid w:val="00254C51"/>
    <w:rsid w:val="00255585"/>
    <w:rsid w:val="002561CE"/>
    <w:rsid w:val="00256900"/>
    <w:rsid w:val="002572EF"/>
    <w:rsid w:val="00260FB9"/>
    <w:rsid w:val="0026638A"/>
    <w:rsid w:val="002727DB"/>
    <w:rsid w:val="00272B2F"/>
    <w:rsid w:val="002802BA"/>
    <w:rsid w:val="00280C28"/>
    <w:rsid w:val="002816F4"/>
    <w:rsid w:val="0028247A"/>
    <w:rsid w:val="00284ED1"/>
    <w:rsid w:val="0029033E"/>
    <w:rsid w:val="002920AA"/>
    <w:rsid w:val="00294C9A"/>
    <w:rsid w:val="00295A8F"/>
    <w:rsid w:val="002A218D"/>
    <w:rsid w:val="002A275D"/>
    <w:rsid w:val="002A32D6"/>
    <w:rsid w:val="002A4957"/>
    <w:rsid w:val="002A7A01"/>
    <w:rsid w:val="002A7CE2"/>
    <w:rsid w:val="002B0EDC"/>
    <w:rsid w:val="002B260C"/>
    <w:rsid w:val="002B6816"/>
    <w:rsid w:val="002C3B5B"/>
    <w:rsid w:val="002C65B6"/>
    <w:rsid w:val="002D17E8"/>
    <w:rsid w:val="002D48D3"/>
    <w:rsid w:val="002D627E"/>
    <w:rsid w:val="002E082E"/>
    <w:rsid w:val="002E46EC"/>
    <w:rsid w:val="002E595D"/>
    <w:rsid w:val="002E6D40"/>
    <w:rsid w:val="002E7DC3"/>
    <w:rsid w:val="002F0CFE"/>
    <w:rsid w:val="002F13A0"/>
    <w:rsid w:val="002F29AD"/>
    <w:rsid w:val="002F2F3B"/>
    <w:rsid w:val="002F329A"/>
    <w:rsid w:val="003020CC"/>
    <w:rsid w:val="00305742"/>
    <w:rsid w:val="00305A57"/>
    <w:rsid w:val="00311041"/>
    <w:rsid w:val="00312614"/>
    <w:rsid w:val="00312C37"/>
    <w:rsid w:val="00317D44"/>
    <w:rsid w:val="003230AA"/>
    <w:rsid w:val="0032480B"/>
    <w:rsid w:val="00325761"/>
    <w:rsid w:val="00325EFF"/>
    <w:rsid w:val="00326A31"/>
    <w:rsid w:val="00326B58"/>
    <w:rsid w:val="003302CE"/>
    <w:rsid w:val="003305EE"/>
    <w:rsid w:val="00330743"/>
    <w:rsid w:val="0033781C"/>
    <w:rsid w:val="00340C62"/>
    <w:rsid w:val="0034138C"/>
    <w:rsid w:val="00342E08"/>
    <w:rsid w:val="0034361D"/>
    <w:rsid w:val="003439BE"/>
    <w:rsid w:val="00346C5C"/>
    <w:rsid w:val="003471D6"/>
    <w:rsid w:val="00347CC2"/>
    <w:rsid w:val="00354FC7"/>
    <w:rsid w:val="003556FB"/>
    <w:rsid w:val="00362336"/>
    <w:rsid w:val="003642E0"/>
    <w:rsid w:val="0036496A"/>
    <w:rsid w:val="00367EA2"/>
    <w:rsid w:val="00370D3E"/>
    <w:rsid w:val="0037253C"/>
    <w:rsid w:val="0037457B"/>
    <w:rsid w:val="00375397"/>
    <w:rsid w:val="00376938"/>
    <w:rsid w:val="00380F67"/>
    <w:rsid w:val="003832B8"/>
    <w:rsid w:val="00383622"/>
    <w:rsid w:val="0039080D"/>
    <w:rsid w:val="00391E99"/>
    <w:rsid w:val="003931D8"/>
    <w:rsid w:val="003A1505"/>
    <w:rsid w:val="003A1FA5"/>
    <w:rsid w:val="003A2A7E"/>
    <w:rsid w:val="003B060A"/>
    <w:rsid w:val="003B3AC9"/>
    <w:rsid w:val="003B5C63"/>
    <w:rsid w:val="003B65E6"/>
    <w:rsid w:val="003C6157"/>
    <w:rsid w:val="003C6EA8"/>
    <w:rsid w:val="003D1F76"/>
    <w:rsid w:val="003D2CEA"/>
    <w:rsid w:val="003D4B0D"/>
    <w:rsid w:val="003D7307"/>
    <w:rsid w:val="003D78B8"/>
    <w:rsid w:val="003E09EF"/>
    <w:rsid w:val="003E1E85"/>
    <w:rsid w:val="003E2058"/>
    <w:rsid w:val="003E3D07"/>
    <w:rsid w:val="003E5E5E"/>
    <w:rsid w:val="003E6786"/>
    <w:rsid w:val="003E7358"/>
    <w:rsid w:val="003E780A"/>
    <w:rsid w:val="003F149D"/>
    <w:rsid w:val="003F15E6"/>
    <w:rsid w:val="003F3A8F"/>
    <w:rsid w:val="003F60B4"/>
    <w:rsid w:val="003F7B12"/>
    <w:rsid w:val="004000C0"/>
    <w:rsid w:val="00400A6C"/>
    <w:rsid w:val="00405B88"/>
    <w:rsid w:val="00407DD6"/>
    <w:rsid w:val="00413740"/>
    <w:rsid w:val="0041484C"/>
    <w:rsid w:val="004160FE"/>
    <w:rsid w:val="0042459D"/>
    <w:rsid w:val="00424F95"/>
    <w:rsid w:val="004319F4"/>
    <w:rsid w:val="00434A05"/>
    <w:rsid w:val="00437EB3"/>
    <w:rsid w:val="00451561"/>
    <w:rsid w:val="004536F8"/>
    <w:rsid w:val="0045537F"/>
    <w:rsid w:val="00456ED5"/>
    <w:rsid w:val="00457B0B"/>
    <w:rsid w:val="0046782A"/>
    <w:rsid w:val="00473B79"/>
    <w:rsid w:val="00475D2F"/>
    <w:rsid w:val="0047693E"/>
    <w:rsid w:val="004773B2"/>
    <w:rsid w:val="004851AF"/>
    <w:rsid w:val="00485398"/>
    <w:rsid w:val="00486233"/>
    <w:rsid w:val="00487CBA"/>
    <w:rsid w:val="00490444"/>
    <w:rsid w:val="0049160B"/>
    <w:rsid w:val="004918FD"/>
    <w:rsid w:val="00492F6D"/>
    <w:rsid w:val="00494DED"/>
    <w:rsid w:val="0049606F"/>
    <w:rsid w:val="00496A9B"/>
    <w:rsid w:val="004A008C"/>
    <w:rsid w:val="004A1A01"/>
    <w:rsid w:val="004A579E"/>
    <w:rsid w:val="004A65BF"/>
    <w:rsid w:val="004A677C"/>
    <w:rsid w:val="004A699E"/>
    <w:rsid w:val="004A74B5"/>
    <w:rsid w:val="004B051F"/>
    <w:rsid w:val="004B05DA"/>
    <w:rsid w:val="004B0DA0"/>
    <w:rsid w:val="004B287E"/>
    <w:rsid w:val="004B3DEF"/>
    <w:rsid w:val="004B467A"/>
    <w:rsid w:val="004B5D76"/>
    <w:rsid w:val="004B644C"/>
    <w:rsid w:val="004B7CB7"/>
    <w:rsid w:val="004C1518"/>
    <w:rsid w:val="004C33D3"/>
    <w:rsid w:val="004C4AFA"/>
    <w:rsid w:val="004C61BC"/>
    <w:rsid w:val="004C7AC3"/>
    <w:rsid w:val="004D17BE"/>
    <w:rsid w:val="004D2467"/>
    <w:rsid w:val="004D2D6F"/>
    <w:rsid w:val="004E38FD"/>
    <w:rsid w:val="004E7A03"/>
    <w:rsid w:val="004F0001"/>
    <w:rsid w:val="004F046E"/>
    <w:rsid w:val="004F0A2E"/>
    <w:rsid w:val="004F1D7E"/>
    <w:rsid w:val="004F41B8"/>
    <w:rsid w:val="004F4BBF"/>
    <w:rsid w:val="004F563A"/>
    <w:rsid w:val="004F5D36"/>
    <w:rsid w:val="004F708C"/>
    <w:rsid w:val="004F77E0"/>
    <w:rsid w:val="00501BBE"/>
    <w:rsid w:val="005065C1"/>
    <w:rsid w:val="00511048"/>
    <w:rsid w:val="00512638"/>
    <w:rsid w:val="005141F0"/>
    <w:rsid w:val="005148DA"/>
    <w:rsid w:val="00520216"/>
    <w:rsid w:val="005248C9"/>
    <w:rsid w:val="005271E2"/>
    <w:rsid w:val="00527BDF"/>
    <w:rsid w:val="005328D7"/>
    <w:rsid w:val="00532E2A"/>
    <w:rsid w:val="00533B00"/>
    <w:rsid w:val="00534AA0"/>
    <w:rsid w:val="005370D9"/>
    <w:rsid w:val="0053768D"/>
    <w:rsid w:val="00543B86"/>
    <w:rsid w:val="0054640B"/>
    <w:rsid w:val="00547E87"/>
    <w:rsid w:val="0055030F"/>
    <w:rsid w:val="00550C4E"/>
    <w:rsid w:val="00552804"/>
    <w:rsid w:val="005531DA"/>
    <w:rsid w:val="00553636"/>
    <w:rsid w:val="00553C8C"/>
    <w:rsid w:val="00555632"/>
    <w:rsid w:val="0055593E"/>
    <w:rsid w:val="005608B6"/>
    <w:rsid w:val="00561E75"/>
    <w:rsid w:val="00563424"/>
    <w:rsid w:val="005655D4"/>
    <w:rsid w:val="00566149"/>
    <w:rsid w:val="00571644"/>
    <w:rsid w:val="00571F41"/>
    <w:rsid w:val="005736BB"/>
    <w:rsid w:val="00576F53"/>
    <w:rsid w:val="005770A6"/>
    <w:rsid w:val="0058174F"/>
    <w:rsid w:val="00582FF0"/>
    <w:rsid w:val="00583F06"/>
    <w:rsid w:val="0058549F"/>
    <w:rsid w:val="00585B8A"/>
    <w:rsid w:val="00593FED"/>
    <w:rsid w:val="005973E5"/>
    <w:rsid w:val="005A272F"/>
    <w:rsid w:val="005A2A9E"/>
    <w:rsid w:val="005A56FD"/>
    <w:rsid w:val="005B334C"/>
    <w:rsid w:val="005B5742"/>
    <w:rsid w:val="005C0109"/>
    <w:rsid w:val="005C1989"/>
    <w:rsid w:val="005C2432"/>
    <w:rsid w:val="005C3F0A"/>
    <w:rsid w:val="005C64F1"/>
    <w:rsid w:val="005C6FA8"/>
    <w:rsid w:val="005D17BB"/>
    <w:rsid w:val="005D1CE8"/>
    <w:rsid w:val="005E281E"/>
    <w:rsid w:val="005E4B7D"/>
    <w:rsid w:val="005E6CAA"/>
    <w:rsid w:val="005F1692"/>
    <w:rsid w:val="005F191B"/>
    <w:rsid w:val="005F2D6D"/>
    <w:rsid w:val="005F2DD3"/>
    <w:rsid w:val="005F56ED"/>
    <w:rsid w:val="005F5C32"/>
    <w:rsid w:val="005F68CA"/>
    <w:rsid w:val="005F7212"/>
    <w:rsid w:val="00601AFF"/>
    <w:rsid w:val="00606764"/>
    <w:rsid w:val="00620A8D"/>
    <w:rsid w:val="00620F85"/>
    <w:rsid w:val="00621E6E"/>
    <w:rsid w:val="00622730"/>
    <w:rsid w:val="00623E2C"/>
    <w:rsid w:val="00625447"/>
    <w:rsid w:val="006255AA"/>
    <w:rsid w:val="00626A91"/>
    <w:rsid w:val="006335E5"/>
    <w:rsid w:val="0063543C"/>
    <w:rsid w:val="006373F9"/>
    <w:rsid w:val="00640979"/>
    <w:rsid w:val="00643512"/>
    <w:rsid w:val="0064420B"/>
    <w:rsid w:val="00644AA1"/>
    <w:rsid w:val="006503AB"/>
    <w:rsid w:val="0065182A"/>
    <w:rsid w:val="00651883"/>
    <w:rsid w:val="006525FE"/>
    <w:rsid w:val="00653176"/>
    <w:rsid w:val="00654292"/>
    <w:rsid w:val="0065441F"/>
    <w:rsid w:val="00654A2F"/>
    <w:rsid w:val="006577C3"/>
    <w:rsid w:val="00660997"/>
    <w:rsid w:val="00660E49"/>
    <w:rsid w:val="00661BE6"/>
    <w:rsid w:val="00662CB7"/>
    <w:rsid w:val="0066368A"/>
    <w:rsid w:val="006651B3"/>
    <w:rsid w:val="00667B2B"/>
    <w:rsid w:val="00670488"/>
    <w:rsid w:val="006740FE"/>
    <w:rsid w:val="006745CB"/>
    <w:rsid w:val="00675C2C"/>
    <w:rsid w:val="006772C5"/>
    <w:rsid w:val="006818C6"/>
    <w:rsid w:val="00681B38"/>
    <w:rsid w:val="00681CAE"/>
    <w:rsid w:val="006829B9"/>
    <w:rsid w:val="00685B02"/>
    <w:rsid w:val="00686487"/>
    <w:rsid w:val="006871B5"/>
    <w:rsid w:val="0069412C"/>
    <w:rsid w:val="00694280"/>
    <w:rsid w:val="006969F6"/>
    <w:rsid w:val="00696BEF"/>
    <w:rsid w:val="00697DA3"/>
    <w:rsid w:val="006A11A8"/>
    <w:rsid w:val="006A1A18"/>
    <w:rsid w:val="006A5336"/>
    <w:rsid w:val="006A59C5"/>
    <w:rsid w:val="006A68C7"/>
    <w:rsid w:val="006B1C76"/>
    <w:rsid w:val="006B2147"/>
    <w:rsid w:val="006B276F"/>
    <w:rsid w:val="006B6A2A"/>
    <w:rsid w:val="006C0B8D"/>
    <w:rsid w:val="006C11EF"/>
    <w:rsid w:val="006C2BD7"/>
    <w:rsid w:val="006C36A8"/>
    <w:rsid w:val="006C38D2"/>
    <w:rsid w:val="006C6FD0"/>
    <w:rsid w:val="006D7468"/>
    <w:rsid w:val="006E21B3"/>
    <w:rsid w:val="006E26B3"/>
    <w:rsid w:val="006E309D"/>
    <w:rsid w:val="006E3A72"/>
    <w:rsid w:val="006E3ED9"/>
    <w:rsid w:val="006E4D3C"/>
    <w:rsid w:val="006E59BE"/>
    <w:rsid w:val="006E7FAA"/>
    <w:rsid w:val="006F32C4"/>
    <w:rsid w:val="007022B4"/>
    <w:rsid w:val="00702AB5"/>
    <w:rsid w:val="00702DE9"/>
    <w:rsid w:val="00705BBA"/>
    <w:rsid w:val="007061A2"/>
    <w:rsid w:val="007118E1"/>
    <w:rsid w:val="00715190"/>
    <w:rsid w:val="00715A50"/>
    <w:rsid w:val="00716DC7"/>
    <w:rsid w:val="0073298F"/>
    <w:rsid w:val="00733B52"/>
    <w:rsid w:val="007343D8"/>
    <w:rsid w:val="0073551F"/>
    <w:rsid w:val="00735AD8"/>
    <w:rsid w:val="00737E89"/>
    <w:rsid w:val="00740337"/>
    <w:rsid w:val="00741050"/>
    <w:rsid w:val="0074190E"/>
    <w:rsid w:val="00743AE8"/>
    <w:rsid w:val="00743E04"/>
    <w:rsid w:val="007446A1"/>
    <w:rsid w:val="007519A6"/>
    <w:rsid w:val="00753681"/>
    <w:rsid w:val="00757229"/>
    <w:rsid w:val="00763BC1"/>
    <w:rsid w:val="00764D1F"/>
    <w:rsid w:val="00765E9A"/>
    <w:rsid w:val="007705C4"/>
    <w:rsid w:val="00773091"/>
    <w:rsid w:val="00773DED"/>
    <w:rsid w:val="00775965"/>
    <w:rsid w:val="007806E2"/>
    <w:rsid w:val="00780C50"/>
    <w:rsid w:val="0078160E"/>
    <w:rsid w:val="00783048"/>
    <w:rsid w:val="00783B55"/>
    <w:rsid w:val="00784D44"/>
    <w:rsid w:val="00784F88"/>
    <w:rsid w:val="007862E0"/>
    <w:rsid w:val="00786A84"/>
    <w:rsid w:val="007872FE"/>
    <w:rsid w:val="00791303"/>
    <w:rsid w:val="00791D94"/>
    <w:rsid w:val="007921A5"/>
    <w:rsid w:val="00794053"/>
    <w:rsid w:val="007951AC"/>
    <w:rsid w:val="00795ACE"/>
    <w:rsid w:val="007A011B"/>
    <w:rsid w:val="007A01EE"/>
    <w:rsid w:val="007A18A5"/>
    <w:rsid w:val="007A2103"/>
    <w:rsid w:val="007A6999"/>
    <w:rsid w:val="007A742B"/>
    <w:rsid w:val="007B0665"/>
    <w:rsid w:val="007B0FE1"/>
    <w:rsid w:val="007B461C"/>
    <w:rsid w:val="007B62A7"/>
    <w:rsid w:val="007B6D2B"/>
    <w:rsid w:val="007C0BE5"/>
    <w:rsid w:val="007C1674"/>
    <w:rsid w:val="007C4CBF"/>
    <w:rsid w:val="007C6FC5"/>
    <w:rsid w:val="007D07D2"/>
    <w:rsid w:val="007D247E"/>
    <w:rsid w:val="007D4BBE"/>
    <w:rsid w:val="007D5C9B"/>
    <w:rsid w:val="007D7A73"/>
    <w:rsid w:val="007E1234"/>
    <w:rsid w:val="007E29FA"/>
    <w:rsid w:val="007E62CA"/>
    <w:rsid w:val="007E6A16"/>
    <w:rsid w:val="007E7B6A"/>
    <w:rsid w:val="007E7F0C"/>
    <w:rsid w:val="007F1122"/>
    <w:rsid w:val="007F3997"/>
    <w:rsid w:val="007F6D6A"/>
    <w:rsid w:val="007F6E59"/>
    <w:rsid w:val="007F766A"/>
    <w:rsid w:val="007F7D4A"/>
    <w:rsid w:val="007F7EE1"/>
    <w:rsid w:val="008018E0"/>
    <w:rsid w:val="00801FFE"/>
    <w:rsid w:val="00804083"/>
    <w:rsid w:val="00806696"/>
    <w:rsid w:val="0081027F"/>
    <w:rsid w:val="008108D5"/>
    <w:rsid w:val="00810F8F"/>
    <w:rsid w:val="008132BC"/>
    <w:rsid w:val="0081422B"/>
    <w:rsid w:val="00816B30"/>
    <w:rsid w:val="008202E0"/>
    <w:rsid w:val="008214BD"/>
    <w:rsid w:val="00822C35"/>
    <w:rsid w:val="00823FEF"/>
    <w:rsid w:val="0082580E"/>
    <w:rsid w:val="008364A1"/>
    <w:rsid w:val="0083712C"/>
    <w:rsid w:val="0084029F"/>
    <w:rsid w:val="00840437"/>
    <w:rsid w:val="00843249"/>
    <w:rsid w:val="00844988"/>
    <w:rsid w:val="008537F6"/>
    <w:rsid w:val="00855552"/>
    <w:rsid w:val="00861884"/>
    <w:rsid w:val="008654A8"/>
    <w:rsid w:val="00865CBA"/>
    <w:rsid w:val="00865CC4"/>
    <w:rsid w:val="008668B4"/>
    <w:rsid w:val="00866BD8"/>
    <w:rsid w:val="00875B35"/>
    <w:rsid w:val="00877C60"/>
    <w:rsid w:val="00877DED"/>
    <w:rsid w:val="0088229F"/>
    <w:rsid w:val="00882451"/>
    <w:rsid w:val="00882ED1"/>
    <w:rsid w:val="0088489F"/>
    <w:rsid w:val="008902F3"/>
    <w:rsid w:val="00891B6C"/>
    <w:rsid w:val="0089348A"/>
    <w:rsid w:val="008934CC"/>
    <w:rsid w:val="008953AC"/>
    <w:rsid w:val="00895DA6"/>
    <w:rsid w:val="00896ABE"/>
    <w:rsid w:val="008A48BC"/>
    <w:rsid w:val="008A6193"/>
    <w:rsid w:val="008A7379"/>
    <w:rsid w:val="008B10E4"/>
    <w:rsid w:val="008B27FD"/>
    <w:rsid w:val="008C496D"/>
    <w:rsid w:val="008C6F85"/>
    <w:rsid w:val="008C7725"/>
    <w:rsid w:val="008D23E1"/>
    <w:rsid w:val="008D3E2F"/>
    <w:rsid w:val="008D44A5"/>
    <w:rsid w:val="008D48FB"/>
    <w:rsid w:val="008D58E5"/>
    <w:rsid w:val="008D74BB"/>
    <w:rsid w:val="008E06A6"/>
    <w:rsid w:val="008E0977"/>
    <w:rsid w:val="008E1745"/>
    <w:rsid w:val="008E46B5"/>
    <w:rsid w:val="008E608C"/>
    <w:rsid w:val="008E7456"/>
    <w:rsid w:val="008E763F"/>
    <w:rsid w:val="008F0610"/>
    <w:rsid w:val="008F182D"/>
    <w:rsid w:val="008F3D11"/>
    <w:rsid w:val="008F3D4A"/>
    <w:rsid w:val="00901638"/>
    <w:rsid w:val="00901C28"/>
    <w:rsid w:val="00902400"/>
    <w:rsid w:val="00902A52"/>
    <w:rsid w:val="00905E15"/>
    <w:rsid w:val="009105D2"/>
    <w:rsid w:val="00912581"/>
    <w:rsid w:val="009127D3"/>
    <w:rsid w:val="009140A7"/>
    <w:rsid w:val="00914AA0"/>
    <w:rsid w:val="00917930"/>
    <w:rsid w:val="00920277"/>
    <w:rsid w:val="00920EB7"/>
    <w:rsid w:val="009212EE"/>
    <w:rsid w:val="009224E5"/>
    <w:rsid w:val="0092257E"/>
    <w:rsid w:val="00923F5F"/>
    <w:rsid w:val="00925CB3"/>
    <w:rsid w:val="00926112"/>
    <w:rsid w:val="009340E3"/>
    <w:rsid w:val="009378AB"/>
    <w:rsid w:val="009435F4"/>
    <w:rsid w:val="00945DF6"/>
    <w:rsid w:val="00946CAB"/>
    <w:rsid w:val="0095121F"/>
    <w:rsid w:val="0095183C"/>
    <w:rsid w:val="00951FA0"/>
    <w:rsid w:val="00953B11"/>
    <w:rsid w:val="0095566D"/>
    <w:rsid w:val="00955DC0"/>
    <w:rsid w:val="0095604B"/>
    <w:rsid w:val="00956897"/>
    <w:rsid w:val="00957314"/>
    <w:rsid w:val="00957657"/>
    <w:rsid w:val="00961EEC"/>
    <w:rsid w:val="00962612"/>
    <w:rsid w:val="00963469"/>
    <w:rsid w:val="00963979"/>
    <w:rsid w:val="00963BA6"/>
    <w:rsid w:val="00964845"/>
    <w:rsid w:val="00966047"/>
    <w:rsid w:val="00971C24"/>
    <w:rsid w:val="0097201C"/>
    <w:rsid w:val="009806D1"/>
    <w:rsid w:val="00984C6F"/>
    <w:rsid w:val="0098674B"/>
    <w:rsid w:val="00987D72"/>
    <w:rsid w:val="00990919"/>
    <w:rsid w:val="00990C08"/>
    <w:rsid w:val="009912A4"/>
    <w:rsid w:val="00993681"/>
    <w:rsid w:val="009968F1"/>
    <w:rsid w:val="009A06E4"/>
    <w:rsid w:val="009A0A5D"/>
    <w:rsid w:val="009A1504"/>
    <w:rsid w:val="009A7F75"/>
    <w:rsid w:val="009B10B5"/>
    <w:rsid w:val="009B16C3"/>
    <w:rsid w:val="009B2A32"/>
    <w:rsid w:val="009B545E"/>
    <w:rsid w:val="009B6F79"/>
    <w:rsid w:val="009C2352"/>
    <w:rsid w:val="009C26E0"/>
    <w:rsid w:val="009C2870"/>
    <w:rsid w:val="009C4286"/>
    <w:rsid w:val="009C5BA2"/>
    <w:rsid w:val="009C741E"/>
    <w:rsid w:val="009C753E"/>
    <w:rsid w:val="009C7CC2"/>
    <w:rsid w:val="009D239E"/>
    <w:rsid w:val="009D2BD7"/>
    <w:rsid w:val="009D3428"/>
    <w:rsid w:val="009D4265"/>
    <w:rsid w:val="009D7CF1"/>
    <w:rsid w:val="009E1550"/>
    <w:rsid w:val="009E2EE9"/>
    <w:rsid w:val="009E3E26"/>
    <w:rsid w:val="009E5E4B"/>
    <w:rsid w:val="009E613C"/>
    <w:rsid w:val="009F074A"/>
    <w:rsid w:val="009F36FF"/>
    <w:rsid w:val="009F6520"/>
    <w:rsid w:val="009F688B"/>
    <w:rsid w:val="009F6BFE"/>
    <w:rsid w:val="00A01230"/>
    <w:rsid w:val="00A01BE6"/>
    <w:rsid w:val="00A02E20"/>
    <w:rsid w:val="00A07A4E"/>
    <w:rsid w:val="00A10166"/>
    <w:rsid w:val="00A1113E"/>
    <w:rsid w:val="00A16C22"/>
    <w:rsid w:val="00A20085"/>
    <w:rsid w:val="00A23699"/>
    <w:rsid w:val="00A2372F"/>
    <w:rsid w:val="00A300AA"/>
    <w:rsid w:val="00A30EF1"/>
    <w:rsid w:val="00A34A2C"/>
    <w:rsid w:val="00A35077"/>
    <w:rsid w:val="00A3532D"/>
    <w:rsid w:val="00A36625"/>
    <w:rsid w:val="00A37419"/>
    <w:rsid w:val="00A4092F"/>
    <w:rsid w:val="00A409F2"/>
    <w:rsid w:val="00A429C8"/>
    <w:rsid w:val="00A437F5"/>
    <w:rsid w:val="00A43ED4"/>
    <w:rsid w:val="00A51115"/>
    <w:rsid w:val="00A5156A"/>
    <w:rsid w:val="00A51DB6"/>
    <w:rsid w:val="00A527D4"/>
    <w:rsid w:val="00A53A49"/>
    <w:rsid w:val="00A54723"/>
    <w:rsid w:val="00A55A07"/>
    <w:rsid w:val="00A55A1C"/>
    <w:rsid w:val="00A55C3A"/>
    <w:rsid w:val="00A576CC"/>
    <w:rsid w:val="00A61880"/>
    <w:rsid w:val="00A62109"/>
    <w:rsid w:val="00A6561D"/>
    <w:rsid w:val="00A6593A"/>
    <w:rsid w:val="00A67AE8"/>
    <w:rsid w:val="00A70FA0"/>
    <w:rsid w:val="00A72B86"/>
    <w:rsid w:val="00A74252"/>
    <w:rsid w:val="00A7607B"/>
    <w:rsid w:val="00A77CF7"/>
    <w:rsid w:val="00A77D12"/>
    <w:rsid w:val="00A8196F"/>
    <w:rsid w:val="00A854C7"/>
    <w:rsid w:val="00A856B9"/>
    <w:rsid w:val="00A86B6A"/>
    <w:rsid w:val="00A86C4D"/>
    <w:rsid w:val="00A871DB"/>
    <w:rsid w:val="00A900CC"/>
    <w:rsid w:val="00A90446"/>
    <w:rsid w:val="00A90B85"/>
    <w:rsid w:val="00A92AE0"/>
    <w:rsid w:val="00A94B2A"/>
    <w:rsid w:val="00A94E5E"/>
    <w:rsid w:val="00A95B9E"/>
    <w:rsid w:val="00A96329"/>
    <w:rsid w:val="00AA06D3"/>
    <w:rsid w:val="00AA4DC1"/>
    <w:rsid w:val="00AA5150"/>
    <w:rsid w:val="00AA6E87"/>
    <w:rsid w:val="00AA7401"/>
    <w:rsid w:val="00AB0064"/>
    <w:rsid w:val="00AB3A57"/>
    <w:rsid w:val="00AB3B01"/>
    <w:rsid w:val="00AB74B0"/>
    <w:rsid w:val="00AB7CBB"/>
    <w:rsid w:val="00AC0022"/>
    <w:rsid w:val="00AC1843"/>
    <w:rsid w:val="00AC18B5"/>
    <w:rsid w:val="00AC20D6"/>
    <w:rsid w:val="00AC2DFA"/>
    <w:rsid w:val="00AC5658"/>
    <w:rsid w:val="00AC5A50"/>
    <w:rsid w:val="00AC6044"/>
    <w:rsid w:val="00AD37C8"/>
    <w:rsid w:val="00AD48A9"/>
    <w:rsid w:val="00AE1556"/>
    <w:rsid w:val="00AE2ABA"/>
    <w:rsid w:val="00AE496D"/>
    <w:rsid w:val="00AF40AD"/>
    <w:rsid w:val="00AF41C1"/>
    <w:rsid w:val="00AF4EF4"/>
    <w:rsid w:val="00AF526B"/>
    <w:rsid w:val="00AF59F1"/>
    <w:rsid w:val="00AF5EB7"/>
    <w:rsid w:val="00AF6B8D"/>
    <w:rsid w:val="00AF7361"/>
    <w:rsid w:val="00B00B0B"/>
    <w:rsid w:val="00B00C04"/>
    <w:rsid w:val="00B00D1F"/>
    <w:rsid w:val="00B03326"/>
    <w:rsid w:val="00B0334E"/>
    <w:rsid w:val="00B06D85"/>
    <w:rsid w:val="00B13677"/>
    <w:rsid w:val="00B149BE"/>
    <w:rsid w:val="00B248B8"/>
    <w:rsid w:val="00B259A0"/>
    <w:rsid w:val="00B260A8"/>
    <w:rsid w:val="00B301B3"/>
    <w:rsid w:val="00B32370"/>
    <w:rsid w:val="00B325EB"/>
    <w:rsid w:val="00B327C8"/>
    <w:rsid w:val="00B32C31"/>
    <w:rsid w:val="00B32D0A"/>
    <w:rsid w:val="00B33B1B"/>
    <w:rsid w:val="00B36051"/>
    <w:rsid w:val="00B4076A"/>
    <w:rsid w:val="00B411B6"/>
    <w:rsid w:val="00B458E2"/>
    <w:rsid w:val="00B51280"/>
    <w:rsid w:val="00B52336"/>
    <w:rsid w:val="00B655AB"/>
    <w:rsid w:val="00B666BF"/>
    <w:rsid w:val="00B70B3C"/>
    <w:rsid w:val="00B711DF"/>
    <w:rsid w:val="00B72923"/>
    <w:rsid w:val="00B754DE"/>
    <w:rsid w:val="00B77490"/>
    <w:rsid w:val="00B81EC8"/>
    <w:rsid w:val="00B838D6"/>
    <w:rsid w:val="00B846B9"/>
    <w:rsid w:val="00B854CD"/>
    <w:rsid w:val="00B87EB5"/>
    <w:rsid w:val="00B91A01"/>
    <w:rsid w:val="00B91F3D"/>
    <w:rsid w:val="00B944DF"/>
    <w:rsid w:val="00BA1999"/>
    <w:rsid w:val="00BA4F50"/>
    <w:rsid w:val="00BA5B59"/>
    <w:rsid w:val="00BA6D43"/>
    <w:rsid w:val="00BB0B4F"/>
    <w:rsid w:val="00BB1871"/>
    <w:rsid w:val="00BB2F84"/>
    <w:rsid w:val="00BC515F"/>
    <w:rsid w:val="00BC6D70"/>
    <w:rsid w:val="00BE4240"/>
    <w:rsid w:val="00BE5D04"/>
    <w:rsid w:val="00BE6D1A"/>
    <w:rsid w:val="00BF19F6"/>
    <w:rsid w:val="00BF2CCF"/>
    <w:rsid w:val="00BF3F9F"/>
    <w:rsid w:val="00BF5D8E"/>
    <w:rsid w:val="00BF7647"/>
    <w:rsid w:val="00BF7A37"/>
    <w:rsid w:val="00C007EC"/>
    <w:rsid w:val="00C0458C"/>
    <w:rsid w:val="00C057DF"/>
    <w:rsid w:val="00C06410"/>
    <w:rsid w:val="00C078FD"/>
    <w:rsid w:val="00C13DDF"/>
    <w:rsid w:val="00C172AB"/>
    <w:rsid w:val="00C26C53"/>
    <w:rsid w:val="00C26D90"/>
    <w:rsid w:val="00C311D6"/>
    <w:rsid w:val="00C345E7"/>
    <w:rsid w:val="00C37C0C"/>
    <w:rsid w:val="00C4396F"/>
    <w:rsid w:val="00C450F3"/>
    <w:rsid w:val="00C476A4"/>
    <w:rsid w:val="00C50ECF"/>
    <w:rsid w:val="00C51830"/>
    <w:rsid w:val="00C52841"/>
    <w:rsid w:val="00C52E7B"/>
    <w:rsid w:val="00C53191"/>
    <w:rsid w:val="00C53D53"/>
    <w:rsid w:val="00C60C08"/>
    <w:rsid w:val="00C63C85"/>
    <w:rsid w:val="00C65C99"/>
    <w:rsid w:val="00C729F9"/>
    <w:rsid w:val="00C72A56"/>
    <w:rsid w:val="00C73627"/>
    <w:rsid w:val="00C75C2A"/>
    <w:rsid w:val="00C81415"/>
    <w:rsid w:val="00C8326E"/>
    <w:rsid w:val="00C84A97"/>
    <w:rsid w:val="00C861DE"/>
    <w:rsid w:val="00C8705C"/>
    <w:rsid w:val="00C9127D"/>
    <w:rsid w:val="00C93649"/>
    <w:rsid w:val="00C964CF"/>
    <w:rsid w:val="00C96C0A"/>
    <w:rsid w:val="00CA1F34"/>
    <w:rsid w:val="00CA2275"/>
    <w:rsid w:val="00CA2C90"/>
    <w:rsid w:val="00CA4287"/>
    <w:rsid w:val="00CA5BC8"/>
    <w:rsid w:val="00CA613F"/>
    <w:rsid w:val="00CA70CA"/>
    <w:rsid w:val="00CB120F"/>
    <w:rsid w:val="00CB7EF3"/>
    <w:rsid w:val="00CC2306"/>
    <w:rsid w:val="00CC406E"/>
    <w:rsid w:val="00CC4812"/>
    <w:rsid w:val="00CC59E6"/>
    <w:rsid w:val="00CD1012"/>
    <w:rsid w:val="00CD29B7"/>
    <w:rsid w:val="00CD4931"/>
    <w:rsid w:val="00CE02D5"/>
    <w:rsid w:val="00CE2A6F"/>
    <w:rsid w:val="00CE3329"/>
    <w:rsid w:val="00CE59EA"/>
    <w:rsid w:val="00CF1180"/>
    <w:rsid w:val="00CF2EDD"/>
    <w:rsid w:val="00CF3E8D"/>
    <w:rsid w:val="00CF5144"/>
    <w:rsid w:val="00CF6613"/>
    <w:rsid w:val="00D027EF"/>
    <w:rsid w:val="00D03F23"/>
    <w:rsid w:val="00D1328B"/>
    <w:rsid w:val="00D13387"/>
    <w:rsid w:val="00D14200"/>
    <w:rsid w:val="00D14AF5"/>
    <w:rsid w:val="00D14C1A"/>
    <w:rsid w:val="00D17A7A"/>
    <w:rsid w:val="00D20199"/>
    <w:rsid w:val="00D20F36"/>
    <w:rsid w:val="00D219D4"/>
    <w:rsid w:val="00D2206D"/>
    <w:rsid w:val="00D2598A"/>
    <w:rsid w:val="00D25C21"/>
    <w:rsid w:val="00D31123"/>
    <w:rsid w:val="00D350BE"/>
    <w:rsid w:val="00D35737"/>
    <w:rsid w:val="00D35B41"/>
    <w:rsid w:val="00D3703C"/>
    <w:rsid w:val="00D40FD1"/>
    <w:rsid w:val="00D41187"/>
    <w:rsid w:val="00D437F9"/>
    <w:rsid w:val="00D460BC"/>
    <w:rsid w:val="00D46EF3"/>
    <w:rsid w:val="00D4701E"/>
    <w:rsid w:val="00D51894"/>
    <w:rsid w:val="00D52EDA"/>
    <w:rsid w:val="00D55751"/>
    <w:rsid w:val="00D57B12"/>
    <w:rsid w:val="00D60182"/>
    <w:rsid w:val="00D61D91"/>
    <w:rsid w:val="00D62057"/>
    <w:rsid w:val="00D6223D"/>
    <w:rsid w:val="00D666EF"/>
    <w:rsid w:val="00D727C5"/>
    <w:rsid w:val="00D72E41"/>
    <w:rsid w:val="00D80DC4"/>
    <w:rsid w:val="00D80F78"/>
    <w:rsid w:val="00D8434D"/>
    <w:rsid w:val="00D86B0C"/>
    <w:rsid w:val="00D90755"/>
    <w:rsid w:val="00D913B1"/>
    <w:rsid w:val="00D932FB"/>
    <w:rsid w:val="00D93E69"/>
    <w:rsid w:val="00DA00DB"/>
    <w:rsid w:val="00DA409F"/>
    <w:rsid w:val="00DA79E3"/>
    <w:rsid w:val="00DB0162"/>
    <w:rsid w:val="00DB4C09"/>
    <w:rsid w:val="00DC54D7"/>
    <w:rsid w:val="00DD1FCA"/>
    <w:rsid w:val="00DD2547"/>
    <w:rsid w:val="00DD53C1"/>
    <w:rsid w:val="00DD6C4E"/>
    <w:rsid w:val="00DD7825"/>
    <w:rsid w:val="00DE152B"/>
    <w:rsid w:val="00DE32DF"/>
    <w:rsid w:val="00DE5DC6"/>
    <w:rsid w:val="00DE6AE2"/>
    <w:rsid w:val="00DF31D0"/>
    <w:rsid w:val="00DF41E4"/>
    <w:rsid w:val="00DF4E07"/>
    <w:rsid w:val="00E02CBA"/>
    <w:rsid w:val="00E048C2"/>
    <w:rsid w:val="00E05353"/>
    <w:rsid w:val="00E064F2"/>
    <w:rsid w:val="00E11186"/>
    <w:rsid w:val="00E134CC"/>
    <w:rsid w:val="00E1398E"/>
    <w:rsid w:val="00E13F42"/>
    <w:rsid w:val="00E1470D"/>
    <w:rsid w:val="00E14895"/>
    <w:rsid w:val="00E166C8"/>
    <w:rsid w:val="00E17687"/>
    <w:rsid w:val="00E2076E"/>
    <w:rsid w:val="00E210E0"/>
    <w:rsid w:val="00E2250E"/>
    <w:rsid w:val="00E23F42"/>
    <w:rsid w:val="00E240C8"/>
    <w:rsid w:val="00E24D9A"/>
    <w:rsid w:val="00E27301"/>
    <w:rsid w:val="00E27FE5"/>
    <w:rsid w:val="00E31A1C"/>
    <w:rsid w:val="00E31F47"/>
    <w:rsid w:val="00E33296"/>
    <w:rsid w:val="00E3559C"/>
    <w:rsid w:val="00E35DD6"/>
    <w:rsid w:val="00E409A4"/>
    <w:rsid w:val="00E42879"/>
    <w:rsid w:val="00E42CA3"/>
    <w:rsid w:val="00E5014D"/>
    <w:rsid w:val="00E5074B"/>
    <w:rsid w:val="00E52BFD"/>
    <w:rsid w:val="00E56179"/>
    <w:rsid w:val="00E610DD"/>
    <w:rsid w:val="00E6219E"/>
    <w:rsid w:val="00E66890"/>
    <w:rsid w:val="00E6787E"/>
    <w:rsid w:val="00E70F6B"/>
    <w:rsid w:val="00E71498"/>
    <w:rsid w:val="00E72667"/>
    <w:rsid w:val="00E779D7"/>
    <w:rsid w:val="00E804E2"/>
    <w:rsid w:val="00E904B8"/>
    <w:rsid w:val="00E917FB"/>
    <w:rsid w:val="00E91E78"/>
    <w:rsid w:val="00E920CB"/>
    <w:rsid w:val="00E95A8D"/>
    <w:rsid w:val="00E95D13"/>
    <w:rsid w:val="00E97A3D"/>
    <w:rsid w:val="00EA074F"/>
    <w:rsid w:val="00EA28BE"/>
    <w:rsid w:val="00EA2AED"/>
    <w:rsid w:val="00EA3779"/>
    <w:rsid w:val="00EA4691"/>
    <w:rsid w:val="00EA56D1"/>
    <w:rsid w:val="00EA66C6"/>
    <w:rsid w:val="00EA734A"/>
    <w:rsid w:val="00EB4767"/>
    <w:rsid w:val="00EB542F"/>
    <w:rsid w:val="00EB5E93"/>
    <w:rsid w:val="00EC1323"/>
    <w:rsid w:val="00EC1F62"/>
    <w:rsid w:val="00EC3AF7"/>
    <w:rsid w:val="00EC59C0"/>
    <w:rsid w:val="00EC67BF"/>
    <w:rsid w:val="00ED375B"/>
    <w:rsid w:val="00ED3867"/>
    <w:rsid w:val="00ED6504"/>
    <w:rsid w:val="00ED78DA"/>
    <w:rsid w:val="00ED78F5"/>
    <w:rsid w:val="00ED7BDA"/>
    <w:rsid w:val="00EE398A"/>
    <w:rsid w:val="00EE3E58"/>
    <w:rsid w:val="00EE419B"/>
    <w:rsid w:val="00EF71BC"/>
    <w:rsid w:val="00F00D91"/>
    <w:rsid w:val="00F020BB"/>
    <w:rsid w:val="00F02D9A"/>
    <w:rsid w:val="00F03EE8"/>
    <w:rsid w:val="00F10633"/>
    <w:rsid w:val="00F11352"/>
    <w:rsid w:val="00F14832"/>
    <w:rsid w:val="00F20013"/>
    <w:rsid w:val="00F20599"/>
    <w:rsid w:val="00F20E91"/>
    <w:rsid w:val="00F21407"/>
    <w:rsid w:val="00F21DCE"/>
    <w:rsid w:val="00F228BE"/>
    <w:rsid w:val="00F23BD1"/>
    <w:rsid w:val="00F30DAE"/>
    <w:rsid w:val="00F33DDA"/>
    <w:rsid w:val="00F35549"/>
    <w:rsid w:val="00F3758C"/>
    <w:rsid w:val="00F37A29"/>
    <w:rsid w:val="00F4201C"/>
    <w:rsid w:val="00F425B8"/>
    <w:rsid w:val="00F4260C"/>
    <w:rsid w:val="00F42822"/>
    <w:rsid w:val="00F42EAB"/>
    <w:rsid w:val="00F4667E"/>
    <w:rsid w:val="00F472BE"/>
    <w:rsid w:val="00F47D36"/>
    <w:rsid w:val="00F520CC"/>
    <w:rsid w:val="00F55453"/>
    <w:rsid w:val="00F560FD"/>
    <w:rsid w:val="00F6264A"/>
    <w:rsid w:val="00F64FBC"/>
    <w:rsid w:val="00F667F4"/>
    <w:rsid w:val="00F70FBC"/>
    <w:rsid w:val="00F71763"/>
    <w:rsid w:val="00F72DA1"/>
    <w:rsid w:val="00F80E9D"/>
    <w:rsid w:val="00F81E0E"/>
    <w:rsid w:val="00F825EC"/>
    <w:rsid w:val="00F83917"/>
    <w:rsid w:val="00F85DA3"/>
    <w:rsid w:val="00F87AFD"/>
    <w:rsid w:val="00F936F9"/>
    <w:rsid w:val="00F95C3F"/>
    <w:rsid w:val="00F97B32"/>
    <w:rsid w:val="00FA171C"/>
    <w:rsid w:val="00FA3751"/>
    <w:rsid w:val="00FA545B"/>
    <w:rsid w:val="00FA6A60"/>
    <w:rsid w:val="00FB0F6B"/>
    <w:rsid w:val="00FB1641"/>
    <w:rsid w:val="00FB3CFD"/>
    <w:rsid w:val="00FB3D63"/>
    <w:rsid w:val="00FB4952"/>
    <w:rsid w:val="00FB5BCC"/>
    <w:rsid w:val="00FB6F49"/>
    <w:rsid w:val="00FB79E7"/>
    <w:rsid w:val="00FB7E7A"/>
    <w:rsid w:val="00FC7C1D"/>
    <w:rsid w:val="00FD0422"/>
    <w:rsid w:val="00FD0B1D"/>
    <w:rsid w:val="00FD2000"/>
    <w:rsid w:val="00FD3E3C"/>
    <w:rsid w:val="00FE35F9"/>
    <w:rsid w:val="00FE3BD9"/>
    <w:rsid w:val="00FE4383"/>
    <w:rsid w:val="00FE56E1"/>
    <w:rsid w:val="00FF1894"/>
    <w:rsid w:val="00FF3C18"/>
  </w:rsids>
  <m:mathPr>
    <m:mathFont m:val="Cambria Math"/>
    <m:brkBin m:val="before"/>
    <m:brkBinSub m:val="--"/>
    <m:smallFrac m:val="0"/>
    <m:dispDef/>
    <m:lMargin m:val="0"/>
    <m:rMargin m:val="0"/>
    <m:defJc m:val="centerGroup"/>
    <m:wrapIndent m:val="1440"/>
    <m:intLim m:val="subSup"/>
    <m:naryLim m:val="undOvr"/>
  </m:mathPr>
  <w:themeFontLang w:val="es-H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AE847D9"/>
  <w15:docId w15:val="{807789A0-60B1-4210-BDE3-6BD8D4372FF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s-HN" w:eastAsia="en-US" w:bidi="ar-SA"/>
      </w:rPr>
    </w:rPrDefault>
    <w:pPrDefault>
      <w:pPr>
        <w:spacing w:after="160" w:line="259" w:lineRule="auto"/>
      </w:pPr>
    </w:pPrDefault>
  </w:docDefaults>
  <w:latentStyles w:defLockedState="0" w:defUIPriority="99" w:defSemiHidden="0" w:defUnhideWhenUsed="0" w:defQFormat="0" w:count="376">
    <w:lsdException w:name="Normal" w:uiPriority="1" w:qFormat="1"/>
    <w:lsdException w:name="heading 1" w:uiPriority="9" w:qFormat="1"/>
    <w:lsdException w:name="heading 2" w:semiHidden="1" w:uiPriority="1" w:unhideWhenUsed="1" w:qFormat="1"/>
    <w:lsdException w:name="heading 3" w:semiHidden="1" w:uiPriority="9" w:unhideWhenUsed="1" w:qFormat="1"/>
    <w:lsdException w:name="heading 4" w:semiHidden="1" w:uiPriority="1"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aliases w:val="Portadas y Preliminares"/>
    <w:uiPriority w:val="1"/>
    <w:qFormat/>
    <w:rsid w:val="00775965"/>
    <w:pPr>
      <w:widowControl w:val="0"/>
      <w:spacing w:after="0" w:line="240" w:lineRule="auto"/>
    </w:pPr>
  </w:style>
  <w:style w:type="paragraph" w:styleId="Ttulo1">
    <w:name w:val="heading 1"/>
    <w:basedOn w:val="Normal"/>
    <w:next w:val="TextoPrincipal"/>
    <w:link w:val="Ttulo1Car"/>
    <w:uiPriority w:val="9"/>
    <w:qFormat/>
    <w:rsid w:val="00C52E7B"/>
    <w:pPr>
      <w:keepNext/>
      <w:keepLines/>
      <w:spacing w:before="240" w:after="240"/>
      <w:jc w:val="center"/>
      <w:outlineLvl w:val="0"/>
    </w:pPr>
    <w:rPr>
      <w:rFonts w:ascii="Times New Roman" w:eastAsiaTheme="majorEastAsia" w:hAnsi="Times New Roman" w:cs="Times New Roman"/>
      <w:b/>
      <w:sz w:val="28"/>
      <w:szCs w:val="28"/>
    </w:rPr>
  </w:style>
  <w:style w:type="paragraph" w:styleId="Ttulo2">
    <w:name w:val="heading 2"/>
    <w:basedOn w:val="Normal"/>
    <w:next w:val="TextoPrincipal"/>
    <w:link w:val="Ttulo2Car"/>
    <w:uiPriority w:val="1"/>
    <w:qFormat/>
    <w:rsid w:val="00210E95"/>
    <w:pPr>
      <w:spacing w:after="120"/>
      <w:outlineLvl w:val="1"/>
    </w:pPr>
    <w:rPr>
      <w:rFonts w:ascii="Times New Roman" w:eastAsia="Times New Roman" w:hAnsi="Times New Roman"/>
      <w:b/>
      <w:bCs/>
      <w:sz w:val="24"/>
      <w:szCs w:val="32"/>
    </w:rPr>
  </w:style>
  <w:style w:type="paragraph" w:styleId="Ttulo3">
    <w:name w:val="heading 3"/>
    <w:basedOn w:val="Normal"/>
    <w:next w:val="TextoPrincipal"/>
    <w:link w:val="Ttulo3Car"/>
    <w:uiPriority w:val="9"/>
    <w:unhideWhenUsed/>
    <w:qFormat/>
    <w:rsid w:val="003E7358"/>
    <w:pPr>
      <w:keepNext/>
      <w:keepLines/>
      <w:spacing w:before="40" w:after="120"/>
      <w:ind w:left="567"/>
      <w:outlineLvl w:val="2"/>
    </w:pPr>
    <w:rPr>
      <w:rFonts w:ascii="Times New Roman" w:eastAsiaTheme="majorEastAsia" w:hAnsi="Times New Roman" w:cstheme="majorBidi"/>
      <w:b/>
      <w:sz w:val="24"/>
      <w:szCs w:val="24"/>
    </w:rPr>
  </w:style>
  <w:style w:type="paragraph" w:styleId="Ttulo4">
    <w:name w:val="heading 4"/>
    <w:basedOn w:val="Normal"/>
    <w:next w:val="TextoPrincipal"/>
    <w:link w:val="Ttulo4Car"/>
    <w:uiPriority w:val="1"/>
    <w:qFormat/>
    <w:rsid w:val="00F560FD"/>
    <w:pPr>
      <w:spacing w:after="120"/>
      <w:ind w:left="1134"/>
      <w:outlineLvl w:val="3"/>
    </w:pPr>
    <w:rPr>
      <w:rFonts w:ascii="Times New Roman" w:eastAsia="Times New Roman" w:hAnsi="Times New Roman"/>
      <w:b/>
      <w:bCs/>
      <w:sz w:val="24"/>
      <w:szCs w:val="24"/>
    </w:rPr>
  </w:style>
  <w:style w:type="paragraph" w:styleId="Ttulo5">
    <w:name w:val="heading 5"/>
    <w:basedOn w:val="Normal"/>
    <w:next w:val="Normal"/>
    <w:link w:val="Ttulo5Car"/>
    <w:uiPriority w:val="9"/>
    <w:unhideWhenUsed/>
    <w:qFormat/>
    <w:rsid w:val="00957657"/>
    <w:pPr>
      <w:keepNext/>
      <w:keepLines/>
      <w:spacing w:before="40"/>
      <w:outlineLvl w:val="4"/>
    </w:pPr>
    <w:rPr>
      <w:rFonts w:asciiTheme="majorHAnsi" w:eastAsiaTheme="majorEastAsia" w:hAnsiTheme="majorHAnsi" w:cstheme="majorBidi"/>
      <w:color w:val="2E74B5" w:themeColor="accent1" w:themeShade="BF"/>
    </w:rPr>
  </w:style>
  <w:style w:type="character" w:default="1" w:styleId="Fuentedeprrafopredeter">
    <w:name w:val="Default Paragraph Font"/>
    <w:uiPriority w:val="1"/>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2Car">
    <w:name w:val="Título 2 Car"/>
    <w:basedOn w:val="Fuentedeprrafopredeter"/>
    <w:link w:val="Ttulo2"/>
    <w:uiPriority w:val="1"/>
    <w:rsid w:val="00210E95"/>
    <w:rPr>
      <w:rFonts w:ascii="Times New Roman" w:eastAsia="Times New Roman" w:hAnsi="Times New Roman"/>
      <w:b/>
      <w:bCs/>
      <w:sz w:val="24"/>
      <w:szCs w:val="32"/>
      <w:lang w:val="en-US"/>
    </w:rPr>
  </w:style>
  <w:style w:type="character" w:customStyle="1" w:styleId="Ttulo4Car">
    <w:name w:val="Título 4 Car"/>
    <w:basedOn w:val="Fuentedeprrafopredeter"/>
    <w:link w:val="Ttulo4"/>
    <w:uiPriority w:val="1"/>
    <w:rsid w:val="00F560FD"/>
    <w:rPr>
      <w:rFonts w:ascii="Times New Roman" w:eastAsia="Times New Roman" w:hAnsi="Times New Roman"/>
      <w:b/>
      <w:bCs/>
      <w:sz w:val="24"/>
      <w:szCs w:val="24"/>
      <w:lang w:val="en-US"/>
    </w:rPr>
  </w:style>
  <w:style w:type="paragraph" w:styleId="Textoindependiente">
    <w:name w:val="Body Text"/>
    <w:basedOn w:val="Normal"/>
    <w:link w:val="TextoindependienteCar"/>
    <w:uiPriority w:val="1"/>
    <w:rsid w:val="007D5C9B"/>
    <w:pPr>
      <w:ind w:left="100" w:firstLine="566"/>
    </w:pPr>
    <w:rPr>
      <w:rFonts w:ascii="Times New Roman" w:eastAsia="Times New Roman" w:hAnsi="Times New Roman"/>
      <w:sz w:val="24"/>
      <w:szCs w:val="24"/>
    </w:rPr>
  </w:style>
  <w:style w:type="character" w:customStyle="1" w:styleId="TextoindependienteCar">
    <w:name w:val="Texto independiente Car"/>
    <w:basedOn w:val="Fuentedeprrafopredeter"/>
    <w:link w:val="Textoindependiente"/>
    <w:uiPriority w:val="1"/>
    <w:rsid w:val="007D5C9B"/>
    <w:rPr>
      <w:rFonts w:ascii="Times New Roman" w:eastAsia="Times New Roman" w:hAnsi="Times New Roman"/>
      <w:sz w:val="24"/>
      <w:szCs w:val="24"/>
      <w:lang w:val="en-US"/>
    </w:rPr>
  </w:style>
  <w:style w:type="paragraph" w:styleId="Prrafodelista">
    <w:name w:val="List Paragraph"/>
    <w:basedOn w:val="Normal"/>
    <w:uiPriority w:val="34"/>
    <w:qFormat/>
    <w:rsid w:val="007D5C9B"/>
  </w:style>
  <w:style w:type="character" w:styleId="Refdecomentario">
    <w:name w:val="annotation reference"/>
    <w:basedOn w:val="Fuentedeprrafopredeter"/>
    <w:uiPriority w:val="99"/>
    <w:semiHidden/>
    <w:unhideWhenUsed/>
    <w:rsid w:val="007D5C9B"/>
    <w:rPr>
      <w:sz w:val="16"/>
      <w:szCs w:val="16"/>
    </w:rPr>
  </w:style>
  <w:style w:type="paragraph" w:styleId="Textocomentario">
    <w:name w:val="annotation text"/>
    <w:basedOn w:val="Normal"/>
    <w:link w:val="TextocomentarioCar"/>
    <w:uiPriority w:val="99"/>
    <w:semiHidden/>
    <w:unhideWhenUsed/>
    <w:rsid w:val="007D5C9B"/>
    <w:rPr>
      <w:sz w:val="20"/>
      <w:szCs w:val="20"/>
    </w:rPr>
  </w:style>
  <w:style w:type="character" w:customStyle="1" w:styleId="TextocomentarioCar">
    <w:name w:val="Texto comentario Car"/>
    <w:basedOn w:val="Fuentedeprrafopredeter"/>
    <w:link w:val="Textocomentario"/>
    <w:uiPriority w:val="99"/>
    <w:semiHidden/>
    <w:rsid w:val="007D5C9B"/>
    <w:rPr>
      <w:sz w:val="20"/>
      <w:szCs w:val="20"/>
      <w:lang w:val="en-US"/>
    </w:rPr>
  </w:style>
  <w:style w:type="paragraph" w:styleId="Asuntodelcomentario">
    <w:name w:val="annotation subject"/>
    <w:basedOn w:val="Textocomentario"/>
    <w:next w:val="Textocomentario"/>
    <w:link w:val="AsuntodelcomentarioCar"/>
    <w:uiPriority w:val="99"/>
    <w:semiHidden/>
    <w:unhideWhenUsed/>
    <w:rsid w:val="007D5C9B"/>
    <w:rPr>
      <w:b/>
      <w:bCs/>
    </w:rPr>
  </w:style>
  <w:style w:type="character" w:customStyle="1" w:styleId="AsuntodelcomentarioCar">
    <w:name w:val="Asunto del comentario Car"/>
    <w:basedOn w:val="TextocomentarioCar"/>
    <w:link w:val="Asuntodelcomentario"/>
    <w:uiPriority w:val="99"/>
    <w:semiHidden/>
    <w:rsid w:val="007D5C9B"/>
    <w:rPr>
      <w:b/>
      <w:bCs/>
      <w:sz w:val="20"/>
      <w:szCs w:val="20"/>
      <w:lang w:val="en-US"/>
    </w:rPr>
  </w:style>
  <w:style w:type="paragraph" w:styleId="Textodeglobo">
    <w:name w:val="Balloon Text"/>
    <w:basedOn w:val="Normal"/>
    <w:link w:val="TextodegloboCar"/>
    <w:uiPriority w:val="99"/>
    <w:semiHidden/>
    <w:unhideWhenUsed/>
    <w:rsid w:val="007D5C9B"/>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7D5C9B"/>
    <w:rPr>
      <w:rFonts w:ascii="Segoe UI" w:hAnsi="Segoe UI" w:cs="Segoe UI"/>
      <w:sz w:val="18"/>
      <w:szCs w:val="18"/>
      <w:lang w:val="en-US"/>
    </w:rPr>
  </w:style>
  <w:style w:type="paragraph" w:styleId="Encabezado">
    <w:name w:val="header"/>
    <w:basedOn w:val="Normal"/>
    <w:link w:val="EncabezadoCar"/>
    <w:uiPriority w:val="99"/>
    <w:unhideWhenUsed/>
    <w:rsid w:val="002313B9"/>
    <w:pPr>
      <w:tabs>
        <w:tab w:val="center" w:pos="4419"/>
        <w:tab w:val="right" w:pos="8838"/>
      </w:tabs>
    </w:pPr>
  </w:style>
  <w:style w:type="character" w:customStyle="1" w:styleId="EncabezadoCar">
    <w:name w:val="Encabezado Car"/>
    <w:basedOn w:val="Fuentedeprrafopredeter"/>
    <w:link w:val="Encabezado"/>
    <w:uiPriority w:val="99"/>
    <w:rsid w:val="002313B9"/>
    <w:rPr>
      <w:lang w:val="en-US"/>
    </w:rPr>
  </w:style>
  <w:style w:type="paragraph" w:styleId="Piedepgina">
    <w:name w:val="footer"/>
    <w:basedOn w:val="Normal"/>
    <w:link w:val="PiedepginaCar"/>
    <w:uiPriority w:val="99"/>
    <w:unhideWhenUsed/>
    <w:rsid w:val="002313B9"/>
    <w:pPr>
      <w:tabs>
        <w:tab w:val="center" w:pos="4419"/>
        <w:tab w:val="right" w:pos="8838"/>
      </w:tabs>
    </w:pPr>
  </w:style>
  <w:style w:type="character" w:customStyle="1" w:styleId="PiedepginaCar">
    <w:name w:val="Pie de página Car"/>
    <w:basedOn w:val="Fuentedeprrafopredeter"/>
    <w:link w:val="Piedepgina"/>
    <w:uiPriority w:val="99"/>
    <w:rsid w:val="002313B9"/>
    <w:rPr>
      <w:lang w:val="en-US"/>
    </w:rPr>
  </w:style>
  <w:style w:type="paragraph" w:customStyle="1" w:styleId="TextoPrincipal">
    <w:name w:val="Texto Principal"/>
    <w:basedOn w:val="Normal"/>
    <w:link w:val="TextoPrincipalCar"/>
    <w:uiPriority w:val="1"/>
    <w:qFormat/>
    <w:rsid w:val="003D7307"/>
    <w:pPr>
      <w:spacing w:after="120" w:line="480" w:lineRule="auto"/>
      <w:ind w:firstLine="720"/>
      <w:jc w:val="both"/>
    </w:pPr>
    <w:rPr>
      <w:rFonts w:ascii="Times New Roman" w:hAnsi="Times New Roman" w:cs="Times New Roman"/>
      <w:sz w:val="24"/>
      <w:szCs w:val="24"/>
    </w:rPr>
  </w:style>
  <w:style w:type="character" w:customStyle="1" w:styleId="Ttulo1Car">
    <w:name w:val="Título 1 Car"/>
    <w:basedOn w:val="Fuentedeprrafopredeter"/>
    <w:link w:val="Ttulo1"/>
    <w:uiPriority w:val="9"/>
    <w:rsid w:val="00C52E7B"/>
    <w:rPr>
      <w:rFonts w:ascii="Times New Roman" w:eastAsiaTheme="majorEastAsia" w:hAnsi="Times New Roman" w:cs="Times New Roman"/>
      <w:b/>
      <w:sz w:val="28"/>
      <w:szCs w:val="28"/>
    </w:rPr>
  </w:style>
  <w:style w:type="character" w:customStyle="1" w:styleId="TextoPrincipalCar">
    <w:name w:val="Texto Principal Car"/>
    <w:basedOn w:val="Fuentedeprrafopredeter"/>
    <w:link w:val="TextoPrincipal"/>
    <w:uiPriority w:val="1"/>
    <w:rsid w:val="003D7307"/>
    <w:rPr>
      <w:rFonts w:ascii="Times New Roman" w:hAnsi="Times New Roman" w:cs="Times New Roman"/>
      <w:sz w:val="24"/>
      <w:szCs w:val="24"/>
    </w:rPr>
  </w:style>
  <w:style w:type="character" w:customStyle="1" w:styleId="Ttulo3Car">
    <w:name w:val="Título 3 Car"/>
    <w:basedOn w:val="Fuentedeprrafopredeter"/>
    <w:link w:val="Ttulo3"/>
    <w:uiPriority w:val="9"/>
    <w:rsid w:val="003E7358"/>
    <w:rPr>
      <w:rFonts w:ascii="Times New Roman" w:eastAsiaTheme="majorEastAsia" w:hAnsi="Times New Roman" w:cstheme="majorBidi"/>
      <w:b/>
      <w:sz w:val="24"/>
      <w:szCs w:val="24"/>
      <w:lang w:val="en-US"/>
    </w:rPr>
  </w:style>
  <w:style w:type="paragraph" w:customStyle="1" w:styleId="TtulodeFiguras">
    <w:name w:val="Título de Figuras"/>
    <w:basedOn w:val="TextoPrincipal"/>
    <w:link w:val="TtulodeFigurasCar"/>
    <w:uiPriority w:val="1"/>
    <w:qFormat/>
    <w:rsid w:val="005E4B7D"/>
    <w:pPr>
      <w:spacing w:line="240" w:lineRule="auto"/>
      <w:ind w:firstLine="0"/>
    </w:pPr>
    <w:rPr>
      <w:b/>
      <w:szCs w:val="22"/>
      <w:lang w:val="es-ES"/>
    </w:rPr>
  </w:style>
  <w:style w:type="paragraph" w:customStyle="1" w:styleId="FuentedeFigurasyTablas">
    <w:name w:val="Fuente de Figuras y Tablas"/>
    <w:basedOn w:val="TextoPrincipal"/>
    <w:link w:val="FuentedeFigurasyTablasCar"/>
    <w:uiPriority w:val="1"/>
    <w:qFormat/>
    <w:rsid w:val="00CA2275"/>
    <w:pPr>
      <w:spacing w:after="240" w:line="240" w:lineRule="auto"/>
      <w:ind w:firstLine="0"/>
    </w:pPr>
    <w:rPr>
      <w:sz w:val="22"/>
      <w:szCs w:val="22"/>
      <w:lang w:val="es-ES"/>
    </w:rPr>
  </w:style>
  <w:style w:type="character" w:customStyle="1" w:styleId="TtulodeFigurasCar">
    <w:name w:val="Título de Figuras Car"/>
    <w:basedOn w:val="TextoPrincipalCar"/>
    <w:link w:val="TtulodeFiguras"/>
    <w:uiPriority w:val="1"/>
    <w:rsid w:val="005E4B7D"/>
    <w:rPr>
      <w:rFonts w:ascii="Times New Roman" w:hAnsi="Times New Roman" w:cs="Times New Roman"/>
      <w:b/>
      <w:sz w:val="24"/>
      <w:szCs w:val="24"/>
      <w:lang w:val="es-ES"/>
    </w:rPr>
  </w:style>
  <w:style w:type="table" w:styleId="Tablaconcuadrcula">
    <w:name w:val="Table Grid"/>
    <w:basedOn w:val="Tablanormal"/>
    <w:uiPriority w:val="39"/>
    <w:rsid w:val="005E4B7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uentedeFigurasyTablasCar">
    <w:name w:val="Fuente de Figuras y Tablas Car"/>
    <w:basedOn w:val="TextoPrincipalCar"/>
    <w:link w:val="FuentedeFigurasyTablas"/>
    <w:uiPriority w:val="1"/>
    <w:rsid w:val="00CA2275"/>
    <w:rPr>
      <w:rFonts w:ascii="Times New Roman" w:hAnsi="Times New Roman" w:cs="Times New Roman"/>
      <w:sz w:val="24"/>
      <w:szCs w:val="24"/>
      <w:lang w:val="es-ES"/>
    </w:rPr>
  </w:style>
  <w:style w:type="paragraph" w:customStyle="1" w:styleId="TtulodeTablas">
    <w:name w:val="Título de Tablas"/>
    <w:basedOn w:val="FuentedeFigurasyTablas"/>
    <w:link w:val="TtulodeTablasCar"/>
    <w:uiPriority w:val="1"/>
    <w:qFormat/>
    <w:rsid w:val="005E4B7D"/>
    <w:rPr>
      <w:b/>
      <w:sz w:val="24"/>
      <w:szCs w:val="24"/>
      <w:lang w:val="en-US"/>
    </w:rPr>
  </w:style>
  <w:style w:type="paragraph" w:customStyle="1" w:styleId="TextodeTablas">
    <w:name w:val="Texto de Tablas"/>
    <w:basedOn w:val="FuentedeFigurasyTablas"/>
    <w:link w:val="TextodeTablasCar"/>
    <w:uiPriority w:val="1"/>
    <w:qFormat/>
    <w:rsid w:val="005E4B7D"/>
    <w:pPr>
      <w:spacing w:after="0"/>
      <w:jc w:val="center"/>
    </w:pPr>
    <w:rPr>
      <w:sz w:val="20"/>
      <w:lang w:val="en-US"/>
    </w:rPr>
  </w:style>
  <w:style w:type="character" w:customStyle="1" w:styleId="TtulodeTablasCar">
    <w:name w:val="Título de Tablas Car"/>
    <w:basedOn w:val="FuentedeFigurasyTablasCar"/>
    <w:link w:val="TtulodeTablas"/>
    <w:uiPriority w:val="1"/>
    <w:rsid w:val="005E4B7D"/>
    <w:rPr>
      <w:rFonts w:ascii="Times New Roman" w:hAnsi="Times New Roman" w:cs="Times New Roman"/>
      <w:b/>
      <w:sz w:val="24"/>
      <w:szCs w:val="24"/>
      <w:lang w:val="en-US"/>
    </w:rPr>
  </w:style>
  <w:style w:type="paragraph" w:styleId="TtuloTDC">
    <w:name w:val="TOC Heading"/>
    <w:basedOn w:val="Ttulo1"/>
    <w:next w:val="Normal"/>
    <w:uiPriority w:val="39"/>
    <w:unhideWhenUsed/>
    <w:qFormat/>
    <w:rsid w:val="003F60B4"/>
    <w:pPr>
      <w:widowControl/>
      <w:spacing w:after="0" w:line="259" w:lineRule="auto"/>
      <w:jc w:val="left"/>
      <w:outlineLvl w:val="9"/>
    </w:pPr>
    <w:rPr>
      <w:rFonts w:asciiTheme="majorHAnsi" w:hAnsiTheme="majorHAnsi" w:cstheme="majorBidi"/>
      <w:b w:val="0"/>
      <w:color w:val="2E74B5" w:themeColor="accent1" w:themeShade="BF"/>
      <w:sz w:val="32"/>
      <w:szCs w:val="32"/>
      <w:lang w:eastAsia="es-HN"/>
    </w:rPr>
  </w:style>
  <w:style w:type="character" w:customStyle="1" w:styleId="TextodeTablasCar">
    <w:name w:val="Texto de Tablas Car"/>
    <w:basedOn w:val="FuentedeFigurasyTablasCar"/>
    <w:link w:val="TextodeTablas"/>
    <w:uiPriority w:val="1"/>
    <w:rsid w:val="005E4B7D"/>
    <w:rPr>
      <w:rFonts w:ascii="Times New Roman" w:hAnsi="Times New Roman" w:cs="Times New Roman"/>
      <w:sz w:val="20"/>
      <w:szCs w:val="24"/>
      <w:lang w:val="en-US"/>
    </w:rPr>
  </w:style>
  <w:style w:type="paragraph" w:styleId="TDC1">
    <w:name w:val="toc 1"/>
    <w:basedOn w:val="Normal"/>
    <w:next w:val="Normal"/>
    <w:autoRedefine/>
    <w:uiPriority w:val="39"/>
    <w:unhideWhenUsed/>
    <w:rsid w:val="003F60B4"/>
    <w:pPr>
      <w:spacing w:line="360" w:lineRule="auto"/>
    </w:pPr>
    <w:rPr>
      <w:rFonts w:ascii="Times New Roman" w:hAnsi="Times New Roman"/>
      <w:sz w:val="24"/>
    </w:rPr>
  </w:style>
  <w:style w:type="paragraph" w:styleId="TDC2">
    <w:name w:val="toc 2"/>
    <w:basedOn w:val="Normal"/>
    <w:next w:val="Normal"/>
    <w:autoRedefine/>
    <w:uiPriority w:val="39"/>
    <w:unhideWhenUsed/>
    <w:rsid w:val="003F60B4"/>
    <w:pPr>
      <w:spacing w:line="360" w:lineRule="auto"/>
      <w:ind w:left="221"/>
    </w:pPr>
    <w:rPr>
      <w:rFonts w:ascii="Times New Roman" w:hAnsi="Times New Roman"/>
      <w:sz w:val="24"/>
    </w:rPr>
  </w:style>
  <w:style w:type="paragraph" w:styleId="TDC3">
    <w:name w:val="toc 3"/>
    <w:basedOn w:val="Normal"/>
    <w:next w:val="Normal"/>
    <w:autoRedefine/>
    <w:uiPriority w:val="39"/>
    <w:unhideWhenUsed/>
    <w:rsid w:val="003F60B4"/>
    <w:pPr>
      <w:spacing w:line="360" w:lineRule="auto"/>
      <w:ind w:left="454"/>
    </w:pPr>
    <w:rPr>
      <w:rFonts w:ascii="Times New Roman" w:hAnsi="Times New Roman"/>
      <w:sz w:val="24"/>
    </w:rPr>
  </w:style>
  <w:style w:type="character" w:styleId="Hipervnculo">
    <w:name w:val="Hyperlink"/>
    <w:basedOn w:val="Fuentedeprrafopredeter"/>
    <w:uiPriority w:val="99"/>
    <w:unhideWhenUsed/>
    <w:rsid w:val="003F60B4"/>
    <w:rPr>
      <w:color w:val="0563C1" w:themeColor="hyperlink"/>
      <w:u w:val="single"/>
    </w:rPr>
  </w:style>
  <w:style w:type="paragraph" w:styleId="TDC4">
    <w:name w:val="toc 4"/>
    <w:basedOn w:val="Normal"/>
    <w:next w:val="Normal"/>
    <w:autoRedefine/>
    <w:uiPriority w:val="39"/>
    <w:unhideWhenUsed/>
    <w:rsid w:val="009435F4"/>
    <w:pPr>
      <w:tabs>
        <w:tab w:val="right" w:leader="dot" w:pos="9350"/>
      </w:tabs>
      <w:spacing w:line="360" w:lineRule="auto"/>
      <w:ind w:left="658"/>
    </w:pPr>
    <w:rPr>
      <w:rFonts w:ascii="Times New Roman" w:eastAsia="Times New Roman" w:hAnsi="Times New Roman" w:cs="Times New Roman"/>
      <w:iCs/>
      <w:noProof/>
      <w:sz w:val="24"/>
    </w:rPr>
  </w:style>
  <w:style w:type="paragraph" w:customStyle="1" w:styleId="CitaTextualLarga">
    <w:name w:val="Cita Textual Larga"/>
    <w:aliases w:val="texto"/>
    <w:basedOn w:val="TextoPrincipal"/>
    <w:link w:val="CitaTextualLargaCar"/>
    <w:uiPriority w:val="1"/>
    <w:qFormat/>
    <w:rsid w:val="00C964CF"/>
    <w:pPr>
      <w:spacing w:line="240" w:lineRule="auto"/>
    </w:pPr>
    <w:rPr>
      <w:sz w:val="22"/>
      <w:szCs w:val="22"/>
    </w:rPr>
  </w:style>
  <w:style w:type="paragraph" w:customStyle="1" w:styleId="CitaLarga">
    <w:name w:val="Cita Larga"/>
    <w:basedOn w:val="CitaTextualLarga"/>
    <w:link w:val="CitaLargaCar"/>
    <w:uiPriority w:val="1"/>
    <w:qFormat/>
    <w:rsid w:val="00C964CF"/>
    <w:pPr>
      <w:ind w:left="680" w:firstLine="0"/>
    </w:pPr>
  </w:style>
  <w:style w:type="character" w:customStyle="1" w:styleId="CitaTextualLargaCar">
    <w:name w:val="Cita Textual Larga Car"/>
    <w:aliases w:val="texto Car"/>
    <w:basedOn w:val="TextoPrincipalCar"/>
    <w:link w:val="CitaTextualLarga"/>
    <w:uiPriority w:val="1"/>
    <w:rsid w:val="00C964CF"/>
    <w:rPr>
      <w:rFonts w:ascii="Times New Roman" w:hAnsi="Times New Roman" w:cs="Times New Roman"/>
      <w:sz w:val="24"/>
      <w:szCs w:val="24"/>
    </w:rPr>
  </w:style>
  <w:style w:type="character" w:customStyle="1" w:styleId="CitaLargaCar">
    <w:name w:val="Cita Larga Car"/>
    <w:basedOn w:val="CitaTextualLargaCar"/>
    <w:link w:val="CitaLarga"/>
    <w:uiPriority w:val="1"/>
    <w:rsid w:val="00C964CF"/>
    <w:rPr>
      <w:rFonts w:ascii="Times New Roman" w:hAnsi="Times New Roman" w:cs="Times New Roman"/>
      <w:sz w:val="24"/>
      <w:szCs w:val="24"/>
    </w:rPr>
  </w:style>
  <w:style w:type="character" w:customStyle="1" w:styleId="Ttulo5Car">
    <w:name w:val="Título 5 Car"/>
    <w:basedOn w:val="Fuentedeprrafopredeter"/>
    <w:link w:val="Ttulo5"/>
    <w:uiPriority w:val="9"/>
    <w:rsid w:val="00957657"/>
    <w:rPr>
      <w:rFonts w:asciiTheme="majorHAnsi" w:eastAsiaTheme="majorEastAsia" w:hAnsiTheme="majorHAnsi" w:cstheme="majorBidi"/>
      <w:color w:val="2E74B5" w:themeColor="accent1" w:themeShade="BF"/>
      <w:lang w:val="en-US"/>
    </w:rPr>
  </w:style>
  <w:style w:type="character" w:styleId="Mencinsinresolver">
    <w:name w:val="Unresolved Mention"/>
    <w:basedOn w:val="Fuentedeprrafopredeter"/>
    <w:uiPriority w:val="99"/>
    <w:semiHidden/>
    <w:unhideWhenUsed/>
    <w:rsid w:val="0041484C"/>
    <w:rPr>
      <w:color w:val="605E5C"/>
      <w:shd w:val="clear" w:color="auto" w:fill="E1DFDD"/>
    </w:rPr>
  </w:style>
  <w:style w:type="paragraph" w:styleId="NormalWeb">
    <w:name w:val="Normal (Web)"/>
    <w:basedOn w:val="Normal"/>
    <w:uiPriority w:val="99"/>
    <w:unhideWhenUsed/>
    <w:rsid w:val="0041484C"/>
    <w:pPr>
      <w:widowControl/>
      <w:spacing w:before="100" w:beforeAutospacing="1" w:after="100" w:afterAutospacing="1"/>
    </w:pPr>
    <w:rPr>
      <w:rFonts w:ascii="Times New Roman" w:eastAsia="Times New Roman" w:hAnsi="Times New Roman" w:cs="Times New Roman"/>
      <w:sz w:val="24"/>
      <w:szCs w:val="24"/>
      <w:lang w:eastAsia="es-HN"/>
    </w:rPr>
  </w:style>
  <w:style w:type="character" w:customStyle="1" w:styleId="spipnoteref">
    <w:name w:val="spip_note_ref"/>
    <w:basedOn w:val="Fuentedeprrafopredeter"/>
    <w:rsid w:val="0041484C"/>
  </w:style>
  <w:style w:type="character" w:customStyle="1" w:styleId="glmot">
    <w:name w:val="gl_mot"/>
    <w:basedOn w:val="Fuentedeprrafopredeter"/>
    <w:rsid w:val="0041484C"/>
  </w:style>
  <w:style w:type="paragraph" w:styleId="Bibliografa">
    <w:name w:val="Bibliography"/>
    <w:basedOn w:val="Normal"/>
    <w:next w:val="Normal"/>
    <w:uiPriority w:val="37"/>
    <w:unhideWhenUsed/>
    <w:rsid w:val="006373F9"/>
    <w:pPr>
      <w:spacing w:line="480" w:lineRule="auto"/>
      <w:ind w:left="720" w:hanging="720"/>
    </w:pPr>
  </w:style>
  <w:style w:type="character" w:styleId="Hipervnculovisitado">
    <w:name w:val="FollowedHyperlink"/>
    <w:basedOn w:val="Fuentedeprrafopredeter"/>
    <w:uiPriority w:val="99"/>
    <w:semiHidden/>
    <w:unhideWhenUsed/>
    <w:rsid w:val="00E064F2"/>
    <w:rPr>
      <w:color w:val="954F72" w:themeColor="followedHyperlink"/>
      <w:u w:val="single"/>
    </w:rPr>
  </w:style>
  <w:style w:type="paragraph" w:styleId="TDC5">
    <w:name w:val="toc 5"/>
    <w:basedOn w:val="Normal"/>
    <w:next w:val="Normal"/>
    <w:autoRedefine/>
    <w:uiPriority w:val="39"/>
    <w:unhideWhenUsed/>
    <w:rsid w:val="00951FA0"/>
    <w:pPr>
      <w:widowControl/>
      <w:spacing w:after="100" w:line="278" w:lineRule="auto"/>
      <w:ind w:left="960"/>
    </w:pPr>
    <w:rPr>
      <w:rFonts w:eastAsiaTheme="minorEastAsia"/>
      <w:kern w:val="2"/>
      <w:sz w:val="24"/>
      <w:szCs w:val="24"/>
      <w:lang w:eastAsia="es-HN"/>
    </w:rPr>
  </w:style>
  <w:style w:type="paragraph" w:styleId="TDC6">
    <w:name w:val="toc 6"/>
    <w:basedOn w:val="Normal"/>
    <w:next w:val="Normal"/>
    <w:autoRedefine/>
    <w:uiPriority w:val="39"/>
    <w:unhideWhenUsed/>
    <w:rsid w:val="00951FA0"/>
    <w:pPr>
      <w:widowControl/>
      <w:spacing w:after="100" w:line="278" w:lineRule="auto"/>
      <w:ind w:left="1200"/>
    </w:pPr>
    <w:rPr>
      <w:rFonts w:eastAsiaTheme="minorEastAsia"/>
      <w:kern w:val="2"/>
      <w:sz w:val="24"/>
      <w:szCs w:val="24"/>
      <w:lang w:eastAsia="es-HN"/>
    </w:rPr>
  </w:style>
  <w:style w:type="paragraph" w:styleId="TDC7">
    <w:name w:val="toc 7"/>
    <w:basedOn w:val="Normal"/>
    <w:next w:val="Normal"/>
    <w:autoRedefine/>
    <w:uiPriority w:val="39"/>
    <w:unhideWhenUsed/>
    <w:rsid w:val="00951FA0"/>
    <w:pPr>
      <w:widowControl/>
      <w:spacing w:after="100" w:line="278" w:lineRule="auto"/>
      <w:ind w:left="1440"/>
    </w:pPr>
    <w:rPr>
      <w:rFonts w:eastAsiaTheme="minorEastAsia"/>
      <w:kern w:val="2"/>
      <w:sz w:val="24"/>
      <w:szCs w:val="24"/>
      <w:lang w:eastAsia="es-HN"/>
    </w:rPr>
  </w:style>
  <w:style w:type="paragraph" w:styleId="TDC8">
    <w:name w:val="toc 8"/>
    <w:basedOn w:val="Normal"/>
    <w:next w:val="Normal"/>
    <w:autoRedefine/>
    <w:uiPriority w:val="39"/>
    <w:unhideWhenUsed/>
    <w:rsid w:val="00951FA0"/>
    <w:pPr>
      <w:widowControl/>
      <w:spacing w:after="100" w:line="278" w:lineRule="auto"/>
      <w:ind w:left="1680"/>
    </w:pPr>
    <w:rPr>
      <w:rFonts w:eastAsiaTheme="minorEastAsia"/>
      <w:kern w:val="2"/>
      <w:sz w:val="24"/>
      <w:szCs w:val="24"/>
      <w:lang w:eastAsia="es-HN"/>
    </w:rPr>
  </w:style>
  <w:style w:type="paragraph" w:styleId="TDC9">
    <w:name w:val="toc 9"/>
    <w:basedOn w:val="Normal"/>
    <w:next w:val="Normal"/>
    <w:autoRedefine/>
    <w:uiPriority w:val="39"/>
    <w:unhideWhenUsed/>
    <w:rsid w:val="00951FA0"/>
    <w:pPr>
      <w:widowControl/>
      <w:spacing w:after="100" w:line="278" w:lineRule="auto"/>
      <w:ind w:left="1920"/>
    </w:pPr>
    <w:rPr>
      <w:rFonts w:eastAsiaTheme="minorEastAsia"/>
      <w:kern w:val="2"/>
      <w:sz w:val="24"/>
      <w:szCs w:val="24"/>
      <w:lang w:eastAsia="es-HN"/>
    </w:rPr>
  </w:style>
  <w:style w:type="paragraph" w:customStyle="1" w:styleId="Els-NoIndent">
    <w:name w:val="Els-NoIndent"/>
    <w:basedOn w:val="Normal"/>
    <w:qFormat/>
    <w:rsid w:val="005248C9"/>
    <w:pPr>
      <w:widowControl/>
      <w:spacing w:line="230" w:lineRule="exact"/>
      <w:jc w:val="both"/>
    </w:pPr>
    <w:rPr>
      <w:rFonts w:ascii="Times New Roman" w:eastAsia="SimSun" w:hAnsi="Times New Roman" w:cs="Times New Roman"/>
      <w:sz w:val="16"/>
      <w:szCs w:val="20"/>
      <w:lang w:val="en-US"/>
    </w:rPr>
  </w:style>
  <w:style w:type="paragraph" w:customStyle="1" w:styleId="Fuentes">
    <w:name w:val="Fuentes"/>
    <w:basedOn w:val="TextoPrincipal"/>
    <w:link w:val="FuentesCar"/>
    <w:uiPriority w:val="1"/>
    <w:qFormat/>
    <w:rsid w:val="0081027F"/>
    <w:pPr>
      <w:widowControl/>
      <w:spacing w:line="360" w:lineRule="auto"/>
      <w:jc w:val="left"/>
    </w:pPr>
    <w:rPr>
      <w:rFonts w:eastAsia="Calibri"/>
      <w:sz w:val="20"/>
      <w:szCs w:val="20"/>
      <w:lang w:val="pt-PT"/>
    </w:rPr>
  </w:style>
  <w:style w:type="character" w:customStyle="1" w:styleId="FuentesCar">
    <w:name w:val="Fuentes Car"/>
    <w:basedOn w:val="TextoPrincipalCar"/>
    <w:link w:val="Fuentes"/>
    <w:uiPriority w:val="1"/>
    <w:rsid w:val="0081027F"/>
    <w:rPr>
      <w:rFonts w:ascii="Times New Roman" w:eastAsia="Calibri" w:hAnsi="Times New Roman" w:cs="Times New Roman"/>
      <w:sz w:val="20"/>
      <w:szCs w:val="20"/>
      <w:lang w:val="pt-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4872018">
      <w:bodyDiv w:val="1"/>
      <w:marLeft w:val="0"/>
      <w:marRight w:val="0"/>
      <w:marTop w:val="0"/>
      <w:marBottom w:val="0"/>
      <w:divBdr>
        <w:top w:val="none" w:sz="0" w:space="0" w:color="auto"/>
        <w:left w:val="none" w:sz="0" w:space="0" w:color="auto"/>
        <w:bottom w:val="none" w:sz="0" w:space="0" w:color="auto"/>
        <w:right w:val="none" w:sz="0" w:space="0" w:color="auto"/>
      </w:divBdr>
    </w:div>
    <w:div w:id="47144626">
      <w:bodyDiv w:val="1"/>
      <w:marLeft w:val="0"/>
      <w:marRight w:val="0"/>
      <w:marTop w:val="0"/>
      <w:marBottom w:val="0"/>
      <w:divBdr>
        <w:top w:val="none" w:sz="0" w:space="0" w:color="auto"/>
        <w:left w:val="none" w:sz="0" w:space="0" w:color="auto"/>
        <w:bottom w:val="none" w:sz="0" w:space="0" w:color="auto"/>
        <w:right w:val="none" w:sz="0" w:space="0" w:color="auto"/>
      </w:divBdr>
    </w:div>
    <w:div w:id="57048160">
      <w:bodyDiv w:val="1"/>
      <w:marLeft w:val="0"/>
      <w:marRight w:val="0"/>
      <w:marTop w:val="0"/>
      <w:marBottom w:val="0"/>
      <w:divBdr>
        <w:top w:val="none" w:sz="0" w:space="0" w:color="auto"/>
        <w:left w:val="none" w:sz="0" w:space="0" w:color="auto"/>
        <w:bottom w:val="none" w:sz="0" w:space="0" w:color="auto"/>
        <w:right w:val="none" w:sz="0" w:space="0" w:color="auto"/>
      </w:divBdr>
    </w:div>
    <w:div w:id="58292989">
      <w:bodyDiv w:val="1"/>
      <w:marLeft w:val="0"/>
      <w:marRight w:val="0"/>
      <w:marTop w:val="0"/>
      <w:marBottom w:val="0"/>
      <w:divBdr>
        <w:top w:val="none" w:sz="0" w:space="0" w:color="auto"/>
        <w:left w:val="none" w:sz="0" w:space="0" w:color="auto"/>
        <w:bottom w:val="none" w:sz="0" w:space="0" w:color="auto"/>
        <w:right w:val="none" w:sz="0" w:space="0" w:color="auto"/>
      </w:divBdr>
    </w:div>
    <w:div w:id="93594852">
      <w:bodyDiv w:val="1"/>
      <w:marLeft w:val="0"/>
      <w:marRight w:val="0"/>
      <w:marTop w:val="0"/>
      <w:marBottom w:val="0"/>
      <w:divBdr>
        <w:top w:val="none" w:sz="0" w:space="0" w:color="auto"/>
        <w:left w:val="none" w:sz="0" w:space="0" w:color="auto"/>
        <w:bottom w:val="none" w:sz="0" w:space="0" w:color="auto"/>
        <w:right w:val="none" w:sz="0" w:space="0" w:color="auto"/>
      </w:divBdr>
    </w:div>
    <w:div w:id="114326326">
      <w:bodyDiv w:val="1"/>
      <w:marLeft w:val="0"/>
      <w:marRight w:val="0"/>
      <w:marTop w:val="0"/>
      <w:marBottom w:val="0"/>
      <w:divBdr>
        <w:top w:val="none" w:sz="0" w:space="0" w:color="auto"/>
        <w:left w:val="none" w:sz="0" w:space="0" w:color="auto"/>
        <w:bottom w:val="none" w:sz="0" w:space="0" w:color="auto"/>
        <w:right w:val="none" w:sz="0" w:space="0" w:color="auto"/>
      </w:divBdr>
    </w:div>
    <w:div w:id="135531026">
      <w:bodyDiv w:val="1"/>
      <w:marLeft w:val="0"/>
      <w:marRight w:val="0"/>
      <w:marTop w:val="0"/>
      <w:marBottom w:val="0"/>
      <w:divBdr>
        <w:top w:val="none" w:sz="0" w:space="0" w:color="auto"/>
        <w:left w:val="none" w:sz="0" w:space="0" w:color="auto"/>
        <w:bottom w:val="none" w:sz="0" w:space="0" w:color="auto"/>
        <w:right w:val="none" w:sz="0" w:space="0" w:color="auto"/>
      </w:divBdr>
    </w:div>
    <w:div w:id="199170247">
      <w:bodyDiv w:val="1"/>
      <w:marLeft w:val="0"/>
      <w:marRight w:val="0"/>
      <w:marTop w:val="0"/>
      <w:marBottom w:val="0"/>
      <w:divBdr>
        <w:top w:val="none" w:sz="0" w:space="0" w:color="auto"/>
        <w:left w:val="none" w:sz="0" w:space="0" w:color="auto"/>
        <w:bottom w:val="none" w:sz="0" w:space="0" w:color="auto"/>
        <w:right w:val="none" w:sz="0" w:space="0" w:color="auto"/>
      </w:divBdr>
    </w:div>
    <w:div w:id="380634960">
      <w:bodyDiv w:val="1"/>
      <w:marLeft w:val="0"/>
      <w:marRight w:val="0"/>
      <w:marTop w:val="0"/>
      <w:marBottom w:val="0"/>
      <w:divBdr>
        <w:top w:val="none" w:sz="0" w:space="0" w:color="auto"/>
        <w:left w:val="none" w:sz="0" w:space="0" w:color="auto"/>
        <w:bottom w:val="none" w:sz="0" w:space="0" w:color="auto"/>
        <w:right w:val="none" w:sz="0" w:space="0" w:color="auto"/>
      </w:divBdr>
    </w:div>
    <w:div w:id="402727847">
      <w:bodyDiv w:val="1"/>
      <w:marLeft w:val="0"/>
      <w:marRight w:val="0"/>
      <w:marTop w:val="0"/>
      <w:marBottom w:val="0"/>
      <w:divBdr>
        <w:top w:val="none" w:sz="0" w:space="0" w:color="auto"/>
        <w:left w:val="none" w:sz="0" w:space="0" w:color="auto"/>
        <w:bottom w:val="none" w:sz="0" w:space="0" w:color="auto"/>
        <w:right w:val="none" w:sz="0" w:space="0" w:color="auto"/>
      </w:divBdr>
    </w:div>
    <w:div w:id="491917393">
      <w:bodyDiv w:val="1"/>
      <w:marLeft w:val="0"/>
      <w:marRight w:val="0"/>
      <w:marTop w:val="0"/>
      <w:marBottom w:val="0"/>
      <w:divBdr>
        <w:top w:val="none" w:sz="0" w:space="0" w:color="auto"/>
        <w:left w:val="none" w:sz="0" w:space="0" w:color="auto"/>
        <w:bottom w:val="none" w:sz="0" w:space="0" w:color="auto"/>
        <w:right w:val="none" w:sz="0" w:space="0" w:color="auto"/>
      </w:divBdr>
    </w:div>
    <w:div w:id="517701211">
      <w:bodyDiv w:val="1"/>
      <w:marLeft w:val="0"/>
      <w:marRight w:val="0"/>
      <w:marTop w:val="0"/>
      <w:marBottom w:val="0"/>
      <w:divBdr>
        <w:top w:val="none" w:sz="0" w:space="0" w:color="auto"/>
        <w:left w:val="none" w:sz="0" w:space="0" w:color="auto"/>
        <w:bottom w:val="none" w:sz="0" w:space="0" w:color="auto"/>
        <w:right w:val="none" w:sz="0" w:space="0" w:color="auto"/>
      </w:divBdr>
      <w:divsChild>
        <w:div w:id="612592498">
          <w:marLeft w:val="547"/>
          <w:marRight w:val="0"/>
          <w:marTop w:val="0"/>
          <w:marBottom w:val="0"/>
          <w:divBdr>
            <w:top w:val="none" w:sz="0" w:space="0" w:color="auto"/>
            <w:left w:val="none" w:sz="0" w:space="0" w:color="auto"/>
            <w:bottom w:val="none" w:sz="0" w:space="0" w:color="auto"/>
            <w:right w:val="none" w:sz="0" w:space="0" w:color="auto"/>
          </w:divBdr>
        </w:div>
      </w:divsChild>
    </w:div>
    <w:div w:id="602808131">
      <w:bodyDiv w:val="1"/>
      <w:marLeft w:val="0"/>
      <w:marRight w:val="0"/>
      <w:marTop w:val="0"/>
      <w:marBottom w:val="0"/>
      <w:divBdr>
        <w:top w:val="none" w:sz="0" w:space="0" w:color="auto"/>
        <w:left w:val="none" w:sz="0" w:space="0" w:color="auto"/>
        <w:bottom w:val="none" w:sz="0" w:space="0" w:color="auto"/>
        <w:right w:val="none" w:sz="0" w:space="0" w:color="auto"/>
      </w:divBdr>
    </w:div>
    <w:div w:id="606617683">
      <w:bodyDiv w:val="1"/>
      <w:marLeft w:val="0"/>
      <w:marRight w:val="0"/>
      <w:marTop w:val="0"/>
      <w:marBottom w:val="0"/>
      <w:divBdr>
        <w:top w:val="none" w:sz="0" w:space="0" w:color="auto"/>
        <w:left w:val="none" w:sz="0" w:space="0" w:color="auto"/>
        <w:bottom w:val="none" w:sz="0" w:space="0" w:color="auto"/>
        <w:right w:val="none" w:sz="0" w:space="0" w:color="auto"/>
      </w:divBdr>
    </w:div>
    <w:div w:id="637879834">
      <w:bodyDiv w:val="1"/>
      <w:marLeft w:val="0"/>
      <w:marRight w:val="0"/>
      <w:marTop w:val="0"/>
      <w:marBottom w:val="0"/>
      <w:divBdr>
        <w:top w:val="none" w:sz="0" w:space="0" w:color="auto"/>
        <w:left w:val="none" w:sz="0" w:space="0" w:color="auto"/>
        <w:bottom w:val="none" w:sz="0" w:space="0" w:color="auto"/>
        <w:right w:val="none" w:sz="0" w:space="0" w:color="auto"/>
      </w:divBdr>
    </w:div>
    <w:div w:id="690759165">
      <w:bodyDiv w:val="1"/>
      <w:marLeft w:val="0"/>
      <w:marRight w:val="0"/>
      <w:marTop w:val="0"/>
      <w:marBottom w:val="0"/>
      <w:divBdr>
        <w:top w:val="none" w:sz="0" w:space="0" w:color="auto"/>
        <w:left w:val="none" w:sz="0" w:space="0" w:color="auto"/>
        <w:bottom w:val="none" w:sz="0" w:space="0" w:color="auto"/>
        <w:right w:val="none" w:sz="0" w:space="0" w:color="auto"/>
      </w:divBdr>
    </w:div>
    <w:div w:id="717435464">
      <w:bodyDiv w:val="1"/>
      <w:marLeft w:val="0"/>
      <w:marRight w:val="0"/>
      <w:marTop w:val="0"/>
      <w:marBottom w:val="0"/>
      <w:divBdr>
        <w:top w:val="none" w:sz="0" w:space="0" w:color="auto"/>
        <w:left w:val="none" w:sz="0" w:space="0" w:color="auto"/>
        <w:bottom w:val="none" w:sz="0" w:space="0" w:color="auto"/>
        <w:right w:val="none" w:sz="0" w:space="0" w:color="auto"/>
      </w:divBdr>
    </w:div>
    <w:div w:id="900363132">
      <w:bodyDiv w:val="1"/>
      <w:marLeft w:val="0"/>
      <w:marRight w:val="0"/>
      <w:marTop w:val="0"/>
      <w:marBottom w:val="0"/>
      <w:divBdr>
        <w:top w:val="none" w:sz="0" w:space="0" w:color="auto"/>
        <w:left w:val="none" w:sz="0" w:space="0" w:color="auto"/>
        <w:bottom w:val="none" w:sz="0" w:space="0" w:color="auto"/>
        <w:right w:val="none" w:sz="0" w:space="0" w:color="auto"/>
      </w:divBdr>
    </w:div>
    <w:div w:id="995300573">
      <w:bodyDiv w:val="1"/>
      <w:marLeft w:val="0"/>
      <w:marRight w:val="0"/>
      <w:marTop w:val="0"/>
      <w:marBottom w:val="0"/>
      <w:divBdr>
        <w:top w:val="none" w:sz="0" w:space="0" w:color="auto"/>
        <w:left w:val="none" w:sz="0" w:space="0" w:color="auto"/>
        <w:bottom w:val="none" w:sz="0" w:space="0" w:color="auto"/>
        <w:right w:val="none" w:sz="0" w:space="0" w:color="auto"/>
      </w:divBdr>
    </w:div>
    <w:div w:id="1000960543">
      <w:bodyDiv w:val="1"/>
      <w:marLeft w:val="0"/>
      <w:marRight w:val="0"/>
      <w:marTop w:val="0"/>
      <w:marBottom w:val="0"/>
      <w:divBdr>
        <w:top w:val="none" w:sz="0" w:space="0" w:color="auto"/>
        <w:left w:val="none" w:sz="0" w:space="0" w:color="auto"/>
        <w:bottom w:val="none" w:sz="0" w:space="0" w:color="auto"/>
        <w:right w:val="none" w:sz="0" w:space="0" w:color="auto"/>
      </w:divBdr>
    </w:div>
    <w:div w:id="1005330303">
      <w:bodyDiv w:val="1"/>
      <w:marLeft w:val="0"/>
      <w:marRight w:val="0"/>
      <w:marTop w:val="0"/>
      <w:marBottom w:val="0"/>
      <w:divBdr>
        <w:top w:val="none" w:sz="0" w:space="0" w:color="auto"/>
        <w:left w:val="none" w:sz="0" w:space="0" w:color="auto"/>
        <w:bottom w:val="none" w:sz="0" w:space="0" w:color="auto"/>
        <w:right w:val="none" w:sz="0" w:space="0" w:color="auto"/>
      </w:divBdr>
    </w:div>
    <w:div w:id="1019047231">
      <w:bodyDiv w:val="1"/>
      <w:marLeft w:val="0"/>
      <w:marRight w:val="0"/>
      <w:marTop w:val="0"/>
      <w:marBottom w:val="0"/>
      <w:divBdr>
        <w:top w:val="none" w:sz="0" w:space="0" w:color="auto"/>
        <w:left w:val="none" w:sz="0" w:space="0" w:color="auto"/>
        <w:bottom w:val="none" w:sz="0" w:space="0" w:color="auto"/>
        <w:right w:val="none" w:sz="0" w:space="0" w:color="auto"/>
      </w:divBdr>
    </w:div>
    <w:div w:id="1083725621">
      <w:bodyDiv w:val="1"/>
      <w:marLeft w:val="0"/>
      <w:marRight w:val="0"/>
      <w:marTop w:val="0"/>
      <w:marBottom w:val="0"/>
      <w:divBdr>
        <w:top w:val="none" w:sz="0" w:space="0" w:color="auto"/>
        <w:left w:val="none" w:sz="0" w:space="0" w:color="auto"/>
        <w:bottom w:val="none" w:sz="0" w:space="0" w:color="auto"/>
        <w:right w:val="none" w:sz="0" w:space="0" w:color="auto"/>
      </w:divBdr>
    </w:div>
    <w:div w:id="1107117394">
      <w:bodyDiv w:val="1"/>
      <w:marLeft w:val="0"/>
      <w:marRight w:val="0"/>
      <w:marTop w:val="0"/>
      <w:marBottom w:val="0"/>
      <w:divBdr>
        <w:top w:val="none" w:sz="0" w:space="0" w:color="auto"/>
        <w:left w:val="none" w:sz="0" w:space="0" w:color="auto"/>
        <w:bottom w:val="none" w:sz="0" w:space="0" w:color="auto"/>
        <w:right w:val="none" w:sz="0" w:space="0" w:color="auto"/>
      </w:divBdr>
    </w:div>
    <w:div w:id="1129669889">
      <w:bodyDiv w:val="1"/>
      <w:marLeft w:val="0"/>
      <w:marRight w:val="0"/>
      <w:marTop w:val="0"/>
      <w:marBottom w:val="0"/>
      <w:divBdr>
        <w:top w:val="none" w:sz="0" w:space="0" w:color="auto"/>
        <w:left w:val="none" w:sz="0" w:space="0" w:color="auto"/>
        <w:bottom w:val="none" w:sz="0" w:space="0" w:color="auto"/>
        <w:right w:val="none" w:sz="0" w:space="0" w:color="auto"/>
      </w:divBdr>
    </w:div>
    <w:div w:id="1153327287">
      <w:bodyDiv w:val="1"/>
      <w:marLeft w:val="0"/>
      <w:marRight w:val="0"/>
      <w:marTop w:val="0"/>
      <w:marBottom w:val="0"/>
      <w:divBdr>
        <w:top w:val="none" w:sz="0" w:space="0" w:color="auto"/>
        <w:left w:val="none" w:sz="0" w:space="0" w:color="auto"/>
        <w:bottom w:val="none" w:sz="0" w:space="0" w:color="auto"/>
        <w:right w:val="none" w:sz="0" w:space="0" w:color="auto"/>
      </w:divBdr>
    </w:div>
    <w:div w:id="1193878441">
      <w:bodyDiv w:val="1"/>
      <w:marLeft w:val="0"/>
      <w:marRight w:val="0"/>
      <w:marTop w:val="0"/>
      <w:marBottom w:val="0"/>
      <w:divBdr>
        <w:top w:val="none" w:sz="0" w:space="0" w:color="auto"/>
        <w:left w:val="none" w:sz="0" w:space="0" w:color="auto"/>
        <w:bottom w:val="none" w:sz="0" w:space="0" w:color="auto"/>
        <w:right w:val="none" w:sz="0" w:space="0" w:color="auto"/>
      </w:divBdr>
    </w:div>
    <w:div w:id="1321347174">
      <w:bodyDiv w:val="1"/>
      <w:marLeft w:val="0"/>
      <w:marRight w:val="0"/>
      <w:marTop w:val="0"/>
      <w:marBottom w:val="0"/>
      <w:divBdr>
        <w:top w:val="none" w:sz="0" w:space="0" w:color="auto"/>
        <w:left w:val="none" w:sz="0" w:space="0" w:color="auto"/>
        <w:bottom w:val="none" w:sz="0" w:space="0" w:color="auto"/>
        <w:right w:val="none" w:sz="0" w:space="0" w:color="auto"/>
      </w:divBdr>
    </w:div>
    <w:div w:id="1321688519">
      <w:bodyDiv w:val="1"/>
      <w:marLeft w:val="0"/>
      <w:marRight w:val="0"/>
      <w:marTop w:val="0"/>
      <w:marBottom w:val="0"/>
      <w:divBdr>
        <w:top w:val="none" w:sz="0" w:space="0" w:color="auto"/>
        <w:left w:val="none" w:sz="0" w:space="0" w:color="auto"/>
        <w:bottom w:val="none" w:sz="0" w:space="0" w:color="auto"/>
        <w:right w:val="none" w:sz="0" w:space="0" w:color="auto"/>
      </w:divBdr>
    </w:div>
    <w:div w:id="1327710086">
      <w:bodyDiv w:val="1"/>
      <w:marLeft w:val="0"/>
      <w:marRight w:val="0"/>
      <w:marTop w:val="0"/>
      <w:marBottom w:val="0"/>
      <w:divBdr>
        <w:top w:val="none" w:sz="0" w:space="0" w:color="auto"/>
        <w:left w:val="none" w:sz="0" w:space="0" w:color="auto"/>
        <w:bottom w:val="none" w:sz="0" w:space="0" w:color="auto"/>
        <w:right w:val="none" w:sz="0" w:space="0" w:color="auto"/>
      </w:divBdr>
    </w:div>
    <w:div w:id="1448041019">
      <w:bodyDiv w:val="1"/>
      <w:marLeft w:val="0"/>
      <w:marRight w:val="0"/>
      <w:marTop w:val="0"/>
      <w:marBottom w:val="0"/>
      <w:divBdr>
        <w:top w:val="none" w:sz="0" w:space="0" w:color="auto"/>
        <w:left w:val="none" w:sz="0" w:space="0" w:color="auto"/>
        <w:bottom w:val="none" w:sz="0" w:space="0" w:color="auto"/>
        <w:right w:val="none" w:sz="0" w:space="0" w:color="auto"/>
      </w:divBdr>
    </w:div>
    <w:div w:id="1455826574">
      <w:bodyDiv w:val="1"/>
      <w:marLeft w:val="0"/>
      <w:marRight w:val="0"/>
      <w:marTop w:val="0"/>
      <w:marBottom w:val="0"/>
      <w:divBdr>
        <w:top w:val="none" w:sz="0" w:space="0" w:color="auto"/>
        <w:left w:val="none" w:sz="0" w:space="0" w:color="auto"/>
        <w:bottom w:val="none" w:sz="0" w:space="0" w:color="auto"/>
        <w:right w:val="none" w:sz="0" w:space="0" w:color="auto"/>
      </w:divBdr>
    </w:div>
    <w:div w:id="1520851378">
      <w:bodyDiv w:val="1"/>
      <w:marLeft w:val="0"/>
      <w:marRight w:val="0"/>
      <w:marTop w:val="0"/>
      <w:marBottom w:val="0"/>
      <w:divBdr>
        <w:top w:val="none" w:sz="0" w:space="0" w:color="auto"/>
        <w:left w:val="none" w:sz="0" w:space="0" w:color="auto"/>
        <w:bottom w:val="none" w:sz="0" w:space="0" w:color="auto"/>
        <w:right w:val="none" w:sz="0" w:space="0" w:color="auto"/>
      </w:divBdr>
    </w:div>
    <w:div w:id="1528905776">
      <w:bodyDiv w:val="1"/>
      <w:marLeft w:val="0"/>
      <w:marRight w:val="0"/>
      <w:marTop w:val="0"/>
      <w:marBottom w:val="0"/>
      <w:divBdr>
        <w:top w:val="none" w:sz="0" w:space="0" w:color="auto"/>
        <w:left w:val="none" w:sz="0" w:space="0" w:color="auto"/>
        <w:bottom w:val="none" w:sz="0" w:space="0" w:color="auto"/>
        <w:right w:val="none" w:sz="0" w:space="0" w:color="auto"/>
      </w:divBdr>
    </w:div>
    <w:div w:id="1594511882">
      <w:bodyDiv w:val="1"/>
      <w:marLeft w:val="0"/>
      <w:marRight w:val="0"/>
      <w:marTop w:val="0"/>
      <w:marBottom w:val="0"/>
      <w:divBdr>
        <w:top w:val="none" w:sz="0" w:space="0" w:color="auto"/>
        <w:left w:val="none" w:sz="0" w:space="0" w:color="auto"/>
        <w:bottom w:val="none" w:sz="0" w:space="0" w:color="auto"/>
        <w:right w:val="none" w:sz="0" w:space="0" w:color="auto"/>
      </w:divBdr>
    </w:div>
    <w:div w:id="1622834698">
      <w:bodyDiv w:val="1"/>
      <w:marLeft w:val="0"/>
      <w:marRight w:val="0"/>
      <w:marTop w:val="0"/>
      <w:marBottom w:val="0"/>
      <w:divBdr>
        <w:top w:val="none" w:sz="0" w:space="0" w:color="auto"/>
        <w:left w:val="none" w:sz="0" w:space="0" w:color="auto"/>
        <w:bottom w:val="none" w:sz="0" w:space="0" w:color="auto"/>
        <w:right w:val="none" w:sz="0" w:space="0" w:color="auto"/>
      </w:divBdr>
    </w:div>
    <w:div w:id="1693413253">
      <w:bodyDiv w:val="1"/>
      <w:marLeft w:val="0"/>
      <w:marRight w:val="0"/>
      <w:marTop w:val="0"/>
      <w:marBottom w:val="0"/>
      <w:divBdr>
        <w:top w:val="none" w:sz="0" w:space="0" w:color="auto"/>
        <w:left w:val="none" w:sz="0" w:space="0" w:color="auto"/>
        <w:bottom w:val="none" w:sz="0" w:space="0" w:color="auto"/>
        <w:right w:val="none" w:sz="0" w:space="0" w:color="auto"/>
      </w:divBdr>
    </w:div>
    <w:div w:id="1720352006">
      <w:bodyDiv w:val="1"/>
      <w:marLeft w:val="0"/>
      <w:marRight w:val="0"/>
      <w:marTop w:val="0"/>
      <w:marBottom w:val="0"/>
      <w:divBdr>
        <w:top w:val="none" w:sz="0" w:space="0" w:color="auto"/>
        <w:left w:val="none" w:sz="0" w:space="0" w:color="auto"/>
        <w:bottom w:val="none" w:sz="0" w:space="0" w:color="auto"/>
        <w:right w:val="none" w:sz="0" w:space="0" w:color="auto"/>
      </w:divBdr>
    </w:div>
    <w:div w:id="1750537562">
      <w:bodyDiv w:val="1"/>
      <w:marLeft w:val="0"/>
      <w:marRight w:val="0"/>
      <w:marTop w:val="0"/>
      <w:marBottom w:val="0"/>
      <w:divBdr>
        <w:top w:val="none" w:sz="0" w:space="0" w:color="auto"/>
        <w:left w:val="none" w:sz="0" w:space="0" w:color="auto"/>
        <w:bottom w:val="none" w:sz="0" w:space="0" w:color="auto"/>
        <w:right w:val="none" w:sz="0" w:space="0" w:color="auto"/>
      </w:divBdr>
    </w:div>
    <w:div w:id="1762531864">
      <w:bodyDiv w:val="1"/>
      <w:marLeft w:val="0"/>
      <w:marRight w:val="0"/>
      <w:marTop w:val="0"/>
      <w:marBottom w:val="0"/>
      <w:divBdr>
        <w:top w:val="none" w:sz="0" w:space="0" w:color="auto"/>
        <w:left w:val="none" w:sz="0" w:space="0" w:color="auto"/>
        <w:bottom w:val="none" w:sz="0" w:space="0" w:color="auto"/>
        <w:right w:val="none" w:sz="0" w:space="0" w:color="auto"/>
      </w:divBdr>
    </w:div>
    <w:div w:id="1779910877">
      <w:bodyDiv w:val="1"/>
      <w:marLeft w:val="0"/>
      <w:marRight w:val="0"/>
      <w:marTop w:val="0"/>
      <w:marBottom w:val="0"/>
      <w:divBdr>
        <w:top w:val="none" w:sz="0" w:space="0" w:color="auto"/>
        <w:left w:val="none" w:sz="0" w:space="0" w:color="auto"/>
        <w:bottom w:val="none" w:sz="0" w:space="0" w:color="auto"/>
        <w:right w:val="none" w:sz="0" w:space="0" w:color="auto"/>
      </w:divBdr>
    </w:div>
    <w:div w:id="1802310485">
      <w:bodyDiv w:val="1"/>
      <w:marLeft w:val="0"/>
      <w:marRight w:val="0"/>
      <w:marTop w:val="0"/>
      <w:marBottom w:val="0"/>
      <w:divBdr>
        <w:top w:val="none" w:sz="0" w:space="0" w:color="auto"/>
        <w:left w:val="none" w:sz="0" w:space="0" w:color="auto"/>
        <w:bottom w:val="none" w:sz="0" w:space="0" w:color="auto"/>
        <w:right w:val="none" w:sz="0" w:space="0" w:color="auto"/>
      </w:divBdr>
    </w:div>
    <w:div w:id="1806044540">
      <w:bodyDiv w:val="1"/>
      <w:marLeft w:val="0"/>
      <w:marRight w:val="0"/>
      <w:marTop w:val="0"/>
      <w:marBottom w:val="0"/>
      <w:divBdr>
        <w:top w:val="none" w:sz="0" w:space="0" w:color="auto"/>
        <w:left w:val="none" w:sz="0" w:space="0" w:color="auto"/>
        <w:bottom w:val="none" w:sz="0" w:space="0" w:color="auto"/>
        <w:right w:val="none" w:sz="0" w:space="0" w:color="auto"/>
      </w:divBdr>
    </w:div>
    <w:div w:id="1807968285">
      <w:bodyDiv w:val="1"/>
      <w:marLeft w:val="0"/>
      <w:marRight w:val="0"/>
      <w:marTop w:val="0"/>
      <w:marBottom w:val="0"/>
      <w:divBdr>
        <w:top w:val="none" w:sz="0" w:space="0" w:color="auto"/>
        <w:left w:val="none" w:sz="0" w:space="0" w:color="auto"/>
        <w:bottom w:val="none" w:sz="0" w:space="0" w:color="auto"/>
        <w:right w:val="none" w:sz="0" w:space="0" w:color="auto"/>
      </w:divBdr>
      <w:divsChild>
        <w:div w:id="511452512">
          <w:marLeft w:val="0"/>
          <w:marRight w:val="0"/>
          <w:marTop w:val="0"/>
          <w:marBottom w:val="0"/>
          <w:divBdr>
            <w:top w:val="none" w:sz="0" w:space="0" w:color="auto"/>
            <w:left w:val="none" w:sz="0" w:space="0" w:color="auto"/>
            <w:bottom w:val="none" w:sz="0" w:space="0" w:color="auto"/>
            <w:right w:val="none" w:sz="0" w:space="0" w:color="auto"/>
          </w:divBdr>
        </w:div>
        <w:div w:id="2089616819">
          <w:marLeft w:val="0"/>
          <w:marRight w:val="0"/>
          <w:marTop w:val="0"/>
          <w:marBottom w:val="0"/>
          <w:divBdr>
            <w:top w:val="single" w:sz="2" w:space="0" w:color="E3E3E3"/>
            <w:left w:val="single" w:sz="2" w:space="0" w:color="E3E3E3"/>
            <w:bottom w:val="single" w:sz="2" w:space="0" w:color="E3E3E3"/>
            <w:right w:val="single" w:sz="2" w:space="0" w:color="E3E3E3"/>
          </w:divBdr>
          <w:divsChild>
            <w:div w:id="1978802678">
              <w:marLeft w:val="0"/>
              <w:marRight w:val="0"/>
              <w:marTop w:val="0"/>
              <w:marBottom w:val="0"/>
              <w:divBdr>
                <w:top w:val="single" w:sz="2" w:space="0" w:color="E3E3E3"/>
                <w:left w:val="single" w:sz="2" w:space="0" w:color="E3E3E3"/>
                <w:bottom w:val="single" w:sz="2" w:space="0" w:color="E3E3E3"/>
                <w:right w:val="single" w:sz="2" w:space="0" w:color="E3E3E3"/>
              </w:divBdr>
              <w:divsChild>
                <w:div w:id="1451389429">
                  <w:marLeft w:val="0"/>
                  <w:marRight w:val="0"/>
                  <w:marTop w:val="0"/>
                  <w:marBottom w:val="0"/>
                  <w:divBdr>
                    <w:top w:val="single" w:sz="2" w:space="0" w:color="E3E3E3"/>
                    <w:left w:val="single" w:sz="2" w:space="0" w:color="E3E3E3"/>
                    <w:bottom w:val="single" w:sz="2" w:space="0" w:color="E3E3E3"/>
                    <w:right w:val="single" w:sz="2" w:space="0" w:color="E3E3E3"/>
                  </w:divBdr>
                  <w:divsChild>
                    <w:div w:id="240136965">
                      <w:marLeft w:val="0"/>
                      <w:marRight w:val="0"/>
                      <w:marTop w:val="0"/>
                      <w:marBottom w:val="0"/>
                      <w:divBdr>
                        <w:top w:val="single" w:sz="2" w:space="0" w:color="E3E3E3"/>
                        <w:left w:val="single" w:sz="2" w:space="0" w:color="E3E3E3"/>
                        <w:bottom w:val="single" w:sz="2" w:space="0" w:color="E3E3E3"/>
                        <w:right w:val="single" w:sz="2" w:space="0" w:color="E3E3E3"/>
                      </w:divBdr>
                      <w:divsChild>
                        <w:div w:id="1416707460">
                          <w:marLeft w:val="0"/>
                          <w:marRight w:val="0"/>
                          <w:marTop w:val="0"/>
                          <w:marBottom w:val="0"/>
                          <w:divBdr>
                            <w:top w:val="single" w:sz="2" w:space="0" w:color="E3E3E3"/>
                            <w:left w:val="single" w:sz="2" w:space="0" w:color="E3E3E3"/>
                            <w:bottom w:val="single" w:sz="2" w:space="0" w:color="E3E3E3"/>
                            <w:right w:val="single" w:sz="2" w:space="0" w:color="E3E3E3"/>
                          </w:divBdr>
                          <w:divsChild>
                            <w:div w:id="1358890690">
                              <w:marLeft w:val="0"/>
                              <w:marRight w:val="0"/>
                              <w:marTop w:val="100"/>
                              <w:marBottom w:val="100"/>
                              <w:divBdr>
                                <w:top w:val="single" w:sz="2" w:space="0" w:color="E3E3E3"/>
                                <w:left w:val="single" w:sz="2" w:space="0" w:color="E3E3E3"/>
                                <w:bottom w:val="single" w:sz="2" w:space="0" w:color="E3E3E3"/>
                                <w:right w:val="single" w:sz="2" w:space="0" w:color="E3E3E3"/>
                              </w:divBdr>
                              <w:divsChild>
                                <w:div w:id="1220701757">
                                  <w:marLeft w:val="0"/>
                                  <w:marRight w:val="0"/>
                                  <w:marTop w:val="0"/>
                                  <w:marBottom w:val="0"/>
                                  <w:divBdr>
                                    <w:top w:val="single" w:sz="2" w:space="0" w:color="E3E3E3"/>
                                    <w:left w:val="single" w:sz="2" w:space="0" w:color="E3E3E3"/>
                                    <w:bottom w:val="single" w:sz="2" w:space="0" w:color="E3E3E3"/>
                                    <w:right w:val="single" w:sz="2" w:space="0" w:color="E3E3E3"/>
                                  </w:divBdr>
                                  <w:divsChild>
                                    <w:div w:id="1276524279">
                                      <w:marLeft w:val="0"/>
                                      <w:marRight w:val="0"/>
                                      <w:marTop w:val="0"/>
                                      <w:marBottom w:val="0"/>
                                      <w:divBdr>
                                        <w:top w:val="single" w:sz="2" w:space="0" w:color="E3E3E3"/>
                                        <w:left w:val="single" w:sz="2" w:space="0" w:color="E3E3E3"/>
                                        <w:bottom w:val="single" w:sz="2" w:space="0" w:color="E3E3E3"/>
                                        <w:right w:val="single" w:sz="2" w:space="0" w:color="E3E3E3"/>
                                      </w:divBdr>
                                      <w:divsChild>
                                        <w:div w:id="963922911">
                                          <w:marLeft w:val="0"/>
                                          <w:marRight w:val="0"/>
                                          <w:marTop w:val="0"/>
                                          <w:marBottom w:val="0"/>
                                          <w:divBdr>
                                            <w:top w:val="single" w:sz="2" w:space="0" w:color="E3E3E3"/>
                                            <w:left w:val="single" w:sz="2" w:space="0" w:color="E3E3E3"/>
                                            <w:bottom w:val="single" w:sz="2" w:space="0" w:color="E3E3E3"/>
                                            <w:right w:val="single" w:sz="2" w:space="0" w:color="E3E3E3"/>
                                          </w:divBdr>
                                          <w:divsChild>
                                            <w:div w:id="394666635">
                                              <w:marLeft w:val="0"/>
                                              <w:marRight w:val="0"/>
                                              <w:marTop w:val="0"/>
                                              <w:marBottom w:val="0"/>
                                              <w:divBdr>
                                                <w:top w:val="single" w:sz="2" w:space="0" w:color="E3E3E3"/>
                                                <w:left w:val="single" w:sz="2" w:space="0" w:color="E3E3E3"/>
                                                <w:bottom w:val="single" w:sz="2" w:space="0" w:color="E3E3E3"/>
                                                <w:right w:val="single" w:sz="2" w:space="0" w:color="E3E3E3"/>
                                              </w:divBdr>
                                              <w:divsChild>
                                                <w:div w:id="1144589230">
                                                  <w:marLeft w:val="0"/>
                                                  <w:marRight w:val="0"/>
                                                  <w:marTop w:val="0"/>
                                                  <w:marBottom w:val="0"/>
                                                  <w:divBdr>
                                                    <w:top w:val="single" w:sz="2" w:space="0" w:color="E3E3E3"/>
                                                    <w:left w:val="single" w:sz="2" w:space="0" w:color="E3E3E3"/>
                                                    <w:bottom w:val="single" w:sz="2" w:space="0" w:color="E3E3E3"/>
                                                    <w:right w:val="single" w:sz="2" w:space="0" w:color="E3E3E3"/>
                                                  </w:divBdr>
                                                  <w:divsChild>
                                                    <w:div w:id="529270316">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sChild>
    </w:div>
    <w:div w:id="1843549332">
      <w:bodyDiv w:val="1"/>
      <w:marLeft w:val="0"/>
      <w:marRight w:val="0"/>
      <w:marTop w:val="0"/>
      <w:marBottom w:val="0"/>
      <w:divBdr>
        <w:top w:val="none" w:sz="0" w:space="0" w:color="auto"/>
        <w:left w:val="none" w:sz="0" w:space="0" w:color="auto"/>
        <w:bottom w:val="none" w:sz="0" w:space="0" w:color="auto"/>
        <w:right w:val="none" w:sz="0" w:space="0" w:color="auto"/>
      </w:divBdr>
    </w:div>
    <w:div w:id="1901164315">
      <w:bodyDiv w:val="1"/>
      <w:marLeft w:val="0"/>
      <w:marRight w:val="0"/>
      <w:marTop w:val="0"/>
      <w:marBottom w:val="0"/>
      <w:divBdr>
        <w:top w:val="none" w:sz="0" w:space="0" w:color="auto"/>
        <w:left w:val="none" w:sz="0" w:space="0" w:color="auto"/>
        <w:bottom w:val="none" w:sz="0" w:space="0" w:color="auto"/>
        <w:right w:val="none" w:sz="0" w:space="0" w:color="auto"/>
      </w:divBdr>
    </w:div>
    <w:div w:id="1946377323">
      <w:bodyDiv w:val="1"/>
      <w:marLeft w:val="0"/>
      <w:marRight w:val="0"/>
      <w:marTop w:val="0"/>
      <w:marBottom w:val="0"/>
      <w:divBdr>
        <w:top w:val="none" w:sz="0" w:space="0" w:color="auto"/>
        <w:left w:val="none" w:sz="0" w:space="0" w:color="auto"/>
        <w:bottom w:val="none" w:sz="0" w:space="0" w:color="auto"/>
        <w:right w:val="none" w:sz="0" w:space="0" w:color="auto"/>
      </w:divBdr>
    </w:div>
    <w:div w:id="2007711493">
      <w:bodyDiv w:val="1"/>
      <w:marLeft w:val="0"/>
      <w:marRight w:val="0"/>
      <w:marTop w:val="0"/>
      <w:marBottom w:val="0"/>
      <w:divBdr>
        <w:top w:val="none" w:sz="0" w:space="0" w:color="auto"/>
        <w:left w:val="none" w:sz="0" w:space="0" w:color="auto"/>
        <w:bottom w:val="none" w:sz="0" w:space="0" w:color="auto"/>
        <w:right w:val="none" w:sz="0" w:space="0" w:color="auto"/>
      </w:divBdr>
      <w:divsChild>
        <w:div w:id="729353493">
          <w:marLeft w:val="0"/>
          <w:marRight w:val="0"/>
          <w:marTop w:val="0"/>
          <w:marBottom w:val="0"/>
          <w:divBdr>
            <w:top w:val="none" w:sz="0" w:space="0" w:color="auto"/>
            <w:left w:val="none" w:sz="0" w:space="0" w:color="auto"/>
            <w:bottom w:val="none" w:sz="0" w:space="0" w:color="auto"/>
            <w:right w:val="none" w:sz="0" w:space="0" w:color="auto"/>
          </w:divBdr>
          <w:divsChild>
            <w:div w:id="6317930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20421423">
      <w:bodyDiv w:val="1"/>
      <w:marLeft w:val="0"/>
      <w:marRight w:val="0"/>
      <w:marTop w:val="0"/>
      <w:marBottom w:val="0"/>
      <w:divBdr>
        <w:top w:val="none" w:sz="0" w:space="0" w:color="auto"/>
        <w:left w:val="none" w:sz="0" w:space="0" w:color="auto"/>
        <w:bottom w:val="none" w:sz="0" w:space="0" w:color="auto"/>
        <w:right w:val="none" w:sz="0" w:space="0" w:color="auto"/>
      </w:divBdr>
    </w:div>
    <w:div w:id="2066558799">
      <w:bodyDiv w:val="1"/>
      <w:marLeft w:val="0"/>
      <w:marRight w:val="0"/>
      <w:marTop w:val="0"/>
      <w:marBottom w:val="0"/>
      <w:divBdr>
        <w:top w:val="none" w:sz="0" w:space="0" w:color="auto"/>
        <w:left w:val="none" w:sz="0" w:space="0" w:color="auto"/>
        <w:bottom w:val="none" w:sz="0" w:space="0" w:color="auto"/>
        <w:right w:val="none" w:sz="0" w:space="0" w:color="auto"/>
      </w:divBdr>
    </w:div>
    <w:div w:id="2087147069">
      <w:bodyDiv w:val="1"/>
      <w:marLeft w:val="0"/>
      <w:marRight w:val="0"/>
      <w:marTop w:val="0"/>
      <w:marBottom w:val="0"/>
      <w:divBdr>
        <w:top w:val="none" w:sz="0" w:space="0" w:color="auto"/>
        <w:left w:val="none" w:sz="0" w:space="0" w:color="auto"/>
        <w:bottom w:val="none" w:sz="0" w:space="0" w:color="auto"/>
        <w:right w:val="none" w:sz="0" w:space="0" w:color="auto"/>
      </w:divBdr>
    </w:div>
    <w:div w:id="2139639753">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4.png"/><Relationship Id="rId18" Type="http://schemas.openxmlformats.org/officeDocument/2006/relationships/image" Target="media/image5.png"/><Relationship Id="rId26" Type="http://schemas.openxmlformats.org/officeDocument/2006/relationships/chart" Target="charts/chart7.xml"/><Relationship Id="rId39" Type="http://schemas.openxmlformats.org/officeDocument/2006/relationships/image" Target="media/image13.png"/><Relationship Id="rId21" Type="http://schemas.openxmlformats.org/officeDocument/2006/relationships/chart" Target="charts/chart2.xml"/><Relationship Id="rId34" Type="http://schemas.openxmlformats.org/officeDocument/2006/relationships/chart" Target="charts/chart13.xml"/><Relationship Id="rId42" Type="http://schemas.openxmlformats.org/officeDocument/2006/relationships/image" Target="media/image16.emf"/><Relationship Id="rId47" Type="http://schemas.openxmlformats.org/officeDocument/2006/relationships/image" Target="media/image21.jpeg"/><Relationship Id="rId50" Type="http://schemas.openxmlformats.org/officeDocument/2006/relationships/image" Target="media/image24.emf"/><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s://es.wikipedia.org/wiki/Teor%C3%ADa_general_del_empleo,_el_inter%C3%A9s_y_el_dinero" TargetMode="External"/><Relationship Id="rId29" Type="http://schemas.openxmlformats.org/officeDocument/2006/relationships/chart" Target="charts/chart10.xml"/><Relationship Id="rId11" Type="http://schemas.openxmlformats.org/officeDocument/2006/relationships/image" Target="media/image3.png"/><Relationship Id="rId24" Type="http://schemas.openxmlformats.org/officeDocument/2006/relationships/chart" Target="charts/chart5.xml"/><Relationship Id="rId32" Type="http://schemas.openxmlformats.org/officeDocument/2006/relationships/image" Target="media/image7.emf"/><Relationship Id="rId37" Type="http://schemas.openxmlformats.org/officeDocument/2006/relationships/image" Target="media/image11.png"/><Relationship Id="rId40" Type="http://schemas.openxmlformats.org/officeDocument/2006/relationships/image" Target="media/image14.png"/><Relationship Id="rId45" Type="http://schemas.openxmlformats.org/officeDocument/2006/relationships/image" Target="media/image19.emf"/><Relationship Id="rId53"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image" Target="media/image2.png"/><Relationship Id="rId19" Type="http://schemas.openxmlformats.org/officeDocument/2006/relationships/image" Target="media/image6.png"/><Relationship Id="rId31" Type="http://schemas.openxmlformats.org/officeDocument/2006/relationships/chart" Target="charts/chart12.xml"/><Relationship Id="rId44" Type="http://schemas.openxmlformats.org/officeDocument/2006/relationships/image" Target="media/image18.emf"/><Relationship Id="rId52"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footer" Target="footer3.xml"/><Relationship Id="rId22" Type="http://schemas.openxmlformats.org/officeDocument/2006/relationships/chart" Target="charts/chart3.xml"/><Relationship Id="rId27" Type="http://schemas.openxmlformats.org/officeDocument/2006/relationships/chart" Target="charts/chart8.xml"/><Relationship Id="rId30" Type="http://schemas.openxmlformats.org/officeDocument/2006/relationships/chart" Target="charts/chart11.xml"/><Relationship Id="rId35" Type="http://schemas.openxmlformats.org/officeDocument/2006/relationships/image" Target="media/image9.emf"/><Relationship Id="rId43" Type="http://schemas.openxmlformats.org/officeDocument/2006/relationships/image" Target="media/image17.emf"/><Relationship Id="rId48" Type="http://schemas.openxmlformats.org/officeDocument/2006/relationships/image" Target="media/image22.jpeg"/><Relationship Id="rId8" Type="http://schemas.openxmlformats.org/officeDocument/2006/relationships/image" Target="media/image1.png"/><Relationship Id="rId51" Type="http://schemas.openxmlformats.org/officeDocument/2006/relationships/image" Target="media/image25.jpeg"/><Relationship Id="rId3" Type="http://schemas.openxmlformats.org/officeDocument/2006/relationships/styles" Target="styles.xml"/><Relationship Id="rId12" Type="http://schemas.openxmlformats.org/officeDocument/2006/relationships/footer" Target="footer2.xml"/><Relationship Id="rId17" Type="http://schemas.openxmlformats.org/officeDocument/2006/relationships/footer" Target="footer4.xml"/><Relationship Id="rId25" Type="http://schemas.openxmlformats.org/officeDocument/2006/relationships/chart" Target="charts/chart6.xml"/><Relationship Id="rId33" Type="http://schemas.openxmlformats.org/officeDocument/2006/relationships/image" Target="media/image8.emf"/><Relationship Id="rId38" Type="http://schemas.openxmlformats.org/officeDocument/2006/relationships/image" Target="media/image12.png"/><Relationship Id="rId46" Type="http://schemas.openxmlformats.org/officeDocument/2006/relationships/image" Target="media/image20.emf"/><Relationship Id="rId20" Type="http://schemas.openxmlformats.org/officeDocument/2006/relationships/chart" Target="charts/chart1.xml"/><Relationship Id="rId41" Type="http://schemas.openxmlformats.org/officeDocument/2006/relationships/image" Target="media/image15.emf"/><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s://es.wikipedia.org/wiki/John_Maynard_Keynes" TargetMode="External"/><Relationship Id="rId23" Type="http://schemas.openxmlformats.org/officeDocument/2006/relationships/chart" Target="charts/chart4.xml"/><Relationship Id="rId28" Type="http://schemas.openxmlformats.org/officeDocument/2006/relationships/chart" Target="charts/chart9.xml"/><Relationship Id="rId36" Type="http://schemas.openxmlformats.org/officeDocument/2006/relationships/image" Target="media/image10.png"/><Relationship Id="rId49" Type="http://schemas.openxmlformats.org/officeDocument/2006/relationships/image" Target="media/image23.emf"/></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1.xml"/><Relationship Id="rId1" Type="http://schemas.microsoft.com/office/2011/relationships/chartStyle" Target="style1.xml"/></Relationships>
</file>

<file path=word/charts/_rels/chart10.xml.rels><?xml version="1.0" encoding="UTF-8" standalone="yes"?>
<Relationships xmlns="http://schemas.openxmlformats.org/package/2006/relationships"><Relationship Id="rId3" Type="http://schemas.openxmlformats.org/officeDocument/2006/relationships/package" Target="../embeddings/Microsoft_Excel_Worksheet8.xlsx"/><Relationship Id="rId2" Type="http://schemas.microsoft.com/office/2011/relationships/chartColorStyle" Target="colors10.xml"/><Relationship Id="rId1" Type="http://schemas.microsoft.com/office/2011/relationships/chartStyle" Target="style10.xml"/></Relationships>
</file>

<file path=word/charts/_rels/chart11.xml.rels><?xml version="1.0" encoding="UTF-8" standalone="yes"?>
<Relationships xmlns="http://schemas.openxmlformats.org/package/2006/relationships"><Relationship Id="rId3" Type="http://schemas.openxmlformats.org/officeDocument/2006/relationships/package" Target="../embeddings/Microsoft_Excel_Worksheet9.xlsx"/><Relationship Id="rId2" Type="http://schemas.microsoft.com/office/2011/relationships/chartColorStyle" Target="colors11.xml"/><Relationship Id="rId1" Type="http://schemas.microsoft.com/office/2011/relationships/chartStyle" Target="style11.xml"/></Relationships>
</file>

<file path=word/charts/_rels/chart12.xml.rels><?xml version="1.0" encoding="UTF-8" standalone="yes"?>
<Relationships xmlns="http://schemas.openxmlformats.org/package/2006/relationships"><Relationship Id="rId3" Type="http://schemas.openxmlformats.org/officeDocument/2006/relationships/package" Target="../embeddings/Microsoft_Excel_Worksheet10.xlsx"/><Relationship Id="rId2" Type="http://schemas.microsoft.com/office/2011/relationships/chartColorStyle" Target="colors12.xml"/><Relationship Id="rId1" Type="http://schemas.microsoft.com/office/2011/relationships/chartStyle" Target="style12.xml"/></Relationships>
</file>

<file path=word/charts/_rels/chart13.xml.rels><?xml version="1.0" encoding="UTF-8" standalone="yes"?>
<Relationships xmlns="http://schemas.openxmlformats.org/package/2006/relationships"><Relationship Id="rId3" Type="http://schemas.openxmlformats.org/officeDocument/2006/relationships/package" Target="../embeddings/Microsoft_Excel_Worksheet11.xlsx"/><Relationship Id="rId2" Type="http://schemas.microsoft.com/office/2011/relationships/chartColorStyle" Target="colors13.xml"/><Relationship Id="rId1" Type="http://schemas.microsoft.com/office/2011/relationships/chartStyle" Target="style13.xml"/></Relationships>
</file>

<file path=word/charts/_rels/chart2.xml.rels><?xml version="1.0" encoding="UTF-8" standalone="yes"?>
<Relationships xmlns="http://schemas.openxmlformats.org/package/2006/relationships"><Relationship Id="rId3" Type="http://schemas.openxmlformats.org/officeDocument/2006/relationships/package" Target="../embeddings/Microsoft_Excel_Worksheet1.xlsx"/><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package" Target="../embeddings/Microsoft_Excel_Worksheet2.xlsx"/><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package" Target="../embeddings/Microsoft_Excel_Worksheet3.xlsx"/><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package" Target="../embeddings/Microsoft_Excel_Worksheet4.xlsx"/><Relationship Id="rId2" Type="http://schemas.microsoft.com/office/2011/relationships/chartColorStyle" Target="colors5.xml"/><Relationship Id="rId1" Type="http://schemas.microsoft.com/office/2011/relationships/chartStyle" Target="style5.xml"/></Relationships>
</file>

<file path=word/charts/_rels/chart6.xml.rels><?xml version="1.0" encoding="UTF-8" standalone="yes"?>
<Relationships xmlns="http://schemas.openxmlformats.org/package/2006/relationships"><Relationship Id="rId3" Type="http://schemas.openxmlformats.org/officeDocument/2006/relationships/package" Target="../embeddings/Microsoft_Excel_Worksheet5.xlsx"/><Relationship Id="rId2" Type="http://schemas.microsoft.com/office/2011/relationships/chartColorStyle" Target="colors6.xml"/><Relationship Id="rId1" Type="http://schemas.microsoft.com/office/2011/relationships/chartStyle" Target="style6.xml"/></Relationships>
</file>

<file path=word/charts/_rels/chart7.xml.rels><?xml version="1.0" encoding="UTF-8" standalone="yes"?>
<Relationships xmlns="http://schemas.openxmlformats.org/package/2006/relationships"><Relationship Id="rId3" Type="http://schemas.openxmlformats.org/officeDocument/2006/relationships/package" Target="../embeddings/Microsoft_Excel_Worksheet6.xlsx"/><Relationship Id="rId2" Type="http://schemas.microsoft.com/office/2011/relationships/chartColorStyle" Target="colors7.xml"/><Relationship Id="rId1" Type="http://schemas.microsoft.com/office/2011/relationships/chartStyle" Target="style7.xml"/></Relationships>
</file>

<file path=word/charts/_rels/chart8.xml.rels><?xml version="1.0" encoding="UTF-8" standalone="yes"?>
<Relationships xmlns="http://schemas.openxmlformats.org/package/2006/relationships"><Relationship Id="rId3" Type="http://schemas.openxmlformats.org/officeDocument/2006/relationships/package" Target="../embeddings/Microsoft_Excel_Worksheet7.xlsx"/><Relationship Id="rId2" Type="http://schemas.microsoft.com/office/2011/relationships/chartColorStyle" Target="colors8.xml"/><Relationship Id="rId1" Type="http://schemas.microsoft.com/office/2011/relationships/chartStyle" Target="style8.xml"/></Relationships>
</file>

<file path=word/charts/_rels/chart9.xml.rels><?xml version="1.0" encoding="UTF-8" standalone="yes"?>
<Relationships xmlns="http://schemas.openxmlformats.org/package/2006/relationships"><Relationship Id="rId3" Type="http://schemas.openxmlformats.org/officeDocument/2006/relationships/oleObject" Target="file:///C:\Users\dmarin\Downloads\Calculo%20de%20Indicadores%20(1)%20(1).xlsx" TargetMode="External"/><Relationship Id="rId2" Type="http://schemas.microsoft.com/office/2011/relationships/chartColorStyle" Target="colors9.xml"/><Relationship Id="rId1" Type="http://schemas.microsoft.com/office/2011/relationships/chartStyle" Target="style9.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solidFill>
                <a:latin typeface="Times New Roman" panose="02020603050405020304" pitchFamily="18" charset="0"/>
                <a:ea typeface="+mn-ea"/>
                <a:cs typeface="Times New Roman" panose="02020603050405020304" pitchFamily="18" charset="0"/>
              </a:defRPr>
            </a:pPr>
            <a:r>
              <a:rPr lang="es-HN">
                <a:solidFill>
                  <a:schemeClr val="tx1"/>
                </a:solidFill>
                <a:latin typeface="Times New Roman" panose="02020603050405020304" pitchFamily="18" charset="0"/>
                <a:cs typeface="Times New Roman" panose="02020603050405020304" pitchFamily="18" charset="0"/>
              </a:rPr>
              <a:t>Rentabilidad</a:t>
            </a:r>
            <a:r>
              <a:rPr lang="es-HN" baseline="0">
                <a:solidFill>
                  <a:schemeClr val="tx1"/>
                </a:solidFill>
                <a:latin typeface="Times New Roman" panose="02020603050405020304" pitchFamily="18" charset="0"/>
                <a:cs typeface="Times New Roman" panose="02020603050405020304" pitchFamily="18" charset="0"/>
              </a:rPr>
              <a:t> sobre Activos (ROA)</a:t>
            </a:r>
            <a:endParaRPr lang="es-HN">
              <a:solidFill>
                <a:schemeClr val="tx1"/>
              </a:solidFill>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solidFill>
              <a:latin typeface="Times New Roman" panose="02020603050405020304" pitchFamily="18" charset="0"/>
              <a:ea typeface="+mn-ea"/>
              <a:cs typeface="Times New Roman" panose="02020603050405020304" pitchFamily="18" charset="0"/>
            </a:defRPr>
          </a:pPr>
          <a:endParaRPr lang="es-HN"/>
        </a:p>
      </c:txPr>
    </c:title>
    <c:autoTitleDeleted val="0"/>
    <c:plotArea>
      <c:layout/>
      <c:lineChart>
        <c:grouping val="standard"/>
        <c:varyColors val="0"/>
        <c:ser>
          <c:idx val="0"/>
          <c:order val="0"/>
          <c:spPr>
            <a:ln w="28575" cap="rnd">
              <a:solidFill>
                <a:schemeClr val="accent1"/>
              </a:solidFill>
              <a:round/>
            </a:ln>
            <a:effectLst/>
          </c:spPr>
          <c:marker>
            <c:symbol val="circle"/>
            <c:size val="5"/>
            <c:spPr>
              <a:solidFill>
                <a:schemeClr val="accent1"/>
              </a:solidFill>
              <a:ln w="9525">
                <a:solidFill>
                  <a:schemeClr val="accent1"/>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solidFill>
                    <a:latin typeface="+mn-lt"/>
                    <a:ea typeface="+mn-ea"/>
                    <a:cs typeface="+mn-cs"/>
                  </a:defRPr>
                </a:pPr>
                <a:endParaRPr lang="es-HN"/>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Rentabilidad!$H$2:$L$2</c:f>
              <c:numCache>
                <c:formatCode>General</c:formatCode>
                <c:ptCount val="5"/>
                <c:pt idx="0">
                  <c:v>2019</c:v>
                </c:pt>
                <c:pt idx="1">
                  <c:v>2020</c:v>
                </c:pt>
                <c:pt idx="2">
                  <c:v>2021</c:v>
                </c:pt>
                <c:pt idx="3">
                  <c:v>2022</c:v>
                </c:pt>
                <c:pt idx="4">
                  <c:v>2023</c:v>
                </c:pt>
              </c:numCache>
            </c:numRef>
          </c:cat>
          <c:val>
            <c:numRef>
              <c:f>Rentabilidad!$H$7:$L$7</c:f>
              <c:numCache>
                <c:formatCode>_-* #,##0.0_-;\-* #,##0.0_-;_-* "-"??_-;_-@_-</c:formatCode>
                <c:ptCount val="5"/>
                <c:pt idx="0">
                  <c:v>-2.5876473712036061</c:v>
                </c:pt>
                <c:pt idx="1">
                  <c:v>-20.371561893379027</c:v>
                </c:pt>
                <c:pt idx="2">
                  <c:v>-28.539879824181508</c:v>
                </c:pt>
                <c:pt idx="3">
                  <c:v>-9.8991640754308818</c:v>
                </c:pt>
                <c:pt idx="4">
                  <c:v>-3.8906848169925077</c:v>
                </c:pt>
              </c:numCache>
            </c:numRef>
          </c:val>
          <c:smooth val="0"/>
          <c:extLst>
            <c:ext xmlns:c16="http://schemas.microsoft.com/office/drawing/2014/chart" uri="{C3380CC4-5D6E-409C-BE32-E72D297353CC}">
              <c16:uniqueId val="{00000000-9A94-4F71-BEC6-52F6CBFDC482}"/>
            </c:ext>
          </c:extLst>
        </c:ser>
        <c:dLbls>
          <c:showLegendKey val="0"/>
          <c:showVal val="1"/>
          <c:showCatName val="0"/>
          <c:showSerName val="0"/>
          <c:showPercent val="0"/>
          <c:showBubbleSize val="0"/>
        </c:dLbls>
        <c:marker val="1"/>
        <c:smooth val="0"/>
        <c:axId val="1140870512"/>
        <c:axId val="1140870992"/>
      </c:lineChart>
      <c:catAx>
        <c:axId val="114087051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crossAx val="1140870992"/>
        <c:crosses val="autoZero"/>
        <c:auto val="1"/>
        <c:lblAlgn val="ctr"/>
        <c:lblOffset val="100"/>
        <c:noMultiLvlLbl val="0"/>
      </c:catAx>
      <c:valAx>
        <c:axId val="1140870992"/>
        <c:scaling>
          <c:orientation val="minMax"/>
        </c:scaling>
        <c:delete val="0"/>
        <c:axPos val="l"/>
        <c:majorGridlines>
          <c:spPr>
            <a:ln w="9525" cap="flat" cmpd="sng" algn="ctr">
              <a:solidFill>
                <a:schemeClr val="tx1">
                  <a:lumMod val="15000"/>
                  <a:lumOff val="85000"/>
                </a:schemeClr>
              </a:solidFill>
              <a:round/>
            </a:ln>
            <a:effectLst/>
          </c:spPr>
        </c:majorGridlines>
        <c:numFmt formatCode="_-* #,##0.0_-;\-* #,##0.0_-;_-* &quot;-&quot;??_-;_-@_-"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crossAx val="1140870512"/>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HN"/>
    </a:p>
  </c:txPr>
  <c:externalData r:id="rId3">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solidFill>
                <a:latin typeface="Times New Roman" panose="02020603050405020304" pitchFamily="18" charset="0"/>
                <a:ea typeface="+mn-ea"/>
                <a:cs typeface="Times New Roman" panose="02020603050405020304" pitchFamily="18" charset="0"/>
              </a:defRPr>
            </a:pPr>
            <a:r>
              <a:rPr lang="en-US" sz="1400">
                <a:solidFill>
                  <a:schemeClr val="tx1"/>
                </a:solidFill>
                <a:latin typeface="Times New Roman" panose="02020603050405020304" pitchFamily="18" charset="0"/>
                <a:cs typeface="Times New Roman" panose="02020603050405020304" pitchFamily="18" charset="0"/>
              </a:rPr>
              <a:t>Apalancamiento Financiero </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solidFill>
              <a:latin typeface="Times New Roman" panose="02020603050405020304" pitchFamily="18" charset="0"/>
              <a:ea typeface="+mn-ea"/>
              <a:cs typeface="Times New Roman" panose="02020603050405020304" pitchFamily="18" charset="0"/>
            </a:defRPr>
          </a:pPr>
          <a:endParaRPr lang="es-HN"/>
        </a:p>
      </c:txPr>
    </c:title>
    <c:autoTitleDeleted val="0"/>
    <c:plotArea>
      <c:layout/>
      <c:lineChart>
        <c:grouping val="standard"/>
        <c:varyColors val="0"/>
        <c:ser>
          <c:idx val="0"/>
          <c:order val="0"/>
          <c:spPr>
            <a:ln w="28575" cap="rnd">
              <a:solidFill>
                <a:schemeClr val="accent1"/>
              </a:solidFill>
              <a:round/>
            </a:ln>
            <a:effectLst/>
          </c:spPr>
          <c:marker>
            <c:symbol val="circle"/>
            <c:size val="5"/>
            <c:spPr>
              <a:solidFill>
                <a:schemeClr val="accent1"/>
              </a:solidFill>
              <a:ln w="9525">
                <a:solidFill>
                  <a:schemeClr val="accent1"/>
                </a:solidFill>
              </a:ln>
              <a:effectLst/>
            </c:spPr>
          </c:marker>
          <c:dLbls>
            <c:dLbl>
              <c:idx val="3"/>
              <c:layout>
                <c:manualLayout>
                  <c:x val="-3.3333333333333333E-2"/>
                  <c:y val="5.5555555555555552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4003-46EA-89F2-D0BF578CF5D8}"/>
                </c:ext>
              </c:extLst>
            </c:dLbl>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solidFill>
                    <a:latin typeface="+mn-lt"/>
                    <a:ea typeface="+mn-ea"/>
                    <a:cs typeface="+mn-cs"/>
                  </a:defRPr>
                </a:pPr>
                <a:endParaRPr lang="es-HN"/>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'Solvencia y Endeudamiento'!$F$2:$J$2</c:f>
              <c:numCache>
                <c:formatCode>General</c:formatCode>
                <c:ptCount val="5"/>
                <c:pt idx="0">
                  <c:v>2019</c:v>
                </c:pt>
                <c:pt idx="1">
                  <c:v>2020</c:v>
                </c:pt>
                <c:pt idx="2">
                  <c:v>2021</c:v>
                </c:pt>
                <c:pt idx="3">
                  <c:v>2022</c:v>
                </c:pt>
                <c:pt idx="4">
                  <c:v>2023</c:v>
                </c:pt>
              </c:numCache>
            </c:numRef>
          </c:cat>
          <c:val>
            <c:numRef>
              <c:f>'Solvencia y Endeudamiento'!$F$24:$J$24</c:f>
              <c:numCache>
                <c:formatCode>_-* #,##0.0_-;\-* #,##0.0_-;_-* "-"??_-;_-@_-</c:formatCode>
                <c:ptCount val="5"/>
                <c:pt idx="0">
                  <c:v>5.4387026345811771</c:v>
                </c:pt>
                <c:pt idx="1">
                  <c:v>8.0777767114870809</c:v>
                </c:pt>
                <c:pt idx="2">
                  <c:v>11.089148445485671</c:v>
                </c:pt>
                <c:pt idx="3">
                  <c:v>4.9427418201893412</c:v>
                </c:pt>
                <c:pt idx="4">
                  <c:v>5.5914560604883352</c:v>
                </c:pt>
              </c:numCache>
            </c:numRef>
          </c:val>
          <c:smooth val="0"/>
          <c:extLst>
            <c:ext xmlns:c16="http://schemas.microsoft.com/office/drawing/2014/chart" uri="{C3380CC4-5D6E-409C-BE32-E72D297353CC}">
              <c16:uniqueId val="{00000001-4003-46EA-89F2-D0BF578CF5D8}"/>
            </c:ext>
          </c:extLst>
        </c:ser>
        <c:dLbls>
          <c:showLegendKey val="0"/>
          <c:showVal val="1"/>
          <c:showCatName val="0"/>
          <c:showSerName val="0"/>
          <c:showPercent val="0"/>
          <c:showBubbleSize val="0"/>
        </c:dLbls>
        <c:marker val="1"/>
        <c:smooth val="0"/>
        <c:axId val="1212594128"/>
        <c:axId val="1212606128"/>
      </c:lineChart>
      <c:catAx>
        <c:axId val="121259412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crossAx val="1212606128"/>
        <c:crosses val="autoZero"/>
        <c:auto val="1"/>
        <c:lblAlgn val="ctr"/>
        <c:lblOffset val="100"/>
        <c:noMultiLvlLbl val="0"/>
      </c:catAx>
      <c:valAx>
        <c:axId val="1212606128"/>
        <c:scaling>
          <c:orientation val="minMax"/>
        </c:scaling>
        <c:delete val="0"/>
        <c:axPos val="l"/>
        <c:majorGridlines>
          <c:spPr>
            <a:ln w="9525" cap="flat" cmpd="sng" algn="ctr">
              <a:solidFill>
                <a:schemeClr val="tx1">
                  <a:lumMod val="15000"/>
                  <a:lumOff val="85000"/>
                </a:schemeClr>
              </a:solidFill>
              <a:round/>
            </a:ln>
            <a:effectLst/>
          </c:spPr>
        </c:majorGridlines>
        <c:numFmt formatCode="_-* #,##0.0_-;\-* #,##0.0_-;_-* &quot;-&quot;??_-;_-@_-"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crossAx val="1212594128"/>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HN"/>
    </a:p>
  </c:txPr>
  <c:externalData r:id="rId3">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ysClr val="windowText" lastClr="000000"/>
                </a:solidFill>
                <a:latin typeface="Times New Roman" panose="02020603050405020304" pitchFamily="18" charset="0"/>
                <a:ea typeface="+mn-ea"/>
                <a:cs typeface="Times New Roman" panose="02020603050405020304" pitchFamily="18" charset="0"/>
              </a:defRPr>
            </a:pPr>
            <a:r>
              <a:rPr lang="es-HN">
                <a:solidFill>
                  <a:sysClr val="windowText" lastClr="000000"/>
                </a:solidFill>
                <a:latin typeface="Times New Roman" panose="02020603050405020304" pitchFamily="18" charset="0"/>
                <a:cs typeface="Times New Roman" panose="02020603050405020304" pitchFamily="18" charset="0"/>
              </a:rPr>
              <a:t>Mora</a:t>
            </a:r>
            <a:r>
              <a:rPr lang="es-HN" baseline="0">
                <a:solidFill>
                  <a:sysClr val="windowText" lastClr="000000"/>
                </a:solidFill>
                <a:latin typeface="Times New Roman" panose="02020603050405020304" pitchFamily="18" charset="0"/>
                <a:cs typeface="Times New Roman" panose="02020603050405020304" pitchFamily="18" charset="0"/>
              </a:rPr>
              <a:t> Mayor a 8 dias</a:t>
            </a:r>
            <a:endParaRPr lang="es-HN">
              <a:solidFill>
                <a:sysClr val="windowText" lastClr="000000"/>
              </a:solidFill>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defRPr sz="1400" b="0" i="0" u="none" strike="noStrike" kern="1200" spc="0" baseline="0">
              <a:solidFill>
                <a:sysClr val="windowText" lastClr="000000"/>
              </a:solidFill>
              <a:latin typeface="Times New Roman" panose="02020603050405020304" pitchFamily="18" charset="0"/>
              <a:ea typeface="+mn-ea"/>
              <a:cs typeface="Times New Roman" panose="02020603050405020304" pitchFamily="18" charset="0"/>
            </a:defRPr>
          </a:pPr>
          <a:endParaRPr lang="es-HN"/>
        </a:p>
      </c:txPr>
    </c:title>
    <c:autoTitleDeleted val="0"/>
    <c:plotArea>
      <c:layout/>
      <c:lineChart>
        <c:grouping val="standard"/>
        <c:varyColors val="0"/>
        <c:ser>
          <c:idx val="0"/>
          <c:order val="0"/>
          <c:spPr>
            <a:ln w="28575" cap="rnd">
              <a:solidFill>
                <a:schemeClr val="accent1"/>
              </a:solidFill>
              <a:round/>
            </a:ln>
            <a:effectLst/>
          </c:spPr>
          <c:marker>
            <c:symbol val="circle"/>
            <c:size val="5"/>
            <c:spPr>
              <a:solidFill>
                <a:schemeClr val="accent1"/>
              </a:solidFill>
              <a:ln w="9525">
                <a:solidFill>
                  <a:schemeClr val="accent1"/>
                </a:solidFill>
              </a:ln>
              <a:effectLst/>
            </c:spPr>
          </c:marker>
          <c:dLbls>
            <c:dLbl>
              <c:idx val="1"/>
              <c:layout>
                <c:manualLayout>
                  <c:x val="1.3888888888888888E-2"/>
                  <c:y val="-3.2407407407407406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EE7C-4F9F-AF33-3E8F3E3802CC}"/>
                </c:ext>
              </c:extLst>
            </c:dLbl>
            <c:dLbl>
              <c:idx val="2"/>
              <c:layout>
                <c:manualLayout>
                  <c:x val="2.777777777777676E-3"/>
                  <c:y val="-3.7037037037037035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EE7C-4F9F-AF33-3E8F3E3802CC}"/>
                </c:ext>
              </c:extLst>
            </c:dLbl>
            <c:dLbl>
              <c:idx val="3"/>
              <c:layout>
                <c:manualLayout>
                  <c:x val="-2.4999999999999897E-2"/>
                  <c:y val="6.018518518518514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EE7C-4F9F-AF33-3E8F3E3802CC}"/>
                </c:ext>
              </c:extLst>
            </c:dLbl>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mn-lt"/>
                    <a:ea typeface="+mn-ea"/>
                    <a:cs typeface="+mn-cs"/>
                  </a:defRPr>
                </a:pPr>
                <a:endParaRPr lang="es-HN"/>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Morosidad!$F$2:$J$2</c:f>
              <c:numCache>
                <c:formatCode>General</c:formatCode>
                <c:ptCount val="5"/>
                <c:pt idx="0">
                  <c:v>2019</c:v>
                </c:pt>
                <c:pt idx="1">
                  <c:v>2020</c:v>
                </c:pt>
                <c:pt idx="2">
                  <c:v>2021</c:v>
                </c:pt>
                <c:pt idx="3">
                  <c:v>2022</c:v>
                </c:pt>
                <c:pt idx="4">
                  <c:v>2023</c:v>
                </c:pt>
              </c:numCache>
            </c:numRef>
          </c:cat>
          <c:val>
            <c:numRef>
              <c:f>Morosidad!$F$7:$J$7</c:f>
              <c:numCache>
                <c:formatCode>0.0%</c:formatCode>
                <c:ptCount val="5"/>
                <c:pt idx="0">
                  <c:v>0.24114443249002743</c:v>
                </c:pt>
                <c:pt idx="1">
                  <c:v>0.3721687496760851</c:v>
                </c:pt>
                <c:pt idx="2">
                  <c:v>0.31643249630036019</c:v>
                </c:pt>
                <c:pt idx="3">
                  <c:v>0.30114212143759822</c:v>
                </c:pt>
                <c:pt idx="4">
                  <c:v>0.29610718625401633</c:v>
                </c:pt>
              </c:numCache>
            </c:numRef>
          </c:val>
          <c:smooth val="0"/>
          <c:extLst>
            <c:ext xmlns:c16="http://schemas.microsoft.com/office/drawing/2014/chart" uri="{C3380CC4-5D6E-409C-BE32-E72D297353CC}">
              <c16:uniqueId val="{00000003-EE7C-4F9F-AF33-3E8F3E3802CC}"/>
            </c:ext>
          </c:extLst>
        </c:ser>
        <c:dLbls>
          <c:showLegendKey val="0"/>
          <c:showVal val="1"/>
          <c:showCatName val="0"/>
          <c:showSerName val="0"/>
          <c:showPercent val="0"/>
          <c:showBubbleSize val="0"/>
        </c:dLbls>
        <c:marker val="1"/>
        <c:smooth val="0"/>
        <c:axId val="571758464"/>
        <c:axId val="571769504"/>
      </c:lineChart>
      <c:catAx>
        <c:axId val="571758464"/>
        <c:scaling>
          <c:orientation val="minMax"/>
        </c:scaling>
        <c:delete val="0"/>
        <c:axPos val="b"/>
        <c:numFmt formatCode="General"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crossAx val="571769504"/>
        <c:crosses val="autoZero"/>
        <c:auto val="1"/>
        <c:lblAlgn val="ctr"/>
        <c:lblOffset val="100"/>
        <c:noMultiLvlLbl val="0"/>
      </c:catAx>
      <c:valAx>
        <c:axId val="571769504"/>
        <c:scaling>
          <c:orientation val="minMax"/>
        </c:scaling>
        <c:delete val="0"/>
        <c:axPos val="l"/>
        <c:majorGridlines>
          <c:spPr>
            <a:ln w="9525" cap="flat" cmpd="sng" algn="ctr">
              <a:solidFill>
                <a:schemeClr val="tx1">
                  <a:lumMod val="15000"/>
                  <a:lumOff val="85000"/>
                </a:schemeClr>
              </a:solidFill>
              <a:round/>
            </a:ln>
            <a:effectLst/>
          </c:spPr>
        </c:majorGridlines>
        <c:numFmt formatCode="0.0%"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crossAx val="571758464"/>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HN"/>
    </a:p>
  </c:txPr>
  <c:externalData r:id="rId3">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ysClr val="windowText" lastClr="000000"/>
                </a:solidFill>
                <a:latin typeface="Times New Roman" panose="02020603050405020304" pitchFamily="18" charset="0"/>
                <a:ea typeface="+mn-ea"/>
                <a:cs typeface="Times New Roman" panose="02020603050405020304" pitchFamily="18" charset="0"/>
              </a:defRPr>
            </a:pPr>
            <a:r>
              <a:rPr lang="es-HN">
                <a:solidFill>
                  <a:sysClr val="windowText" lastClr="000000"/>
                </a:solidFill>
                <a:latin typeface="Times New Roman" panose="02020603050405020304" pitchFamily="18" charset="0"/>
                <a:cs typeface="Times New Roman" panose="02020603050405020304" pitchFamily="18" charset="0"/>
              </a:rPr>
              <a:t>Mora</a:t>
            </a:r>
            <a:r>
              <a:rPr lang="es-HN" baseline="0">
                <a:solidFill>
                  <a:sysClr val="windowText" lastClr="000000"/>
                </a:solidFill>
                <a:latin typeface="Times New Roman" panose="02020603050405020304" pitchFamily="18" charset="0"/>
                <a:cs typeface="Times New Roman" panose="02020603050405020304" pitchFamily="18" charset="0"/>
              </a:rPr>
              <a:t> Mayor a 30 días</a:t>
            </a:r>
            <a:endParaRPr lang="es-HN">
              <a:solidFill>
                <a:sysClr val="windowText" lastClr="000000"/>
              </a:solidFill>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defRPr sz="1400" b="0" i="0" u="none" strike="noStrike" kern="1200" spc="0" baseline="0">
              <a:solidFill>
                <a:sysClr val="windowText" lastClr="000000"/>
              </a:solidFill>
              <a:latin typeface="Times New Roman" panose="02020603050405020304" pitchFamily="18" charset="0"/>
              <a:ea typeface="+mn-ea"/>
              <a:cs typeface="Times New Roman" panose="02020603050405020304" pitchFamily="18" charset="0"/>
            </a:defRPr>
          </a:pPr>
          <a:endParaRPr lang="es-HN"/>
        </a:p>
      </c:txPr>
    </c:title>
    <c:autoTitleDeleted val="0"/>
    <c:plotArea>
      <c:layout/>
      <c:lineChart>
        <c:grouping val="standard"/>
        <c:varyColors val="0"/>
        <c:ser>
          <c:idx val="0"/>
          <c:order val="0"/>
          <c:spPr>
            <a:ln w="28575" cap="rnd">
              <a:solidFill>
                <a:schemeClr val="accent1"/>
              </a:solidFill>
              <a:round/>
            </a:ln>
            <a:effectLst/>
          </c:spPr>
          <c:marker>
            <c:symbol val="circle"/>
            <c:size val="5"/>
            <c:spPr>
              <a:solidFill>
                <a:schemeClr val="accent1"/>
              </a:solidFill>
              <a:ln w="9525">
                <a:solidFill>
                  <a:schemeClr val="accent1"/>
                </a:solidFill>
              </a:ln>
              <a:effectLst/>
            </c:spPr>
          </c:marker>
          <c:dLbls>
            <c:dLbl>
              <c:idx val="1"/>
              <c:layout>
                <c:manualLayout>
                  <c:x val="2.7777777777777779E-3"/>
                  <c:y val="-1.8518518518518517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3055-43E6-B295-7A2F73F6218A}"/>
                </c:ext>
              </c:extLst>
            </c:dLbl>
            <c:dLbl>
              <c:idx val="2"/>
              <c:layout>
                <c:manualLayout>
                  <c:x val="-1.0185067526415994E-16"/>
                  <c:y val="6.0185185185185182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3055-43E6-B295-7A2F73F6218A}"/>
                </c:ext>
              </c:extLst>
            </c:dLbl>
            <c:dLbl>
              <c:idx val="3"/>
              <c:layout>
                <c:manualLayout>
                  <c:x val="2.7777777777778798E-3"/>
                  <c:y val="-6.4814814814814811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3055-43E6-B295-7A2F73F6218A}"/>
                </c:ext>
              </c:extLst>
            </c:dLbl>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mn-lt"/>
                    <a:ea typeface="+mn-ea"/>
                    <a:cs typeface="+mn-cs"/>
                  </a:defRPr>
                </a:pPr>
                <a:endParaRPr lang="es-HN"/>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Morosidad!$F$2:$J$2</c:f>
              <c:numCache>
                <c:formatCode>General</c:formatCode>
                <c:ptCount val="5"/>
                <c:pt idx="0">
                  <c:v>2019</c:v>
                </c:pt>
                <c:pt idx="1">
                  <c:v>2020</c:v>
                </c:pt>
                <c:pt idx="2">
                  <c:v>2021</c:v>
                </c:pt>
                <c:pt idx="3">
                  <c:v>2022</c:v>
                </c:pt>
                <c:pt idx="4">
                  <c:v>2023</c:v>
                </c:pt>
              </c:numCache>
            </c:numRef>
          </c:cat>
          <c:val>
            <c:numRef>
              <c:f>Morosidad!$F$12:$J$12</c:f>
              <c:numCache>
                <c:formatCode>0.0%</c:formatCode>
                <c:ptCount val="5"/>
                <c:pt idx="0">
                  <c:v>0.22001905720877357</c:v>
                </c:pt>
                <c:pt idx="1">
                  <c:v>0.34231825937340388</c:v>
                </c:pt>
                <c:pt idx="2">
                  <c:v>0.29247521802709253</c:v>
                </c:pt>
                <c:pt idx="3">
                  <c:v>0.27990042004295645</c:v>
                </c:pt>
                <c:pt idx="4">
                  <c:v>0.27094440766688221</c:v>
                </c:pt>
              </c:numCache>
            </c:numRef>
          </c:val>
          <c:smooth val="0"/>
          <c:extLst>
            <c:ext xmlns:c16="http://schemas.microsoft.com/office/drawing/2014/chart" uri="{C3380CC4-5D6E-409C-BE32-E72D297353CC}">
              <c16:uniqueId val="{00000003-3055-43E6-B295-7A2F73F6218A}"/>
            </c:ext>
          </c:extLst>
        </c:ser>
        <c:dLbls>
          <c:showLegendKey val="0"/>
          <c:showVal val="1"/>
          <c:showCatName val="0"/>
          <c:showSerName val="0"/>
          <c:showPercent val="0"/>
          <c:showBubbleSize val="0"/>
        </c:dLbls>
        <c:marker val="1"/>
        <c:smooth val="0"/>
        <c:axId val="571779104"/>
        <c:axId val="571779584"/>
      </c:lineChart>
      <c:catAx>
        <c:axId val="57177910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crossAx val="571779584"/>
        <c:crosses val="autoZero"/>
        <c:auto val="1"/>
        <c:lblAlgn val="ctr"/>
        <c:lblOffset val="100"/>
        <c:noMultiLvlLbl val="0"/>
      </c:catAx>
      <c:valAx>
        <c:axId val="571779584"/>
        <c:scaling>
          <c:orientation val="minMax"/>
        </c:scaling>
        <c:delete val="0"/>
        <c:axPos val="l"/>
        <c:majorGridlines>
          <c:spPr>
            <a:ln w="9525" cap="flat" cmpd="sng" algn="ctr">
              <a:solidFill>
                <a:schemeClr val="tx1">
                  <a:lumMod val="15000"/>
                  <a:lumOff val="85000"/>
                </a:schemeClr>
              </a:solidFill>
              <a:round/>
            </a:ln>
            <a:effectLst/>
          </c:spPr>
        </c:majorGridlines>
        <c:numFmt formatCode="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crossAx val="571779104"/>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HN"/>
    </a:p>
  </c:txPr>
  <c:externalData r:id="rId3">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ysClr val="windowText" lastClr="000000"/>
                </a:solidFill>
                <a:latin typeface="Times New Roman" panose="02020603050405020304" pitchFamily="18" charset="0"/>
                <a:ea typeface="+mn-ea"/>
                <a:cs typeface="Times New Roman" panose="02020603050405020304" pitchFamily="18" charset="0"/>
              </a:defRPr>
            </a:pPr>
            <a:r>
              <a:rPr lang="es-HN">
                <a:solidFill>
                  <a:sysClr val="windowText" lastClr="000000"/>
                </a:solidFill>
                <a:latin typeface="Times New Roman" panose="02020603050405020304" pitchFamily="18" charset="0"/>
                <a:cs typeface="Times New Roman" panose="02020603050405020304" pitchFamily="18" charset="0"/>
              </a:rPr>
              <a:t>% de Incobrabilidad</a:t>
            </a:r>
          </a:p>
        </c:rich>
      </c:tx>
      <c:overlay val="0"/>
      <c:spPr>
        <a:noFill/>
        <a:ln>
          <a:noFill/>
        </a:ln>
        <a:effectLst/>
      </c:spPr>
      <c:txPr>
        <a:bodyPr rot="0" spcFirstLastPara="1" vertOverflow="ellipsis" vert="horz" wrap="square" anchor="ctr" anchorCtr="1"/>
        <a:lstStyle/>
        <a:p>
          <a:pPr>
            <a:defRPr sz="1400" b="0" i="0" u="none" strike="noStrike" kern="1200" spc="0" baseline="0">
              <a:solidFill>
                <a:sysClr val="windowText" lastClr="000000"/>
              </a:solidFill>
              <a:latin typeface="Times New Roman" panose="02020603050405020304" pitchFamily="18" charset="0"/>
              <a:ea typeface="+mn-ea"/>
              <a:cs typeface="Times New Roman" panose="02020603050405020304" pitchFamily="18" charset="0"/>
            </a:defRPr>
          </a:pPr>
          <a:endParaRPr lang="es-HN"/>
        </a:p>
      </c:txPr>
    </c:title>
    <c:autoTitleDeleted val="0"/>
    <c:plotArea>
      <c:layout/>
      <c:lineChart>
        <c:grouping val="standard"/>
        <c:varyColors val="0"/>
        <c:ser>
          <c:idx val="0"/>
          <c:order val="0"/>
          <c:spPr>
            <a:ln w="28575" cap="rnd">
              <a:solidFill>
                <a:schemeClr val="accent1"/>
              </a:solidFill>
              <a:round/>
            </a:ln>
            <a:effectLst/>
          </c:spPr>
          <c:marker>
            <c:symbol val="circle"/>
            <c:size val="5"/>
            <c:spPr>
              <a:solidFill>
                <a:schemeClr val="accent1"/>
              </a:solidFill>
              <a:ln w="9525">
                <a:solidFill>
                  <a:schemeClr val="accent1"/>
                </a:solidFill>
              </a:ln>
              <a:effectLst/>
            </c:spPr>
          </c:marker>
          <c:dLbls>
            <c:dLbl>
              <c:idx val="0"/>
              <c:layout>
                <c:manualLayout>
                  <c:x val="-2.5462668816039986E-17"/>
                  <c:y val="-6.0185185185185272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4C9D-4021-BF64-BA6ED922B1DB}"/>
                </c:ext>
              </c:extLst>
            </c:dLbl>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mn-lt"/>
                    <a:ea typeface="+mn-ea"/>
                    <a:cs typeface="+mn-cs"/>
                  </a:defRPr>
                </a:pPr>
                <a:endParaRPr lang="es-HN"/>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Morosidad!$F$2:$J$2</c:f>
              <c:numCache>
                <c:formatCode>General</c:formatCode>
                <c:ptCount val="5"/>
                <c:pt idx="0">
                  <c:v>2019</c:v>
                </c:pt>
                <c:pt idx="1">
                  <c:v>2020</c:v>
                </c:pt>
                <c:pt idx="2">
                  <c:v>2021</c:v>
                </c:pt>
                <c:pt idx="3">
                  <c:v>2022</c:v>
                </c:pt>
                <c:pt idx="4">
                  <c:v>2023</c:v>
                </c:pt>
              </c:numCache>
            </c:numRef>
          </c:cat>
          <c:val>
            <c:numRef>
              <c:f>Morosidad!$F$17:$J$17</c:f>
              <c:numCache>
                <c:formatCode>0.0%</c:formatCode>
                <c:ptCount val="5"/>
                <c:pt idx="0" formatCode="0%">
                  <c:v>3.8651184509285064E-2</c:v>
                </c:pt>
                <c:pt idx="1">
                  <c:v>3.3030978728674616E-2</c:v>
                </c:pt>
                <c:pt idx="2">
                  <c:v>0.13011131838445661</c:v>
                </c:pt>
                <c:pt idx="3">
                  <c:v>6.7212152213702692E-2</c:v>
                </c:pt>
                <c:pt idx="4">
                  <c:v>1.936331760832331E-2</c:v>
                </c:pt>
              </c:numCache>
            </c:numRef>
          </c:val>
          <c:smooth val="0"/>
          <c:extLst>
            <c:ext xmlns:c16="http://schemas.microsoft.com/office/drawing/2014/chart" uri="{C3380CC4-5D6E-409C-BE32-E72D297353CC}">
              <c16:uniqueId val="{00000001-4C9D-4021-BF64-BA6ED922B1DB}"/>
            </c:ext>
          </c:extLst>
        </c:ser>
        <c:dLbls>
          <c:showLegendKey val="0"/>
          <c:showVal val="1"/>
          <c:showCatName val="0"/>
          <c:showSerName val="0"/>
          <c:showPercent val="0"/>
          <c:showBubbleSize val="0"/>
        </c:dLbls>
        <c:marker val="1"/>
        <c:smooth val="0"/>
        <c:axId val="571787264"/>
        <c:axId val="571785824"/>
      </c:lineChart>
      <c:catAx>
        <c:axId val="57178726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crossAx val="571785824"/>
        <c:crosses val="autoZero"/>
        <c:auto val="1"/>
        <c:lblAlgn val="ctr"/>
        <c:lblOffset val="100"/>
        <c:noMultiLvlLbl val="0"/>
      </c:catAx>
      <c:valAx>
        <c:axId val="571785824"/>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crossAx val="571787264"/>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HN"/>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solidFill>
                <a:latin typeface="Times New Roman" panose="02020603050405020304" pitchFamily="18" charset="0"/>
                <a:ea typeface="+mn-ea"/>
                <a:cs typeface="Times New Roman" panose="02020603050405020304" pitchFamily="18" charset="0"/>
              </a:defRPr>
            </a:pPr>
            <a:r>
              <a:rPr lang="es-HN" b="0">
                <a:solidFill>
                  <a:schemeClr val="tx1"/>
                </a:solidFill>
                <a:latin typeface="Times New Roman" panose="02020603050405020304" pitchFamily="18" charset="0"/>
                <a:cs typeface="Times New Roman" panose="02020603050405020304" pitchFamily="18" charset="0"/>
              </a:rPr>
              <a:t>Rentabilidad</a:t>
            </a:r>
            <a:r>
              <a:rPr lang="es-HN" b="0" baseline="0">
                <a:solidFill>
                  <a:schemeClr val="tx1"/>
                </a:solidFill>
                <a:latin typeface="Times New Roman" panose="02020603050405020304" pitchFamily="18" charset="0"/>
                <a:cs typeface="Times New Roman" panose="02020603050405020304" pitchFamily="18" charset="0"/>
              </a:rPr>
              <a:t> sobre Capital (ROE)</a:t>
            </a:r>
            <a:endParaRPr lang="es-HN" b="0">
              <a:solidFill>
                <a:schemeClr val="tx1"/>
              </a:solidFill>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solidFill>
              <a:latin typeface="Times New Roman" panose="02020603050405020304" pitchFamily="18" charset="0"/>
              <a:ea typeface="+mn-ea"/>
              <a:cs typeface="Times New Roman" panose="02020603050405020304" pitchFamily="18" charset="0"/>
            </a:defRPr>
          </a:pPr>
          <a:endParaRPr lang="es-HN"/>
        </a:p>
      </c:txPr>
    </c:title>
    <c:autoTitleDeleted val="0"/>
    <c:plotArea>
      <c:layout/>
      <c:lineChart>
        <c:grouping val="standard"/>
        <c:varyColors val="0"/>
        <c:ser>
          <c:idx val="0"/>
          <c:order val="0"/>
          <c:spPr>
            <a:ln w="28575" cap="rnd">
              <a:solidFill>
                <a:schemeClr val="accent1"/>
              </a:solidFill>
              <a:round/>
            </a:ln>
            <a:effectLst/>
          </c:spPr>
          <c:marker>
            <c:symbol val="circle"/>
            <c:size val="5"/>
            <c:spPr>
              <a:solidFill>
                <a:schemeClr val="accent1"/>
              </a:solidFill>
              <a:ln w="9525">
                <a:solidFill>
                  <a:schemeClr val="accent1"/>
                </a:solidFill>
              </a:ln>
              <a:effectLst/>
            </c:spPr>
          </c:marker>
          <c:dLbls>
            <c:dLbl>
              <c:idx val="3"/>
              <c:layout>
                <c:manualLayout>
                  <c:x val="-1.1111111111111112E-2"/>
                  <c:y val="5.5555555555555511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6197-421D-A3A9-AB176758803C}"/>
                </c:ext>
              </c:extLst>
            </c:dLbl>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solidFill>
                    <a:latin typeface="+mn-lt"/>
                    <a:ea typeface="+mn-ea"/>
                    <a:cs typeface="+mn-cs"/>
                  </a:defRPr>
                </a:pPr>
                <a:endParaRPr lang="es-HN"/>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Rentabilidad!$H$2:$L$2</c:f>
              <c:numCache>
                <c:formatCode>General</c:formatCode>
                <c:ptCount val="5"/>
                <c:pt idx="0">
                  <c:v>2019</c:v>
                </c:pt>
                <c:pt idx="1">
                  <c:v>2020</c:v>
                </c:pt>
                <c:pt idx="2">
                  <c:v>2021</c:v>
                </c:pt>
                <c:pt idx="3">
                  <c:v>2022</c:v>
                </c:pt>
                <c:pt idx="4">
                  <c:v>2023</c:v>
                </c:pt>
              </c:numCache>
            </c:numRef>
          </c:cat>
          <c:val>
            <c:numRef>
              <c:f>Rentabilidad!$H$13:$L$13</c:f>
              <c:numCache>
                <c:formatCode>_-* #,##0.0_-;\-* #,##0.0_-;_-* "-"??_-;_-@_-</c:formatCode>
                <c:ptCount val="5"/>
                <c:pt idx="0">
                  <c:v>-14.073444575132111</c:v>
                </c:pt>
                <c:pt idx="1">
                  <c:v>-164.55692823895478</c:v>
                </c:pt>
                <c:pt idx="2">
                  <c:v>-316.48296398667026</c:v>
                </c:pt>
                <c:pt idx="3">
                  <c:v>-48.929012260548177</c:v>
                </c:pt>
                <c:pt idx="4">
                  <c:v>-21.754593199422704</c:v>
                </c:pt>
              </c:numCache>
            </c:numRef>
          </c:val>
          <c:smooth val="0"/>
          <c:extLst>
            <c:ext xmlns:c16="http://schemas.microsoft.com/office/drawing/2014/chart" uri="{C3380CC4-5D6E-409C-BE32-E72D297353CC}">
              <c16:uniqueId val="{00000001-6197-421D-A3A9-AB176758803C}"/>
            </c:ext>
          </c:extLst>
        </c:ser>
        <c:dLbls>
          <c:showLegendKey val="0"/>
          <c:showVal val="1"/>
          <c:showCatName val="0"/>
          <c:showSerName val="0"/>
          <c:showPercent val="0"/>
          <c:showBubbleSize val="0"/>
        </c:dLbls>
        <c:marker val="1"/>
        <c:smooth val="0"/>
        <c:axId val="88729904"/>
        <c:axId val="88731344"/>
      </c:lineChart>
      <c:catAx>
        <c:axId val="8872990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crossAx val="88731344"/>
        <c:crosses val="autoZero"/>
        <c:auto val="1"/>
        <c:lblAlgn val="ctr"/>
        <c:lblOffset val="100"/>
        <c:noMultiLvlLbl val="0"/>
      </c:catAx>
      <c:valAx>
        <c:axId val="88731344"/>
        <c:scaling>
          <c:orientation val="minMax"/>
        </c:scaling>
        <c:delete val="0"/>
        <c:axPos val="l"/>
        <c:majorGridlines>
          <c:spPr>
            <a:ln w="9525" cap="flat" cmpd="sng" algn="ctr">
              <a:solidFill>
                <a:schemeClr val="tx1">
                  <a:lumMod val="15000"/>
                  <a:lumOff val="85000"/>
                </a:schemeClr>
              </a:solidFill>
              <a:round/>
            </a:ln>
            <a:effectLst/>
          </c:spPr>
        </c:majorGridlines>
        <c:numFmt formatCode="_-* #,##0.0_-;\-* #,##0.0_-;_-* &quot;-&quot;??_-;_-@_-"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crossAx val="88729904"/>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HN"/>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solidFill>
                <a:latin typeface="Times New Roman" panose="02020603050405020304" pitchFamily="18" charset="0"/>
                <a:ea typeface="+mn-ea"/>
                <a:cs typeface="Times New Roman" panose="02020603050405020304" pitchFamily="18" charset="0"/>
              </a:defRPr>
            </a:pPr>
            <a:r>
              <a:rPr lang="es-HN">
                <a:solidFill>
                  <a:schemeClr val="tx1"/>
                </a:solidFill>
                <a:latin typeface="Times New Roman" panose="02020603050405020304" pitchFamily="18" charset="0"/>
                <a:cs typeface="Times New Roman" panose="02020603050405020304" pitchFamily="18" charset="0"/>
              </a:rPr>
              <a:t>Margen de Utilidad</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solidFill>
              <a:latin typeface="Times New Roman" panose="02020603050405020304" pitchFamily="18" charset="0"/>
              <a:ea typeface="+mn-ea"/>
              <a:cs typeface="Times New Roman" panose="02020603050405020304" pitchFamily="18" charset="0"/>
            </a:defRPr>
          </a:pPr>
          <a:endParaRPr lang="es-HN"/>
        </a:p>
      </c:txPr>
    </c:title>
    <c:autoTitleDeleted val="0"/>
    <c:plotArea>
      <c:layout/>
      <c:lineChart>
        <c:grouping val="standard"/>
        <c:varyColors val="0"/>
        <c:ser>
          <c:idx val="0"/>
          <c:order val="0"/>
          <c:spPr>
            <a:ln w="28575" cap="rnd">
              <a:solidFill>
                <a:schemeClr val="accent1"/>
              </a:solidFill>
              <a:round/>
            </a:ln>
            <a:effectLst/>
          </c:spPr>
          <c:marker>
            <c:symbol val="circle"/>
            <c:size val="5"/>
            <c:spPr>
              <a:solidFill>
                <a:schemeClr val="accent1"/>
              </a:solidFill>
              <a:ln w="9525">
                <a:solidFill>
                  <a:schemeClr val="accent1"/>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solidFill>
                    <a:latin typeface="+mn-lt"/>
                    <a:ea typeface="+mn-ea"/>
                    <a:cs typeface="+mn-cs"/>
                  </a:defRPr>
                </a:pPr>
                <a:endParaRPr lang="es-HN"/>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Rentabilidad!$H$2:$L$2</c:f>
              <c:numCache>
                <c:formatCode>General</c:formatCode>
                <c:ptCount val="5"/>
                <c:pt idx="0">
                  <c:v>2019</c:v>
                </c:pt>
                <c:pt idx="1">
                  <c:v>2020</c:v>
                </c:pt>
                <c:pt idx="2">
                  <c:v>2021</c:v>
                </c:pt>
                <c:pt idx="3">
                  <c:v>2022</c:v>
                </c:pt>
                <c:pt idx="4">
                  <c:v>2023</c:v>
                </c:pt>
              </c:numCache>
            </c:numRef>
          </c:cat>
          <c:val>
            <c:numRef>
              <c:f>Rentabilidad!$H$19:$L$19</c:f>
              <c:numCache>
                <c:formatCode>_-* #,##0.0_-;\-* #,##0.0_-;_-* "-"??_-;_-@_-</c:formatCode>
                <c:ptCount val="5"/>
                <c:pt idx="0">
                  <c:v>-11.162647266527545</c:v>
                </c:pt>
                <c:pt idx="1">
                  <c:v>-97.553214219586351</c:v>
                </c:pt>
                <c:pt idx="2">
                  <c:v>-136.60233050522578</c:v>
                </c:pt>
                <c:pt idx="3">
                  <c:v>-35.245682828229121</c:v>
                </c:pt>
                <c:pt idx="4">
                  <c:v>-13.148414582709878</c:v>
                </c:pt>
              </c:numCache>
            </c:numRef>
          </c:val>
          <c:smooth val="0"/>
          <c:extLst>
            <c:ext xmlns:c16="http://schemas.microsoft.com/office/drawing/2014/chart" uri="{C3380CC4-5D6E-409C-BE32-E72D297353CC}">
              <c16:uniqueId val="{00000000-B83A-4626-9FEC-4DD5E3BC617B}"/>
            </c:ext>
          </c:extLst>
        </c:ser>
        <c:dLbls>
          <c:showLegendKey val="0"/>
          <c:showVal val="1"/>
          <c:showCatName val="0"/>
          <c:showSerName val="0"/>
          <c:showPercent val="0"/>
          <c:showBubbleSize val="0"/>
        </c:dLbls>
        <c:marker val="1"/>
        <c:smooth val="0"/>
        <c:axId val="175462304"/>
        <c:axId val="175450304"/>
      </c:lineChart>
      <c:catAx>
        <c:axId val="17546230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crossAx val="175450304"/>
        <c:crosses val="autoZero"/>
        <c:auto val="1"/>
        <c:lblAlgn val="ctr"/>
        <c:lblOffset val="100"/>
        <c:noMultiLvlLbl val="0"/>
      </c:catAx>
      <c:valAx>
        <c:axId val="175450304"/>
        <c:scaling>
          <c:orientation val="minMax"/>
        </c:scaling>
        <c:delete val="0"/>
        <c:axPos val="l"/>
        <c:majorGridlines>
          <c:spPr>
            <a:ln w="9525" cap="flat" cmpd="sng" algn="ctr">
              <a:solidFill>
                <a:schemeClr val="tx1">
                  <a:lumMod val="15000"/>
                  <a:lumOff val="85000"/>
                </a:schemeClr>
              </a:solidFill>
              <a:round/>
            </a:ln>
            <a:effectLst/>
          </c:spPr>
        </c:majorGridlines>
        <c:numFmt formatCode="_-* #,##0.0_-;\-* #,##0.0_-;_-* &quot;-&quot;??_-;_-@_-"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crossAx val="175462304"/>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HN"/>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solidFill>
                <a:latin typeface="Times New Roman" panose="02020603050405020304" pitchFamily="18" charset="0"/>
                <a:ea typeface="+mn-ea"/>
                <a:cs typeface="Times New Roman" panose="02020603050405020304" pitchFamily="18" charset="0"/>
              </a:defRPr>
            </a:pPr>
            <a:r>
              <a:rPr lang="es-HN" b="0">
                <a:solidFill>
                  <a:schemeClr val="tx1"/>
                </a:solidFill>
                <a:latin typeface="Times New Roman" panose="02020603050405020304" pitchFamily="18" charset="0"/>
                <a:cs typeface="Times New Roman" panose="02020603050405020304" pitchFamily="18" charset="0"/>
              </a:rPr>
              <a:t>Razón de Liquidez</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solidFill>
              <a:latin typeface="Times New Roman" panose="02020603050405020304" pitchFamily="18" charset="0"/>
              <a:ea typeface="+mn-ea"/>
              <a:cs typeface="Times New Roman" panose="02020603050405020304" pitchFamily="18" charset="0"/>
            </a:defRPr>
          </a:pPr>
          <a:endParaRPr lang="es-HN"/>
        </a:p>
      </c:txPr>
    </c:title>
    <c:autoTitleDeleted val="0"/>
    <c:plotArea>
      <c:layout/>
      <c:lineChart>
        <c:grouping val="standard"/>
        <c:varyColors val="0"/>
        <c:ser>
          <c:idx val="0"/>
          <c:order val="0"/>
          <c:spPr>
            <a:ln w="28575" cap="rnd">
              <a:solidFill>
                <a:schemeClr val="accent1"/>
              </a:solidFill>
              <a:round/>
            </a:ln>
            <a:effectLst/>
          </c:spPr>
          <c:marker>
            <c:symbol val="circle"/>
            <c:size val="5"/>
            <c:spPr>
              <a:solidFill>
                <a:schemeClr val="accent1"/>
              </a:solidFill>
              <a:ln w="9525">
                <a:solidFill>
                  <a:schemeClr val="accent1"/>
                </a:solidFill>
              </a:ln>
              <a:effectLst/>
            </c:spPr>
          </c:marker>
          <c:dLbls>
            <c:dLbl>
              <c:idx val="3"/>
              <c:layout>
                <c:manualLayout>
                  <c:x val="-1.388888888888899E-2"/>
                  <c:y val="-5.5555555555555643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E2A2-4B5A-A033-976B1C326364}"/>
                </c:ext>
              </c:extLst>
            </c:dLbl>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solidFill>
                    <a:latin typeface="+mn-lt"/>
                    <a:ea typeface="+mn-ea"/>
                    <a:cs typeface="+mn-cs"/>
                  </a:defRPr>
                </a:pPr>
                <a:endParaRPr lang="es-HN"/>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Liquidez!$F$2:$J$2</c:f>
              <c:numCache>
                <c:formatCode>General</c:formatCode>
                <c:ptCount val="5"/>
                <c:pt idx="0">
                  <c:v>2019</c:v>
                </c:pt>
                <c:pt idx="1">
                  <c:v>2020</c:v>
                </c:pt>
                <c:pt idx="2">
                  <c:v>2021</c:v>
                </c:pt>
                <c:pt idx="3">
                  <c:v>2022</c:v>
                </c:pt>
                <c:pt idx="4">
                  <c:v>2023</c:v>
                </c:pt>
              </c:numCache>
            </c:numRef>
          </c:cat>
          <c:val>
            <c:numRef>
              <c:f>Liquidez!$F$6:$J$6</c:f>
              <c:numCache>
                <c:formatCode>_-* #,##0.0_-;\-* #,##0.0_-;_-* "-"??_-;_-@_-</c:formatCode>
                <c:ptCount val="5"/>
                <c:pt idx="0">
                  <c:v>3.0103680292753454</c:v>
                </c:pt>
                <c:pt idx="1">
                  <c:v>1.6411923038966152</c:v>
                </c:pt>
                <c:pt idx="2">
                  <c:v>1.2591136314095117</c:v>
                </c:pt>
                <c:pt idx="3">
                  <c:v>1.8217590215992496</c:v>
                </c:pt>
                <c:pt idx="4">
                  <c:v>1.6098306063942656</c:v>
                </c:pt>
              </c:numCache>
            </c:numRef>
          </c:val>
          <c:smooth val="0"/>
          <c:extLst>
            <c:ext xmlns:c16="http://schemas.microsoft.com/office/drawing/2014/chart" uri="{C3380CC4-5D6E-409C-BE32-E72D297353CC}">
              <c16:uniqueId val="{00000001-E2A2-4B5A-A033-976B1C326364}"/>
            </c:ext>
          </c:extLst>
        </c:ser>
        <c:dLbls>
          <c:showLegendKey val="0"/>
          <c:showVal val="1"/>
          <c:showCatName val="0"/>
          <c:showSerName val="0"/>
          <c:showPercent val="0"/>
          <c:showBubbleSize val="0"/>
        </c:dLbls>
        <c:marker val="1"/>
        <c:smooth val="0"/>
        <c:axId val="1048705776"/>
        <c:axId val="1048706256"/>
      </c:lineChart>
      <c:catAx>
        <c:axId val="104870577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crossAx val="1048706256"/>
        <c:crosses val="autoZero"/>
        <c:auto val="1"/>
        <c:lblAlgn val="ctr"/>
        <c:lblOffset val="100"/>
        <c:noMultiLvlLbl val="0"/>
      </c:catAx>
      <c:valAx>
        <c:axId val="1048706256"/>
        <c:scaling>
          <c:orientation val="minMax"/>
        </c:scaling>
        <c:delete val="0"/>
        <c:axPos val="l"/>
        <c:majorGridlines>
          <c:spPr>
            <a:ln w="9525" cap="flat" cmpd="sng" algn="ctr">
              <a:solidFill>
                <a:schemeClr val="tx1">
                  <a:lumMod val="15000"/>
                  <a:lumOff val="85000"/>
                </a:schemeClr>
              </a:solidFill>
              <a:round/>
            </a:ln>
            <a:effectLst/>
          </c:spPr>
        </c:majorGridlines>
        <c:numFmt formatCode="_-* #,##0.0_-;\-* #,##0.0_-;_-* &quot;-&quot;??_-;_-@_-"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crossAx val="1048705776"/>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HN"/>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solidFill>
                <a:latin typeface="Times New Roman" panose="02020603050405020304" pitchFamily="18" charset="0"/>
                <a:ea typeface="+mn-ea"/>
                <a:cs typeface="Times New Roman" panose="02020603050405020304" pitchFamily="18" charset="0"/>
              </a:defRPr>
            </a:pPr>
            <a:r>
              <a:rPr lang="es-HN" b="0">
                <a:solidFill>
                  <a:schemeClr val="tx1"/>
                </a:solidFill>
                <a:latin typeface="Times New Roman" panose="02020603050405020304" pitchFamily="18" charset="0"/>
                <a:cs typeface="Times New Roman" panose="02020603050405020304" pitchFamily="18" charset="0"/>
              </a:rPr>
              <a:t>Razón de Efectivo</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solidFill>
              <a:latin typeface="Times New Roman" panose="02020603050405020304" pitchFamily="18" charset="0"/>
              <a:ea typeface="+mn-ea"/>
              <a:cs typeface="Times New Roman" panose="02020603050405020304" pitchFamily="18" charset="0"/>
            </a:defRPr>
          </a:pPr>
          <a:endParaRPr lang="es-HN"/>
        </a:p>
      </c:txPr>
    </c:title>
    <c:autoTitleDeleted val="0"/>
    <c:plotArea>
      <c:layout/>
      <c:lineChart>
        <c:grouping val="standard"/>
        <c:varyColors val="0"/>
        <c:ser>
          <c:idx val="0"/>
          <c:order val="0"/>
          <c:spPr>
            <a:ln w="28575" cap="rnd">
              <a:solidFill>
                <a:schemeClr val="accent1"/>
              </a:solidFill>
              <a:round/>
            </a:ln>
            <a:effectLst/>
          </c:spPr>
          <c:marker>
            <c:symbol val="circle"/>
            <c:size val="5"/>
            <c:spPr>
              <a:solidFill>
                <a:schemeClr val="accent1"/>
              </a:solidFill>
              <a:ln w="9525">
                <a:solidFill>
                  <a:schemeClr val="accent1"/>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solidFill>
                    <a:latin typeface="+mn-lt"/>
                    <a:ea typeface="+mn-ea"/>
                    <a:cs typeface="+mn-cs"/>
                  </a:defRPr>
                </a:pPr>
                <a:endParaRPr lang="es-HN"/>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Liquidez!$F$2:$J$2</c:f>
              <c:numCache>
                <c:formatCode>General</c:formatCode>
                <c:ptCount val="5"/>
                <c:pt idx="0">
                  <c:v>2019</c:v>
                </c:pt>
                <c:pt idx="1">
                  <c:v>2020</c:v>
                </c:pt>
                <c:pt idx="2">
                  <c:v>2021</c:v>
                </c:pt>
                <c:pt idx="3">
                  <c:v>2022</c:v>
                </c:pt>
                <c:pt idx="4">
                  <c:v>2023</c:v>
                </c:pt>
              </c:numCache>
            </c:numRef>
          </c:cat>
          <c:val>
            <c:numRef>
              <c:f>Liquidez!$F$13:$J$13</c:f>
              <c:numCache>
                <c:formatCode>_-* #,##0.0_-;\-* #,##0.0_-;_-* "-"??_-;_-@_-</c:formatCode>
                <c:ptCount val="5"/>
                <c:pt idx="0">
                  <c:v>0.1785946853910593</c:v>
                </c:pt>
                <c:pt idx="1">
                  <c:v>0.32965635269371873</c:v>
                </c:pt>
                <c:pt idx="2">
                  <c:v>0.11230057498574102</c:v>
                </c:pt>
                <c:pt idx="3">
                  <c:v>0.25370302051033111</c:v>
                </c:pt>
                <c:pt idx="4">
                  <c:v>9.550434075825287E-2</c:v>
                </c:pt>
              </c:numCache>
            </c:numRef>
          </c:val>
          <c:smooth val="0"/>
          <c:extLst>
            <c:ext xmlns:c16="http://schemas.microsoft.com/office/drawing/2014/chart" uri="{C3380CC4-5D6E-409C-BE32-E72D297353CC}">
              <c16:uniqueId val="{00000000-D54D-4083-8D1F-EC446F14DD6F}"/>
            </c:ext>
          </c:extLst>
        </c:ser>
        <c:dLbls>
          <c:showLegendKey val="0"/>
          <c:showVal val="1"/>
          <c:showCatName val="0"/>
          <c:showSerName val="0"/>
          <c:showPercent val="0"/>
          <c:showBubbleSize val="0"/>
        </c:dLbls>
        <c:marker val="1"/>
        <c:smooth val="0"/>
        <c:axId val="257739264"/>
        <c:axId val="257748864"/>
      </c:lineChart>
      <c:catAx>
        <c:axId val="25773926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crossAx val="257748864"/>
        <c:crosses val="autoZero"/>
        <c:auto val="1"/>
        <c:lblAlgn val="ctr"/>
        <c:lblOffset val="100"/>
        <c:noMultiLvlLbl val="0"/>
      </c:catAx>
      <c:valAx>
        <c:axId val="257748864"/>
        <c:scaling>
          <c:orientation val="minMax"/>
        </c:scaling>
        <c:delete val="0"/>
        <c:axPos val="l"/>
        <c:majorGridlines>
          <c:spPr>
            <a:ln w="9525" cap="flat" cmpd="sng" algn="ctr">
              <a:solidFill>
                <a:schemeClr val="tx1">
                  <a:lumMod val="15000"/>
                  <a:lumOff val="85000"/>
                </a:schemeClr>
              </a:solidFill>
              <a:round/>
            </a:ln>
            <a:effectLst/>
          </c:spPr>
        </c:majorGridlines>
        <c:numFmt formatCode="_-* #,##0.0_-;\-* #,##0.0_-;_-* &quot;-&quot;??_-;_-@_-"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crossAx val="257739264"/>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HN"/>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solidFill>
                <a:latin typeface="Times New Roman" panose="02020603050405020304" pitchFamily="18" charset="0"/>
                <a:ea typeface="+mn-ea"/>
                <a:cs typeface="Times New Roman" panose="02020603050405020304" pitchFamily="18" charset="0"/>
              </a:defRPr>
            </a:pPr>
            <a:r>
              <a:rPr lang="es-HN" b="0">
                <a:solidFill>
                  <a:schemeClr val="tx1"/>
                </a:solidFill>
                <a:latin typeface="Times New Roman" panose="02020603050405020304" pitchFamily="18" charset="0"/>
                <a:cs typeface="Times New Roman" panose="02020603050405020304" pitchFamily="18" charset="0"/>
              </a:rPr>
              <a:t>Capital de Trabajo</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solidFill>
              <a:latin typeface="Times New Roman" panose="02020603050405020304" pitchFamily="18" charset="0"/>
              <a:ea typeface="+mn-ea"/>
              <a:cs typeface="Times New Roman" panose="02020603050405020304" pitchFamily="18" charset="0"/>
            </a:defRPr>
          </a:pPr>
          <a:endParaRPr lang="es-HN"/>
        </a:p>
      </c:txPr>
    </c:title>
    <c:autoTitleDeleted val="0"/>
    <c:plotArea>
      <c:layout/>
      <c:lineChart>
        <c:grouping val="standard"/>
        <c:varyColors val="0"/>
        <c:ser>
          <c:idx val="0"/>
          <c:order val="0"/>
          <c:spPr>
            <a:ln w="28575" cap="rnd">
              <a:solidFill>
                <a:schemeClr val="accent1"/>
              </a:solidFill>
              <a:round/>
            </a:ln>
            <a:effectLst/>
          </c:spPr>
          <c:marker>
            <c:symbol val="circle"/>
            <c:size val="5"/>
            <c:spPr>
              <a:solidFill>
                <a:schemeClr val="accent1"/>
              </a:solidFill>
              <a:ln w="9525">
                <a:solidFill>
                  <a:schemeClr val="accent1"/>
                </a:solidFill>
              </a:ln>
              <a:effectLst/>
            </c:spPr>
          </c:marker>
          <c:dLbls>
            <c:dLbl>
              <c:idx val="3"/>
              <c:layout>
                <c:manualLayout>
                  <c:x val="-5.2777777777777778E-2"/>
                  <c:y val="-7.407407407407407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CADE-42A9-90B8-E2CC26D2B84E}"/>
                </c:ext>
              </c:extLst>
            </c:dLbl>
            <c:dLbl>
              <c:idx val="4"/>
              <c:layout>
                <c:manualLayout>
                  <c:x val="-1.0185067526415994E-16"/>
                  <c:y val="4.629629629629621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CADE-42A9-90B8-E2CC26D2B84E}"/>
                </c:ext>
              </c:extLst>
            </c:dLbl>
            <c:spPr>
              <a:noFill/>
              <a:ln>
                <a:noFill/>
              </a:ln>
              <a:effectLst/>
            </c:spPr>
            <c:txPr>
              <a:bodyPr rot="0" spcFirstLastPara="1" vertOverflow="ellipsis" vert="horz" wrap="square" lIns="38100" tIns="19050" rIns="38100" bIns="19050" anchor="ctr" anchorCtr="0">
                <a:spAutoFit/>
              </a:bodyPr>
              <a:lstStyle/>
              <a:p>
                <a:pPr algn="l">
                  <a:defRPr sz="900" b="1" i="0" u="none" strike="noStrike" kern="1200" baseline="0">
                    <a:solidFill>
                      <a:schemeClr val="tx1"/>
                    </a:solidFill>
                    <a:latin typeface="+mn-lt"/>
                    <a:ea typeface="+mn-ea"/>
                    <a:cs typeface="+mn-cs"/>
                  </a:defRPr>
                </a:pPr>
                <a:endParaRPr lang="es-HN"/>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Liquidez!$F$2:$J$2</c:f>
              <c:numCache>
                <c:formatCode>General</c:formatCode>
                <c:ptCount val="5"/>
                <c:pt idx="0">
                  <c:v>2019</c:v>
                </c:pt>
                <c:pt idx="1">
                  <c:v>2020</c:v>
                </c:pt>
                <c:pt idx="2">
                  <c:v>2021</c:v>
                </c:pt>
                <c:pt idx="3">
                  <c:v>2022</c:v>
                </c:pt>
                <c:pt idx="4">
                  <c:v>2023</c:v>
                </c:pt>
              </c:numCache>
            </c:numRef>
          </c:cat>
          <c:val>
            <c:numRef>
              <c:f>Liquidez!$F$20:$J$20</c:f>
              <c:numCache>
                <c:formatCode>_-* #,##0_-;\-* #,##0_-;_-* "-"??_-;_-@_-</c:formatCode>
                <c:ptCount val="5"/>
                <c:pt idx="0">
                  <c:v>474205854</c:v>
                </c:pt>
                <c:pt idx="1">
                  <c:v>194869487</c:v>
                </c:pt>
                <c:pt idx="2">
                  <c:v>70679840</c:v>
                </c:pt>
                <c:pt idx="3">
                  <c:v>156805477</c:v>
                </c:pt>
                <c:pt idx="4">
                  <c:v>129702150</c:v>
                </c:pt>
              </c:numCache>
            </c:numRef>
          </c:val>
          <c:smooth val="0"/>
          <c:extLst>
            <c:ext xmlns:c16="http://schemas.microsoft.com/office/drawing/2014/chart" uri="{C3380CC4-5D6E-409C-BE32-E72D297353CC}">
              <c16:uniqueId val="{00000002-CADE-42A9-90B8-E2CC26D2B84E}"/>
            </c:ext>
          </c:extLst>
        </c:ser>
        <c:dLbls>
          <c:showLegendKey val="0"/>
          <c:showVal val="1"/>
          <c:showCatName val="0"/>
          <c:showSerName val="0"/>
          <c:showPercent val="0"/>
          <c:showBubbleSize val="0"/>
        </c:dLbls>
        <c:marker val="1"/>
        <c:smooth val="0"/>
        <c:axId val="176595248"/>
        <c:axId val="176594288"/>
      </c:lineChart>
      <c:catAx>
        <c:axId val="17659524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crossAx val="176594288"/>
        <c:crosses val="autoZero"/>
        <c:auto val="1"/>
        <c:lblAlgn val="ctr"/>
        <c:lblOffset val="100"/>
        <c:noMultiLvlLbl val="0"/>
      </c:catAx>
      <c:valAx>
        <c:axId val="176594288"/>
        <c:scaling>
          <c:orientation val="minMax"/>
        </c:scaling>
        <c:delete val="0"/>
        <c:axPos val="l"/>
        <c:majorGridlines>
          <c:spPr>
            <a:ln w="9525" cap="flat" cmpd="sng" algn="ctr">
              <a:solidFill>
                <a:schemeClr val="tx1">
                  <a:lumMod val="15000"/>
                  <a:lumOff val="85000"/>
                </a:schemeClr>
              </a:solidFill>
              <a:round/>
            </a:ln>
            <a:effectLst/>
          </c:spPr>
        </c:majorGridlines>
        <c:numFmt formatCode="_-* #,##0_-;\-* #,##0_-;_-* &quot;-&quot;??_-;_-@_-"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crossAx val="176595248"/>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lgn="just">
        <a:defRPr/>
      </a:pPr>
      <a:endParaRPr lang="es-HN"/>
    </a:p>
  </c:txPr>
  <c:externalData r:id="rId3">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solidFill>
                <a:latin typeface="Times New Roman" panose="02020603050405020304" pitchFamily="18" charset="0"/>
                <a:ea typeface="+mn-ea"/>
                <a:cs typeface="Times New Roman" panose="02020603050405020304" pitchFamily="18" charset="0"/>
              </a:defRPr>
            </a:pPr>
            <a:r>
              <a:rPr lang="en-US">
                <a:solidFill>
                  <a:schemeClr val="tx1"/>
                </a:solidFill>
                <a:latin typeface="Times New Roman" panose="02020603050405020304" pitchFamily="18" charset="0"/>
                <a:cs typeface="Times New Roman" panose="02020603050405020304" pitchFamily="18" charset="0"/>
              </a:rPr>
              <a:t>Ratio de Endeudamiento</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solidFill>
              <a:latin typeface="Times New Roman" panose="02020603050405020304" pitchFamily="18" charset="0"/>
              <a:ea typeface="+mn-ea"/>
              <a:cs typeface="Times New Roman" panose="02020603050405020304" pitchFamily="18" charset="0"/>
            </a:defRPr>
          </a:pPr>
          <a:endParaRPr lang="es-HN"/>
        </a:p>
      </c:txPr>
    </c:title>
    <c:autoTitleDeleted val="0"/>
    <c:plotArea>
      <c:layout/>
      <c:lineChart>
        <c:grouping val="standard"/>
        <c:varyColors val="0"/>
        <c:ser>
          <c:idx val="0"/>
          <c:order val="0"/>
          <c:spPr>
            <a:ln w="28575" cap="rnd">
              <a:solidFill>
                <a:schemeClr val="accent1"/>
              </a:solidFill>
              <a:round/>
            </a:ln>
            <a:effectLst/>
          </c:spPr>
          <c:marker>
            <c:symbol val="circle"/>
            <c:size val="5"/>
            <c:spPr>
              <a:solidFill>
                <a:schemeClr val="accent1"/>
              </a:solidFill>
              <a:ln w="9525">
                <a:solidFill>
                  <a:schemeClr val="accent1"/>
                </a:solidFill>
              </a:ln>
              <a:effectLst/>
            </c:spPr>
          </c:marker>
          <c:dLbls>
            <c:dLbl>
              <c:idx val="3"/>
              <c:layout>
                <c:manualLayout>
                  <c:x val="-2.7777777777777779E-3"/>
                  <c:y val="6.0185185185185182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2737-4FAF-B85E-F9FB09B56F71}"/>
                </c:ext>
              </c:extLst>
            </c:dLbl>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solidFill>
                    <a:latin typeface="+mn-lt"/>
                    <a:ea typeface="+mn-ea"/>
                    <a:cs typeface="+mn-cs"/>
                  </a:defRPr>
                </a:pPr>
                <a:endParaRPr lang="es-HN"/>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'Solvencia y Endeudamiento'!$F$2:$J$2</c:f>
              <c:numCache>
                <c:formatCode>General</c:formatCode>
                <c:ptCount val="5"/>
                <c:pt idx="0">
                  <c:v>2019</c:v>
                </c:pt>
                <c:pt idx="1">
                  <c:v>2020</c:v>
                </c:pt>
                <c:pt idx="2">
                  <c:v>2021</c:v>
                </c:pt>
                <c:pt idx="3">
                  <c:v>2022</c:v>
                </c:pt>
                <c:pt idx="4">
                  <c:v>2023</c:v>
                </c:pt>
              </c:numCache>
            </c:numRef>
          </c:cat>
          <c:val>
            <c:numRef>
              <c:f>'Solvencia y Endeudamiento'!$F$6:$J$6</c:f>
              <c:numCache>
                <c:formatCode>_-* #,##0.0_-;\-* #,##0.0_-;_-* "-"??_-;_-@_-</c:formatCode>
                <c:ptCount val="5"/>
                <c:pt idx="0">
                  <c:v>4.4387026345811771</c:v>
                </c:pt>
                <c:pt idx="1">
                  <c:v>7.0777767114870809</c:v>
                </c:pt>
                <c:pt idx="2">
                  <c:v>10.089148445485671</c:v>
                </c:pt>
                <c:pt idx="3">
                  <c:v>3.9427418201893416</c:v>
                </c:pt>
                <c:pt idx="4">
                  <c:v>4.5914560604883352</c:v>
                </c:pt>
              </c:numCache>
            </c:numRef>
          </c:val>
          <c:smooth val="0"/>
          <c:extLst>
            <c:ext xmlns:c16="http://schemas.microsoft.com/office/drawing/2014/chart" uri="{C3380CC4-5D6E-409C-BE32-E72D297353CC}">
              <c16:uniqueId val="{00000001-2737-4FAF-B85E-F9FB09B56F71}"/>
            </c:ext>
          </c:extLst>
        </c:ser>
        <c:dLbls>
          <c:showLegendKey val="0"/>
          <c:showVal val="1"/>
          <c:showCatName val="0"/>
          <c:showSerName val="0"/>
          <c:showPercent val="0"/>
          <c:showBubbleSize val="0"/>
        </c:dLbls>
        <c:marker val="1"/>
        <c:smooth val="0"/>
        <c:axId val="173109920"/>
        <c:axId val="173113280"/>
      </c:lineChart>
      <c:catAx>
        <c:axId val="17310992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crossAx val="173113280"/>
        <c:crosses val="autoZero"/>
        <c:auto val="1"/>
        <c:lblAlgn val="ctr"/>
        <c:lblOffset val="100"/>
        <c:noMultiLvlLbl val="0"/>
      </c:catAx>
      <c:valAx>
        <c:axId val="173113280"/>
        <c:scaling>
          <c:orientation val="minMax"/>
        </c:scaling>
        <c:delete val="0"/>
        <c:axPos val="l"/>
        <c:majorGridlines>
          <c:spPr>
            <a:ln w="9525" cap="flat" cmpd="sng" algn="ctr">
              <a:solidFill>
                <a:schemeClr val="tx1">
                  <a:lumMod val="15000"/>
                  <a:lumOff val="85000"/>
                </a:schemeClr>
              </a:solidFill>
              <a:round/>
            </a:ln>
            <a:effectLst/>
          </c:spPr>
        </c:majorGridlines>
        <c:numFmt formatCode="_-* #,##0.0_-;\-* #,##0.0_-;_-* &quot;-&quot;??_-;_-@_-"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crossAx val="173109920"/>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HN"/>
    </a:p>
  </c:txPr>
  <c:externalData r:id="rId3">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solidFill>
                <a:latin typeface="Times New Roman" panose="02020603050405020304" pitchFamily="18" charset="0"/>
                <a:ea typeface="+mn-ea"/>
                <a:cs typeface="Times New Roman" panose="02020603050405020304" pitchFamily="18" charset="0"/>
              </a:defRPr>
            </a:pPr>
            <a:r>
              <a:rPr lang="es-HN">
                <a:solidFill>
                  <a:schemeClr val="tx1"/>
                </a:solidFill>
                <a:latin typeface="Times New Roman" panose="02020603050405020304" pitchFamily="18" charset="0"/>
                <a:cs typeface="Times New Roman" panose="02020603050405020304" pitchFamily="18" charset="0"/>
              </a:rPr>
              <a:t>Ratio de Endeudamiento L/P</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solidFill>
              <a:latin typeface="Times New Roman" panose="02020603050405020304" pitchFamily="18" charset="0"/>
              <a:ea typeface="+mn-ea"/>
              <a:cs typeface="Times New Roman" panose="02020603050405020304" pitchFamily="18" charset="0"/>
            </a:defRPr>
          </a:pPr>
          <a:endParaRPr lang="es-HN"/>
        </a:p>
      </c:txPr>
    </c:title>
    <c:autoTitleDeleted val="0"/>
    <c:plotArea>
      <c:layout/>
      <c:lineChart>
        <c:grouping val="standard"/>
        <c:varyColors val="0"/>
        <c:ser>
          <c:idx val="0"/>
          <c:order val="0"/>
          <c:spPr>
            <a:ln w="28575" cap="rnd">
              <a:solidFill>
                <a:schemeClr val="accent1"/>
              </a:solidFill>
              <a:round/>
            </a:ln>
            <a:effectLst/>
          </c:spPr>
          <c:marker>
            <c:symbol val="circle"/>
            <c:size val="5"/>
            <c:spPr>
              <a:solidFill>
                <a:schemeClr val="accent1"/>
              </a:solidFill>
              <a:ln w="9525">
                <a:solidFill>
                  <a:schemeClr val="accent1"/>
                </a:solidFill>
              </a:ln>
              <a:effectLst/>
            </c:spPr>
          </c:marker>
          <c:dLbls>
            <c:dLbl>
              <c:idx val="3"/>
              <c:layout>
                <c:manualLayout>
                  <c:x val="-4.1666666666666664E-2"/>
                  <c:y val="5.5555555555555469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1959-404D-82A5-B6584B1E2884}"/>
                </c:ext>
              </c:extLst>
            </c:dLbl>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solidFill>
                    <a:latin typeface="+mn-lt"/>
                    <a:ea typeface="+mn-ea"/>
                    <a:cs typeface="+mn-cs"/>
                  </a:defRPr>
                </a:pPr>
                <a:endParaRPr lang="es-HN"/>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'Solvencia y Endeudamiento'!$F$2:$J$2</c:f>
              <c:numCache>
                <c:formatCode>General</c:formatCode>
                <c:ptCount val="5"/>
                <c:pt idx="0">
                  <c:v>2019</c:v>
                </c:pt>
                <c:pt idx="1">
                  <c:v>2020</c:v>
                </c:pt>
                <c:pt idx="2">
                  <c:v>2021</c:v>
                </c:pt>
                <c:pt idx="3">
                  <c:v>2022</c:v>
                </c:pt>
                <c:pt idx="4">
                  <c:v>2023</c:v>
                </c:pt>
              </c:numCache>
            </c:numRef>
          </c:cat>
          <c:val>
            <c:numRef>
              <c:f>'Solvencia y Endeudamiento'!$F$12:$J$12</c:f>
              <c:numCache>
                <c:formatCode>_-* #,##0.0_-;\-* #,##0.0_-;_-* "-"??_-;_-@_-</c:formatCode>
                <c:ptCount val="5"/>
                <c:pt idx="0">
                  <c:v>1.7774904625153956</c:v>
                </c:pt>
                <c:pt idx="1">
                  <c:v>4.7633161906075756</c:v>
                </c:pt>
                <c:pt idx="2">
                  <c:v>8.6526119281783824</c:v>
                </c:pt>
                <c:pt idx="3">
                  <c:v>2.6784657677614629</c:v>
                </c:pt>
                <c:pt idx="4">
                  <c:v>3.404503941569553</c:v>
                </c:pt>
              </c:numCache>
            </c:numRef>
          </c:val>
          <c:smooth val="0"/>
          <c:extLst>
            <c:ext xmlns:c16="http://schemas.microsoft.com/office/drawing/2014/chart" uri="{C3380CC4-5D6E-409C-BE32-E72D297353CC}">
              <c16:uniqueId val="{00000001-1959-404D-82A5-B6584B1E2884}"/>
            </c:ext>
          </c:extLst>
        </c:ser>
        <c:dLbls>
          <c:showLegendKey val="0"/>
          <c:showVal val="1"/>
          <c:showCatName val="0"/>
          <c:showSerName val="0"/>
          <c:showPercent val="0"/>
          <c:showBubbleSize val="0"/>
        </c:dLbls>
        <c:marker val="1"/>
        <c:smooth val="0"/>
        <c:axId val="2130167824"/>
        <c:axId val="1888217616"/>
      </c:lineChart>
      <c:catAx>
        <c:axId val="213016782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crossAx val="1888217616"/>
        <c:crosses val="autoZero"/>
        <c:auto val="1"/>
        <c:lblAlgn val="ctr"/>
        <c:lblOffset val="100"/>
        <c:noMultiLvlLbl val="0"/>
      </c:catAx>
      <c:valAx>
        <c:axId val="1888217616"/>
        <c:scaling>
          <c:orientation val="minMax"/>
        </c:scaling>
        <c:delete val="0"/>
        <c:axPos val="l"/>
        <c:majorGridlines>
          <c:spPr>
            <a:ln w="9525" cap="flat" cmpd="sng" algn="ctr">
              <a:solidFill>
                <a:schemeClr val="tx1">
                  <a:lumMod val="15000"/>
                  <a:lumOff val="85000"/>
                </a:schemeClr>
              </a:solidFill>
              <a:round/>
            </a:ln>
            <a:effectLst/>
          </c:spPr>
        </c:majorGridlines>
        <c:numFmt formatCode="_-* #,##0.0_-;\-* #,##0.0_-;_-* &quot;-&quot;??_-;_-@_-"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crossAx val="2130167824"/>
        <c:crosses val="autoZero"/>
        <c:crossBetween val="between"/>
      </c:valAx>
      <c:spPr>
        <a:noFill/>
        <a:ln w="25400">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HN"/>
    </a:p>
  </c:txPr>
  <c:externalData r:id="rId3">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solidFill>
                <a:latin typeface="+mn-lt"/>
                <a:ea typeface="+mn-ea"/>
                <a:cs typeface="+mn-cs"/>
              </a:defRPr>
            </a:pPr>
            <a:r>
              <a:rPr lang="es-HN">
                <a:solidFill>
                  <a:schemeClr val="tx1"/>
                </a:solidFill>
                <a:latin typeface="Times New Roman" panose="02020603050405020304" pitchFamily="18" charset="0"/>
                <a:cs typeface="Times New Roman" panose="02020603050405020304" pitchFamily="18" charset="0"/>
              </a:rPr>
              <a:t>Ratio de Solvencia</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solidFill>
              <a:latin typeface="+mn-lt"/>
              <a:ea typeface="+mn-ea"/>
              <a:cs typeface="+mn-cs"/>
            </a:defRPr>
          </a:pPr>
          <a:endParaRPr lang="es-HN"/>
        </a:p>
      </c:txPr>
    </c:title>
    <c:autoTitleDeleted val="0"/>
    <c:plotArea>
      <c:layout/>
      <c:lineChart>
        <c:grouping val="standard"/>
        <c:varyColors val="0"/>
        <c:ser>
          <c:idx val="0"/>
          <c:order val="0"/>
          <c:spPr>
            <a:ln w="28575" cap="rnd">
              <a:solidFill>
                <a:schemeClr val="accent1"/>
              </a:solidFill>
              <a:round/>
            </a:ln>
            <a:effectLst/>
          </c:spPr>
          <c:marker>
            <c:symbol val="circle"/>
            <c:size val="5"/>
            <c:spPr>
              <a:solidFill>
                <a:schemeClr val="accent1"/>
              </a:solidFill>
              <a:ln w="9525">
                <a:solidFill>
                  <a:schemeClr val="accent1"/>
                </a:solidFill>
              </a:ln>
              <a:effectLst/>
            </c:spPr>
          </c:marker>
          <c:dLbls>
            <c:dLbl>
              <c:idx val="2"/>
              <c:layout>
                <c:manualLayout>
                  <c:x val="2.7777777777777779E-3"/>
                  <c:y val="2.7777777777777776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8336-454C-A489-8DD41270D59F}"/>
                </c:ext>
              </c:extLst>
            </c:dLbl>
            <c:dLbl>
              <c:idx val="3"/>
              <c:layout>
                <c:manualLayout>
                  <c:x val="-4.4444444444444446E-2"/>
                  <c:y val="-5.555555555555558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8336-454C-A489-8DD41270D59F}"/>
                </c:ext>
              </c:extLst>
            </c:dLbl>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solidFill>
                    <a:latin typeface="+mn-lt"/>
                    <a:ea typeface="+mn-ea"/>
                    <a:cs typeface="+mn-cs"/>
                  </a:defRPr>
                </a:pPr>
                <a:endParaRPr lang="es-HN"/>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'Solvencia y Endeudamiento'!$F$2:$J$2</c:f>
              <c:numCache>
                <c:formatCode>General</c:formatCode>
                <c:ptCount val="5"/>
                <c:pt idx="0">
                  <c:v>2019</c:v>
                </c:pt>
                <c:pt idx="1">
                  <c:v>2020</c:v>
                </c:pt>
                <c:pt idx="2">
                  <c:v>2021</c:v>
                </c:pt>
                <c:pt idx="3">
                  <c:v>2022</c:v>
                </c:pt>
                <c:pt idx="4">
                  <c:v>2023</c:v>
                </c:pt>
              </c:numCache>
            </c:numRef>
          </c:cat>
          <c:val>
            <c:numRef>
              <c:f>'Solvencia y Endeudamiento'!$F$19:$J$19</c:f>
              <c:numCache>
                <c:formatCode>_-* #,##0.0_-;\-* #,##0.0_-;_-* "-"??_-;_-@_-</c:formatCode>
                <c:ptCount val="5"/>
                <c:pt idx="0">
                  <c:v>1.2252910551405651</c:v>
                </c:pt>
                <c:pt idx="1">
                  <c:v>1.1412873054298283</c:v>
                </c:pt>
                <c:pt idx="2">
                  <c:v>1.0991163927662739</c:v>
                </c:pt>
                <c:pt idx="3">
                  <c:v>1.2536306067212835</c:v>
                </c:pt>
                <c:pt idx="4">
                  <c:v>1.2177958335712882</c:v>
                </c:pt>
              </c:numCache>
            </c:numRef>
          </c:val>
          <c:smooth val="0"/>
          <c:extLst>
            <c:ext xmlns:c16="http://schemas.microsoft.com/office/drawing/2014/chart" uri="{C3380CC4-5D6E-409C-BE32-E72D297353CC}">
              <c16:uniqueId val="{00000002-8336-454C-A489-8DD41270D59F}"/>
            </c:ext>
          </c:extLst>
        </c:ser>
        <c:dLbls>
          <c:showLegendKey val="0"/>
          <c:showVal val="1"/>
          <c:showCatName val="0"/>
          <c:showSerName val="0"/>
          <c:showPercent val="0"/>
          <c:showBubbleSize val="0"/>
        </c:dLbls>
        <c:marker val="1"/>
        <c:smooth val="0"/>
        <c:axId val="1212636848"/>
        <c:axId val="1212645008"/>
      </c:lineChart>
      <c:catAx>
        <c:axId val="121263684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crossAx val="1212645008"/>
        <c:crosses val="autoZero"/>
        <c:auto val="1"/>
        <c:lblAlgn val="ctr"/>
        <c:lblOffset val="100"/>
        <c:noMultiLvlLbl val="0"/>
      </c:catAx>
      <c:valAx>
        <c:axId val="1212645008"/>
        <c:scaling>
          <c:orientation val="minMax"/>
        </c:scaling>
        <c:delete val="0"/>
        <c:axPos val="l"/>
        <c:majorGridlines>
          <c:spPr>
            <a:ln w="9525" cap="flat" cmpd="sng" algn="ctr">
              <a:solidFill>
                <a:schemeClr val="tx1">
                  <a:lumMod val="15000"/>
                  <a:lumOff val="85000"/>
                </a:schemeClr>
              </a:solidFill>
              <a:round/>
            </a:ln>
            <a:effectLst/>
          </c:spPr>
        </c:majorGridlines>
        <c:numFmt formatCode="_-* #,##0.0_-;\-* #,##0.0_-;_-* &quot;-&quot;??_-;_-@_-"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crossAx val="1212636848"/>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HN"/>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0.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0.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1.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2.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3.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7.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8.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9.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Var11</b:Tag>
    <b:SourceType>DocumentFromInternetSite</b:SourceType>
    <b:Guid>{D2833E4A-AF1C-4844-B78A-F10D81EB2715}</b:Guid>
    <b:Title>CAPACIDAD DE PAGO, PROGRESIVIDAD Y BIENESTAR.</b:Title>
    <b:InternetSiteTitle>CAPACIDAD DE PAGO, PROGRESIVIDAD Y BIENESTAR.</b:InternetSiteTitle>
    <b:Year>2011</b:Year>
    <b:URL>https://ruc.udc.es/dspace/bitstream/handle/2183/9347/VarelaCandamio_Laura_TD_2011.pdf?sequence=2</b:URL>
    <b:Author>
      <b:Author>
        <b:NameList>
          <b:Person>
            <b:Last>Varela Candamio</b:Last>
            <b:First>Laura</b:First>
          </b:Person>
        </b:NameList>
      </b:Author>
    </b:Author>
    <b:RefOrder>16</b:RefOrder>
  </b:Source>
  <b:Source>
    <b:Tag>CON13</b:Tag>
    <b:SourceType>DocumentFromInternetSite</b:SourceType>
    <b:Guid>{A95A03EF-C266-48AF-A5D7-E80ADEBD38EB}</b:Guid>
    <b:Title>NORMA SOBRE GESTIÓN DE RIESGO CREDITICIO</b:Title>
    <b:Year>2013</b:Year>
    <b:URL>http://legislacion.asamblea.gob.ni/normaweb.nsf/($All)/0E3586D638948D3906257C4300788625</b:URL>
    <b:Author>
      <b:Author>
        <b:NameList>
          <b:Person>
            <b:Last>CONAMI </b:Last>
            <b:First>COMISION NACIANAL DE MICROFINANZA NICARAGUA </b:First>
          </b:Person>
        </b:NameList>
      </b:Author>
    </b:Author>
    <b:RefOrder>18</b:RefOrder>
  </b:Source>
  <b:Source>
    <b:Tag>SER</b:Tag>
    <b:SourceType>DocumentFromInternetSite</b:SourceType>
    <b:Guid>{E2043CD5-2B8B-4B2E-837B-692C9D374E03}</b:Guid>
    <b:Title>Guia del Consumidor Chile </b:Title>
    <b:URL>https://www.sernac.cl/portal/607/w3-propertyvalue-21055.html#:~:text=Es%20un%20medio%20de%20financiamiento,pa%C3%ADs%2C%20contrae%20obligaciones%20con%20terceros.</b:URL>
    <b:Author>
      <b:Author>
        <b:NameList>
          <b:Person>
            <b:Last>SERNAC</b:Last>
          </b:Person>
        </b:NameList>
      </b:Author>
    </b:Author>
    <b:RefOrder>20</b:RefOrder>
  </b:Source>
  <b:Source>
    <b:Tag>Bar</b:Tag>
    <b:SourceType>DocumentFromInternetSite</b:SourceType>
    <b:Guid>{23215E35-DC91-4CDB-8454-78A0E762CF8A}</b:Guid>
    <b:Title>Ley 18212 Aplicada a vales Uruguay </b:Title>
    <b:URL>https://www.poderjudicial.gub.uy/images/Ley_18212_Barbagelata.pdf</b:URL>
    <b:Author>
      <b:Author>
        <b:NameList>
          <b:Person>
            <b:Last>Barbagelata</b:Last>
            <b:First>Paula </b:First>
          </b:Person>
        </b:NameList>
      </b:Author>
    </b:Author>
    <b:RefOrder>25</b:RefOrder>
  </b:Source>
  <b:Source>
    <b:Tag>Fra14</b:Tag>
    <b:SourceType>DocumentFromInternetSite</b:SourceType>
    <b:Guid>{DA0A9295-0D4A-4F21-BC72-ED849EFE1250}</b:Guid>
    <b:Title>Matematica Financiera </b:Title>
    <b:Year>2014</b:Year>
    <b:URL>https://books.google.es/books?hl=es&amp;lr=&amp;id=HMzhBAAAQBAJ&amp;oi=fnd&amp;pg=PP1&amp;dq=Matem%C3%A1ticas+Financieras&amp;ots=hAth7ZGhZ0&amp;sig=3EGAWVW-MTQHn8GHE64SJgwcZU4#v=onepage&amp;q=Matem%C3%A1ticas%20Financieras&amp;f=false</b:URL>
    <b:Author>
      <b:Author>
        <b:NameList>
          <b:Person>
            <b:Last>Franco </b:Last>
            <b:First>Jesus </b:First>
          </b:Person>
          <b:Person>
            <b:Last>Rodriguez</b:Last>
            <b:First>Elva</b:First>
          </b:Person>
          <b:Person>
            <b:Last>Pierdant </b:Last>
            <b:First>Alberto </b:First>
          </b:Person>
        </b:NameList>
      </b:Author>
    </b:Author>
    <b:RefOrder>28</b:RefOrder>
  </b:Source>
  <b:Source>
    <b:Tag>Med16</b:Tag>
    <b:SourceType>DocumentFromInternetSite</b:SourceType>
    <b:Guid>{8C9EA389-F063-42C0-A1BC-E939D9254AA9}</b:Guid>
    <b:Title>Politicas de Creditos y la rentabilidad </b:Title>
    <b:Year>2016</b:Year>
    <b:URL>http://repositorio.uta.edu.ec/bitstream/123456789/20117/1/T3502ig.pdf</b:URL>
    <b:Author>
      <b:Author>
        <b:NameList>
          <b:Person>
            <b:Last>Medina</b:Last>
            <b:First>Rafael</b:First>
          </b:Person>
          <b:Person>
            <b:Last>Ayala</b:Last>
            <b:First>Gabriela</b:First>
          </b:Person>
        </b:NameList>
      </b:Author>
    </b:Author>
    <b:RefOrder>29</b:RefOrder>
  </b:Source>
</b:Sources>
</file>

<file path=customXml/itemProps1.xml><?xml version="1.0" encoding="utf-8"?>
<ds:datastoreItem xmlns:ds="http://schemas.openxmlformats.org/officeDocument/2006/customXml" ds:itemID="{21102617-0E35-42DE-9E39-B90D45C13B2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3556</TotalTime>
  <Pages>166</Pages>
  <Words>52689</Words>
  <Characters>289792</Characters>
  <Application>Microsoft Office Word</Application>
  <DocSecurity>0</DocSecurity>
  <Lines>2414</Lines>
  <Paragraphs>683</Paragraphs>
  <ScaleCrop>false</ScaleCrop>
  <HeadingPairs>
    <vt:vector size="2" baseType="variant">
      <vt:variant>
        <vt:lpstr>Título</vt:lpstr>
      </vt:variant>
      <vt:variant>
        <vt:i4>1</vt:i4>
      </vt:variant>
    </vt:vector>
  </HeadingPairs>
  <TitlesOfParts>
    <vt:vector size="1" baseType="lpstr">
      <vt:lpstr/>
    </vt:vector>
  </TitlesOfParts>
  <Company>Microsoft</Company>
  <LinksUpToDate>false</LinksUpToDate>
  <CharactersWithSpaces>341798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Javier Abraham Salgado Lezama</dc:creator>
  <cp:keywords/>
  <dc:description/>
  <cp:lastModifiedBy>Jimmy Sanchez</cp:lastModifiedBy>
  <cp:revision>514</cp:revision>
  <cp:lastPrinted>2024-02-23T05:57:00Z</cp:lastPrinted>
  <dcterms:created xsi:type="dcterms:W3CDTF">2024-05-26T22:47:00Z</dcterms:created>
  <dcterms:modified xsi:type="dcterms:W3CDTF">2024-08-22T04:22:00Z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zotero-version="6.0.36"&gt;&lt;session id="mhK3fgOx"/&gt;&lt;style id="http://www.zotero.org/styles/apa" locale="es-ES" hasBibliography="1" bibliographyStyleHasBeenSet="1"/&gt;&lt;prefs&gt;&lt;pref name="fieldType" value="Field"/&gt;&lt;pref name="automaticJourn</vt:lpwstr>
  </property>
  <property fmtid="{D5CDD505-2E9C-101B-9397-08002B2CF9AE}" pid="3" name="ZOTERO_PREF_2">
    <vt:lpwstr>alAbbreviations" value="true"/&gt;&lt;/prefs&gt;&lt;/data&gt;</vt:lpwstr>
  </property>
</Properties>
</file>